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版本号：KY2026-3-12420260427001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中国国际大学生创新大赛（2026）陕西赛区省级复赛暨“青年红色筑梦之旅”活动赛务服务项目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KY2026-3-124</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中国国际大学生创新大赛（2026）陕西赛区省级复赛暨“青年红色筑梦之旅”活动赛务服务项目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中国国际大学生创新大赛（2026）陕西赛区省级复赛暨“青年红色筑梦之旅”活动赛务服务项目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中国国际大学生创新大赛（2026）陕西赛区省级复赛暨“青年红色筑梦之旅”活动赛务服务项目，简要技术要求、用途：赛务服务，具体参数要求详见招标文件第三章。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采购包1（中国国际大学生创新大赛（2026）陕西赛区省级复赛暨“青年红色筑梦之旅”活动赛务服务项目）：属于专门面向中小企业采购。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7、法定代表人授权书：法定代表人授权书及被授权人身份证复印件及被授权人近半年任意一个月的社保缴纳证明。（法定代表人直接投标只须提交其身份证明书）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029-81206622/81206633-832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成交金额向采购代理机构交纳成交服务费，交费金额参照国家计委颁布的《招标代理服务收费管理暂行办法》（计价格[2002]1980号）及发改办价格[2003]857号文件的规定标准的90%收取。2、本项目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中国国际大学生创新大赛（2026）陕西赛区省级复赛暨“青年红色筑梦之旅”活动赛务服务项目，简要技术要求、用途：赛务服务，具体参数要求详见招标文件第三部分。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中国国际大学生创新大赛（2026）陕西赛区省级复赛暨青年红色筑梦之旅活动赛务服务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标的名称：中国国际大学生创新大赛（2026）陕西赛区省级复赛暨青年红色筑梦之旅活动赛务服务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一、服务</w:t>
            </w:r>
            <w:r>
              <w:rPr>
                <w:rFonts w:ascii="仿宋_GB2312" w:hAnsi="仿宋_GB2312" w:cs="仿宋_GB2312" w:eastAsia="仿宋_GB2312"/>
                <w:sz w:val="20"/>
              </w:rPr>
              <w:t>内容</w:t>
            </w:r>
          </w:p>
          <w:p>
            <w:pPr>
              <w:pStyle w:val="null3"/>
              <w:jc w:val="both"/>
            </w:pPr>
            <w:r>
              <w:rPr>
                <w:rFonts w:ascii="仿宋_GB2312" w:hAnsi="仿宋_GB2312" w:cs="仿宋_GB2312" w:eastAsia="仿宋_GB2312"/>
                <w:sz w:val="20"/>
              </w:rPr>
              <w:t>1、活动策划：</w:t>
            </w:r>
          </w:p>
          <w:p>
            <w:pPr>
              <w:pStyle w:val="null3"/>
              <w:ind w:firstLine="400"/>
              <w:jc w:val="both"/>
            </w:pPr>
            <w:r>
              <w:rPr>
                <w:rFonts w:ascii="仿宋_GB2312" w:hAnsi="仿宋_GB2312" w:cs="仿宋_GB2312" w:eastAsia="仿宋_GB2312"/>
                <w:sz w:val="20"/>
              </w:rPr>
              <w:t>根据采购人安排，协助完成本项目的整体策划及整体进度管理工作，包含活动流程、场地布局、设备租赁安装、调试、时间进度表、人员安排等并协调做好活动各项后勤工作。编制活动场地布置、现场管理、住宿、餐饮、接待、会场安排等工作手册。配合采购人做好嘉宾的管理工作、嘉宾证卡设计制作发放、活动公告发布、活动通知管理、签到管理、入场权限管理、电子资料管理、会务工作人员协同管理等，最大化提升活动运行效率。供应商须提供活动管理策划方案及筹备进度方案。</w:t>
            </w:r>
          </w:p>
          <w:p>
            <w:pPr>
              <w:pStyle w:val="null3"/>
              <w:jc w:val="both"/>
            </w:pPr>
            <w:r>
              <w:rPr>
                <w:rFonts w:ascii="仿宋_GB2312" w:hAnsi="仿宋_GB2312" w:cs="仿宋_GB2312" w:eastAsia="仿宋_GB2312"/>
                <w:sz w:val="20"/>
              </w:rPr>
              <w:t>2、会场布置：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1）根据采购人安排，提供活动场地布置、背景板布置的详细策划方案。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根据采购人安排，完成会场内部、公共区域设施的布置及安装、负责活动区域布置的设计及搭建等相关的所有工作，其中包含但不限于使用施工材料、设备的规格、品牌、参数、市场单价等事项。现场施工前需采购人核实施工材料后方可施工，需保质保量完成项目策划、执行工作，期间保证不出现事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3）供应商需提供会场布置方案。</w:t>
            </w:r>
          </w:p>
          <w:p>
            <w:pPr>
              <w:pStyle w:val="null3"/>
              <w:jc w:val="both"/>
            </w:pPr>
            <w:r>
              <w:rPr>
                <w:rFonts w:ascii="仿宋_GB2312" w:hAnsi="仿宋_GB2312" w:cs="仿宋_GB2312" w:eastAsia="仿宋_GB2312"/>
                <w:sz w:val="20"/>
              </w:rPr>
              <w:t>3、后勤接待：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采购人安排，做好场地设施的检查和技术服务，依据活动流程，完成对嘉宾、专家的注册、入住、参会等方面的协调工作；检查活动期间嘉宾、专家参会引导是否到位，保证现场嘉宾、专家参会秩序；做好活动嘉宾、专家签到、物资发放的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2）做好贵宾参会及贵宾室服务管理；协助做好活动期间茶歇等现场工作，协助做好活动现场的安全保卫、医疗卫生保障工作。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3）配合完成嘉宾、专家接待工作，完成活动嘉宾、专家的餐饮、住宿及交通服务等会务所需各项接待服务。车辆服务需提供接送机（火车）服务 ，餐食及住宿标准按采购人相关规定执行。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4）预计参会人员数量3300人次，接送机（站）数量350趟，酒店住宿为600间。</w:t>
            </w:r>
          </w:p>
          <w:p>
            <w:pPr>
              <w:pStyle w:val="null3"/>
              <w:jc w:val="both"/>
            </w:pPr>
            <w:r>
              <w:rPr>
                <w:rFonts w:ascii="仿宋_GB2312" w:hAnsi="仿宋_GB2312" w:cs="仿宋_GB2312" w:eastAsia="仿宋_GB2312"/>
                <w:sz w:val="20"/>
              </w:rPr>
              <w:t>4、活动宣传：</w:t>
            </w:r>
          </w:p>
          <w:p>
            <w:pPr>
              <w:pStyle w:val="null3"/>
              <w:ind w:firstLine="400"/>
              <w:jc w:val="both"/>
            </w:pPr>
            <w:r>
              <w:rPr>
                <w:rFonts w:ascii="仿宋_GB2312" w:hAnsi="仿宋_GB2312" w:cs="仿宋_GB2312" w:eastAsia="仿宋_GB2312"/>
                <w:sz w:val="20"/>
              </w:rPr>
              <w:t>配合完成媒体宣传工作。</w:t>
            </w:r>
          </w:p>
          <w:p>
            <w:pPr>
              <w:pStyle w:val="null3"/>
              <w:jc w:val="both"/>
            </w:pPr>
            <w:r>
              <w:rPr>
                <w:rFonts w:ascii="仿宋_GB2312" w:hAnsi="仿宋_GB2312" w:cs="仿宋_GB2312" w:eastAsia="仿宋_GB2312"/>
                <w:sz w:val="20"/>
              </w:rPr>
              <w:t>5、人员保障：</w:t>
            </w:r>
          </w:p>
          <w:p>
            <w:pPr>
              <w:pStyle w:val="null3"/>
              <w:ind w:firstLine="400"/>
              <w:jc w:val="both"/>
            </w:pPr>
            <w:r>
              <w:rPr>
                <w:rFonts w:ascii="仿宋_GB2312" w:hAnsi="仿宋_GB2312" w:cs="仿宋_GB2312" w:eastAsia="仿宋_GB2312"/>
                <w:sz w:val="20"/>
              </w:rPr>
              <w:t>配备专业的服务团队，并在会议现场配备接待、礼仪、志愿者等会务工作人员和摄影摄像等劳务人员。预计参加此次活动的总志愿者人数为</w:t>
            </w:r>
            <w:r>
              <w:rPr>
                <w:rFonts w:ascii="仿宋_GB2312" w:hAnsi="仿宋_GB2312" w:cs="仿宋_GB2312" w:eastAsia="仿宋_GB2312"/>
                <w:sz w:val="20"/>
              </w:rPr>
              <w:t>450人，接待礼仪人数为40人、会务工作人员及摄影摄像人员80人。确保活动顺利成功举办。</w:t>
            </w:r>
          </w:p>
          <w:p>
            <w:pPr>
              <w:pStyle w:val="null3"/>
              <w:jc w:val="both"/>
            </w:pPr>
            <w:r>
              <w:rPr>
                <w:rFonts w:ascii="仿宋_GB2312" w:hAnsi="仿宋_GB2312" w:cs="仿宋_GB2312" w:eastAsia="仿宋_GB2312"/>
                <w:sz w:val="20"/>
              </w:rPr>
              <w:t>6、会务物料：</w:t>
            </w:r>
          </w:p>
          <w:p>
            <w:pPr>
              <w:pStyle w:val="null3"/>
              <w:ind w:firstLine="400"/>
              <w:jc w:val="both"/>
            </w:pPr>
            <w:r>
              <w:rPr>
                <w:rFonts w:ascii="仿宋_GB2312" w:hAnsi="仿宋_GB2312" w:cs="仿宋_GB2312" w:eastAsia="仿宋_GB2312"/>
                <w:sz w:val="20"/>
              </w:rPr>
              <w:t>活动资料、工作证件、活动背景板等设计稿应该按照要求提前交给采购人审核，需及时配合采购人对设计稿进行修改。并根据采购人要求制作活动所需的签到册、活动指南、参会证、嘉宾证、专家证、媒体证、交流资料、活动手提袋、纪念品、志愿者服装，会务消耗品（例如矿泉水、笔、活动便签）等。</w:t>
            </w:r>
          </w:p>
          <w:p>
            <w:pPr>
              <w:pStyle w:val="null3"/>
              <w:jc w:val="both"/>
            </w:pPr>
            <w:r>
              <w:rPr>
                <w:rFonts w:ascii="仿宋_GB2312" w:hAnsi="仿宋_GB2312" w:cs="仿宋_GB2312" w:eastAsia="仿宋_GB2312"/>
                <w:sz w:val="20"/>
              </w:rPr>
              <w:t>7、其他事项：根据采购人要求，完成采购人安排的其他工作。</w:t>
            </w:r>
          </w:p>
          <w:p>
            <w:pPr>
              <w:pStyle w:val="null3"/>
            </w:pPr>
            <w:r>
              <w:rPr>
                <w:rFonts w:ascii="仿宋_GB2312" w:hAnsi="仿宋_GB2312" w:cs="仿宋_GB2312" w:eastAsia="仿宋_GB2312"/>
                <w:sz w:val="20"/>
              </w:rPr>
              <w:t>8、</w:t>
            </w:r>
            <w:r>
              <w:rPr>
                <w:rFonts w:ascii="仿宋_GB2312" w:hAnsi="仿宋_GB2312" w:cs="仿宋_GB2312" w:eastAsia="仿宋_GB2312"/>
                <w:sz w:val="20"/>
              </w:rPr>
              <w:t>服务期：自合同签订之日起</w:t>
            </w:r>
            <w:r>
              <w:rPr>
                <w:rFonts w:ascii="仿宋_GB2312" w:hAnsi="仿宋_GB2312" w:cs="仿宋_GB2312" w:eastAsia="仿宋_GB2312"/>
                <w:sz w:val="20"/>
              </w:rPr>
              <w:t>180日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二、服务要求：</w:t>
            </w:r>
          </w:p>
          <w:p>
            <w:pPr>
              <w:pStyle w:val="null3"/>
              <w:jc w:val="both"/>
            </w:pPr>
            <w:r>
              <w:rPr>
                <w:rFonts w:ascii="仿宋_GB2312" w:hAnsi="仿宋_GB2312" w:cs="仿宋_GB2312" w:eastAsia="仿宋_GB2312"/>
                <w:sz w:val="20"/>
              </w:rPr>
              <w:t>1、场地整体设计需贴合主题，突出重点，风格明快、造型亮眼；并合理利用场地现有面积，布局科学合理。启动会场地为雁塔校区体育馆，馆内面积为1100平米，现场搭建满足启动会需求的舞台；现场比赛场地为鄠邑校区博览楼，共设置路演教室、等候室、观摩室24组，需按照大赛要求布置相应的比赛场地；冠军争夺赛场地为鄠邑校区体育场，需在体育场搭建符合大赛冠军争夺赛需求的舞台。</w:t>
            </w:r>
          </w:p>
          <w:p>
            <w:pPr>
              <w:pStyle w:val="null3"/>
              <w:jc w:val="both"/>
            </w:pPr>
            <w:r>
              <w:rPr>
                <w:rFonts w:ascii="仿宋_GB2312" w:hAnsi="仿宋_GB2312" w:cs="仿宋_GB2312" w:eastAsia="仿宋_GB2312"/>
                <w:sz w:val="20"/>
              </w:rPr>
              <w:t>2、现场所用物料、材质须与方案中一致，严禁使用对环境造成污染的材料、易燃易爆材料、有挥发性气味的材料以及国家法律禁止使用的材料。优先使用节能环保材料。</w:t>
            </w:r>
          </w:p>
          <w:p>
            <w:pPr>
              <w:pStyle w:val="null3"/>
              <w:jc w:val="both"/>
            </w:pPr>
            <w:r>
              <w:rPr>
                <w:rFonts w:ascii="仿宋_GB2312" w:hAnsi="仿宋_GB2312" w:cs="仿宋_GB2312" w:eastAsia="仿宋_GB2312"/>
                <w:sz w:val="20"/>
              </w:rPr>
              <w:t>3、供应商应配备专业的服务团队，安排专人负责项目对接工作。</w:t>
            </w:r>
          </w:p>
          <w:p>
            <w:pPr>
              <w:pStyle w:val="null3"/>
              <w:jc w:val="both"/>
            </w:pPr>
            <w:r>
              <w:rPr>
                <w:rFonts w:ascii="仿宋_GB2312" w:hAnsi="仿宋_GB2312" w:cs="仿宋_GB2312" w:eastAsia="仿宋_GB2312"/>
                <w:sz w:val="20"/>
              </w:rPr>
              <w:t>4、在项目实施过程中，确保场地结构、施工、用电、设备等安全；遵守整体消防要求，具备合理的消防及应急预案。</w:t>
            </w:r>
          </w:p>
          <w:p>
            <w:pPr>
              <w:pStyle w:val="null3"/>
              <w:jc w:val="both"/>
            </w:pPr>
            <w:r>
              <w:rPr>
                <w:rFonts w:ascii="仿宋_GB2312" w:hAnsi="仿宋_GB2312" w:cs="仿宋_GB2312" w:eastAsia="仿宋_GB2312"/>
                <w:sz w:val="20"/>
              </w:rPr>
              <w:t>5、结束后，负责场地撤场及拆除工作，可再次利用的材料，负责打包运输至采购人指定位置，并对现场垃圾进行清运。</w:t>
            </w:r>
          </w:p>
          <w:p>
            <w:pPr>
              <w:pStyle w:val="null3"/>
              <w:jc w:val="both"/>
            </w:pPr>
            <w:r>
              <w:rPr>
                <w:rFonts w:ascii="仿宋_GB2312" w:hAnsi="仿宋_GB2312" w:cs="仿宋_GB2312" w:eastAsia="仿宋_GB2312"/>
                <w:sz w:val="20"/>
              </w:rPr>
              <w:t>6、结束后须及时将过程资料整理并提交至采购人。</w:t>
            </w:r>
          </w:p>
          <w:p>
            <w:pPr>
              <w:pStyle w:val="null3"/>
              <w:jc w:val="both"/>
            </w:pPr>
            <w:r>
              <w:rPr>
                <w:rFonts w:ascii="仿宋_GB2312" w:hAnsi="仿宋_GB2312" w:cs="仿宋_GB2312" w:eastAsia="仿宋_GB2312"/>
                <w:sz w:val="20"/>
              </w:rPr>
              <w:t>7、策划方案待采购人审核确认后，方可进行下一阶段的工作。</w:t>
            </w:r>
          </w:p>
          <w:p>
            <w:pPr>
              <w:pStyle w:val="null3"/>
            </w:pPr>
            <w:r>
              <w:rPr>
                <w:rFonts w:ascii="仿宋_GB2312" w:hAnsi="仿宋_GB2312" w:cs="仿宋_GB2312" w:eastAsia="仿宋_GB2312"/>
                <w:sz w:val="20"/>
              </w:rPr>
              <w:t>8、积极配合采购人完成各项工作。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三、技术要求</w:t>
            </w:r>
          </w:p>
          <w:p>
            <w:pPr>
              <w:pStyle w:val="null3"/>
              <w:ind w:firstLine="400"/>
              <w:jc w:val="both"/>
            </w:pPr>
            <w:r>
              <w:rPr>
                <w:rFonts w:ascii="仿宋_GB2312" w:hAnsi="仿宋_GB2312" w:cs="仿宋_GB2312" w:eastAsia="仿宋_GB2312"/>
                <w:sz w:val="20"/>
              </w:rPr>
              <w:t>3.1、现场赛赛务服务</w:t>
            </w:r>
          </w:p>
          <w:tbl>
            <w:tblPr>
              <w:tblInd w:type="dxa" w:w="105"/>
              <w:tblBorders>
                <w:top w:val="none" w:color="000000" w:sz="4"/>
                <w:left w:val="none" w:color="000000" w:sz="4"/>
                <w:bottom w:val="none" w:color="000000" w:sz="4"/>
                <w:right w:val="none" w:color="000000" w:sz="4"/>
                <w:insideH w:val="none"/>
                <w:insideV w:val="none"/>
              </w:tblBorders>
            </w:tblPr>
            <w:tblGrid>
              <w:gridCol w:w="173"/>
              <w:gridCol w:w="264"/>
              <w:gridCol w:w="1511"/>
              <w:gridCol w:w="259"/>
              <w:gridCol w:w="173"/>
              <w:gridCol w:w="173"/>
            </w:tblGrid>
            <w:tr>
              <w:tc>
                <w:tcPr>
                  <w:tcW w:type="dxa" w:w="1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项目名称</w:t>
                  </w:r>
                </w:p>
              </w:tc>
              <w:tc>
                <w:tcPr>
                  <w:tcW w:type="dxa" w:w="15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技术服务要求</w:t>
                  </w:r>
                </w:p>
              </w:tc>
              <w:tc>
                <w:tcPr>
                  <w:tcW w:type="dxa" w:w="2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1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c>
                <w:tcPr>
                  <w:tcW w:type="dxa" w:w="1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天数</w:t>
                  </w: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笔记本电脑租赁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1.处理器：lntelCorei7-13代(1.7GHz/L312M)及以上。</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226</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r>
                    <w:rPr>
                      <w:rFonts w:ascii="仿宋_GB2312" w:hAnsi="仿宋_GB2312" w:cs="仿宋_GB2312" w:eastAsia="仿宋_GB2312"/>
                      <w:sz w:val="20"/>
                    </w:rPr>
                    <w:t>/天</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2.核心/线程：12核心/16线程</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3.核心组成：4性能核+8能效核</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4.处理器主频：≥1.7GHz</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5.最高睿频：≥3.8GHz</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6.屏幕刷新率：≥120Hz</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7.分辨率：≥2880x1800、显示比例：16:10</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打印机租赁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1.手动/自动双面打印；</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r>
                    <w:rPr>
                      <w:rFonts w:ascii="仿宋_GB2312" w:hAnsi="仿宋_GB2312" w:cs="仿宋_GB2312" w:eastAsia="仿宋_GB2312"/>
                      <w:sz w:val="20"/>
                    </w:rPr>
                    <w:t>/天</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2.接口类型：USB 2.0及以上接口</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3.黑白打印速度：≥14ppm</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4.最大打印幅面：≥A4</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5.打印分辨率：≥600×600dpi</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6.最小日打印量：≥5000页/日</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摄像机租赁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1.最低照度星光级：0.01-0.001Lux，摄像机可以保持全彩画面</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r>
                    <w:rPr>
                      <w:rFonts w:ascii="仿宋_GB2312" w:hAnsi="仿宋_GB2312" w:cs="仿宋_GB2312" w:eastAsia="仿宋_GB2312"/>
                      <w:sz w:val="20"/>
                    </w:rPr>
                    <w:t>/天</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2.帧率：≥50Hz</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3.视频压缩：不低于1.5Mbps的传输带宽下，实现1080p全高清视频传输</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4.信噪比：≥55dB</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5.带支架，支架必须可调节高度</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平板电脑租赁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1.ipad第十代，10.9英寸</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224</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2.内存容量256G及以上</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3.分辨率2360*1640</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4.需每间安排驻场工作人员，保证设备正常使用</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单间教室转播</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1.视频格式：采样:4:2:2 推流:4:2:0  录制:4:2:2</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2.视频输入：视音频输入:HDMIx1，SDIx2，输入视频分辨率帧率可不同支持分率:1080p25/p30/p50/p60/i50/i60、720p50/p60、480i60、576i50</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3.音频输入接口:3.5mm，双声道非平衡线路音视频输出：视音频输出:HDMIx1 延迟100毫秒</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4.支持分辨率:1080p25/p30/p50/p60/i50/i60、720p50/p60音频输出接口:3.5mm，双声道非平衡线路音频输出x2频输入x2</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5.网络接口：4G内置模块x3 支持TDD-LTE、FDD-LTE、WCDMA制式百兆网口x1、千兆网口x1USB扩展接口x2WIFI内置模块x1</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倒计时显示器租赁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1.75寸电子显示屏屏幕：4K（3840×2160），亮度350cd/m²，72% NTSC色域，60Hz刷新率。</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2.触控：红外触控，支持双系统40点触控，响应时间≤8ms。</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3.系统：双系统设计。Android 13：四核A55，2GB内存，8GB存储。Windows（OPS模块）：8核12线程处理器，8GB DDR4内存，256GB SSD。</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4.音响：2.2声道，前向12W高音×2，上向30W中低音×2，总功率80W。</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翻页笔</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1.采用笔型设计，具有三个遥控按键(上下翻页和功能键)，既可用于触摸书写，也可用于远程操控。</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2.采用2.4G及以上无线连接技术，无线接收距离≥15米。</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3.单接收器设计，android、windows双系统同时响应。只需安装一个接收器，双系统都能响应智能笔的操作指令。</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4.支持白板课件、PPT、PDF等多种格式的课件进行远程无线翻页。</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5.每个翻页笔至少配备一组备用电池。</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对讲机租赁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1.频率范围:403-527(MHz)</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2.射频输出功率:≥5w</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3.信道数:≥1000个</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4.理论通讯距离:≥5km</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5.工作电压:≤7.5V</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6.频率稳定度:±0.5ppm</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7.电池类型:锂电池</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户外观摩直播大屏租赁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1.高清室外P2显示屏，尺寸不小于3*5m</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块</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2.点间距2.97mm</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3.像素结构 IRIGIB</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4.LED封装类型 表贴三合一LED</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模组尺寸</w:t>
                  </w:r>
                  <w:r>
                    <w:rPr>
                      <w:rFonts w:ascii="仿宋_GB2312" w:hAnsi="仿宋_GB2312" w:cs="仿宋_GB2312" w:eastAsia="仿宋_GB2312"/>
                      <w:sz w:val="20"/>
                    </w:rPr>
                    <w:t>500mm（宽）*500mm（高）</w:t>
                  </w:r>
                </w:p>
                <w:p>
                  <w:pPr>
                    <w:pStyle w:val="null3"/>
                    <w:jc w:val="both"/>
                  </w:pPr>
                  <w:r>
                    <w:rPr>
                      <w:rFonts w:ascii="仿宋_GB2312" w:hAnsi="仿宋_GB2312" w:cs="仿宋_GB2312" w:eastAsia="仿宋_GB2312"/>
                      <w:sz w:val="20"/>
                    </w:rPr>
                    <w:t>模组分辨率</w:t>
                  </w:r>
                  <w:r>
                    <w:rPr>
                      <w:rFonts w:ascii="仿宋_GB2312" w:hAnsi="仿宋_GB2312" w:cs="仿宋_GB2312" w:eastAsia="仿宋_GB2312"/>
                      <w:sz w:val="20"/>
                    </w:rPr>
                    <w:t>128点（宽）*1128点（高）</w:t>
                  </w:r>
                </w:p>
                <w:p>
                  <w:pPr>
                    <w:pStyle w:val="null3"/>
                    <w:jc w:val="both"/>
                  </w:pPr>
                  <w:r>
                    <w:rPr>
                      <w:rFonts w:ascii="仿宋_GB2312" w:hAnsi="仿宋_GB2312" w:cs="仿宋_GB2312" w:eastAsia="仿宋_GB2312"/>
                      <w:sz w:val="20"/>
                    </w:rPr>
                    <w:t>模组平整度</w:t>
                  </w:r>
                  <w:r>
                    <w:rPr>
                      <w:rFonts w:ascii="仿宋_GB2312" w:hAnsi="仿宋_GB2312" w:cs="仿宋_GB2312" w:eastAsia="仿宋_GB2312"/>
                      <w:sz w:val="20"/>
                    </w:rPr>
                    <w:t>≤0.2mm</w:t>
                  </w:r>
                </w:p>
                <w:p>
                  <w:pPr>
                    <w:pStyle w:val="null3"/>
                    <w:jc w:val="both"/>
                  </w:pPr>
                  <w:r>
                    <w:rPr>
                      <w:rFonts w:ascii="仿宋_GB2312" w:hAnsi="仿宋_GB2312" w:cs="仿宋_GB2312" w:eastAsia="仿宋_GB2312"/>
                      <w:sz w:val="20"/>
                    </w:rPr>
                    <w:t>像素中心距相对偏差</w:t>
                  </w:r>
                  <w:r>
                    <w:rPr>
                      <w:rFonts w:ascii="仿宋_GB2312" w:hAnsi="仿宋_GB2312" w:cs="仿宋_GB2312" w:eastAsia="仿宋_GB2312"/>
                      <w:sz w:val="20"/>
                    </w:rPr>
                    <w:t>＜</w:t>
                  </w:r>
                  <w:r>
                    <w:rPr>
                      <w:rFonts w:ascii="仿宋_GB2312" w:hAnsi="仿宋_GB2312" w:cs="仿宋_GB2312" w:eastAsia="仿宋_GB2312"/>
                      <w:sz w:val="20"/>
                    </w:rPr>
                    <w:t>3% 驱动方式</w:t>
                  </w:r>
                </w:p>
                <w:p>
                  <w:pPr>
                    <w:pStyle w:val="null3"/>
                    <w:jc w:val="both"/>
                  </w:pPr>
                  <w:r>
                    <w:rPr>
                      <w:rFonts w:ascii="仿宋_GB2312" w:hAnsi="仿宋_GB2312" w:cs="仿宋_GB2312" w:eastAsia="仿宋_GB2312"/>
                      <w:sz w:val="20"/>
                    </w:rPr>
                    <w:t>恒流驱动</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6.白平衡亮度 室外≥5500cd/m</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7.水平视角14°-16°垂直视角14-16°</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8.最高对比度≥4000:1支持亮度色度校正亮度均匀性≥97%色度均匀度±0.003Cx</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9.换帧频率≥60Hz 刷新频率≥1920/3840灰度等级≥14/16Bit  像素失控点 ≤1/10000，无连续失控点</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10.亮度调节范围自动/手动;1-100%;亮度可随环境亮度的变化自动调节。</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11.色温 3000K-9300K 可调</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12.峰值功耗 ≤850W/㎡、平均功耗 ≤380W/m2</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13.LED 使用寿命≥10000H、防护等级室外正面≥ IP65、背面≥IP54</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14.维护方式前维护后维护、面罩阻燃V-O 等级、PCB阻燃 V-0 等级 、抗干扰 IEC801、安全 GB4793</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比赛手册印刷</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 单面尺寸不小于A4大小，材质均为铜板纸，彩色印刷。</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1050</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本</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2.需装订成册。</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3.所有印刷资料由采购方提供。</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4.专家手册170本、参赛手册680本、成果展示手册200本</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工作牌制作</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包含：志愿者工作牌</w:t>
                  </w:r>
                  <w:r>
                    <w:rPr>
                      <w:rFonts w:ascii="仿宋_GB2312" w:hAnsi="仿宋_GB2312" w:cs="仿宋_GB2312" w:eastAsia="仿宋_GB2312"/>
                      <w:sz w:val="20"/>
                    </w:rPr>
                    <w:t>230个、工作人员牌160个、评委工作牌176个、参赛选手牌1350个、指导教师证660个、领队证95个、监委证15个，嘉宾证15个</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2701</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1.尺寸不小于B7、带挂绳。</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2.PVC材质。</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3.正反面印制、图案根据采购方需求设计。</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会务资料</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1.包含中性笔、铅笔、橡皮、稿纸、打印纸、磁吸纸夹、杯托等。</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168</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2.中性笔：0.5mm、黑色、子弹头、笔帽分离式、书写丝滑不流墨不卡墨。数量不少于</w:t>
                  </w:r>
                  <w:r>
                    <w:rPr>
                      <w:rFonts w:ascii="仿宋_GB2312" w:hAnsi="仿宋_GB2312" w:cs="仿宋_GB2312" w:eastAsia="仿宋_GB2312"/>
                      <w:sz w:val="20"/>
                    </w:rPr>
                    <w:t>168</w:t>
                  </w:r>
                  <w:r>
                    <w:rPr>
                      <w:rFonts w:ascii="仿宋_GB2312" w:hAnsi="仿宋_GB2312" w:cs="仿宋_GB2312" w:eastAsia="仿宋_GB2312"/>
                      <w:sz w:val="20"/>
                    </w:rPr>
                    <w:t>个</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3.橡皮:尺寸≥5cm*3cm*3cm，数量不少于</w:t>
                  </w:r>
                  <w:r>
                    <w:rPr>
                      <w:rFonts w:ascii="仿宋_GB2312" w:hAnsi="仿宋_GB2312" w:cs="仿宋_GB2312" w:eastAsia="仿宋_GB2312"/>
                      <w:sz w:val="20"/>
                    </w:rPr>
                    <w:t>168</w:t>
                  </w:r>
                  <w:r>
                    <w:rPr>
                      <w:rFonts w:ascii="仿宋_GB2312" w:hAnsi="仿宋_GB2312" w:cs="仿宋_GB2312" w:eastAsia="仿宋_GB2312"/>
                      <w:sz w:val="20"/>
                    </w:rPr>
                    <w:t>个</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4.稿纸:尺寸A4、每本不少于10张、PP纸、重量50-100g、页面无横线方格，数量不少于168本</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5.打印纸:尺寸A4、页面整洁无污痕、PP纸、重量50-100g，数量不少于2箱</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6.磁吸纸夹:尺寸A4、毛重1kg、材质塑制手感或者皮质手感，数量不少于</w:t>
                  </w:r>
                  <w:r>
                    <w:rPr>
                      <w:rFonts w:ascii="仿宋_GB2312" w:hAnsi="仿宋_GB2312" w:cs="仿宋_GB2312" w:eastAsia="仿宋_GB2312"/>
                      <w:sz w:val="20"/>
                    </w:rPr>
                    <w:t>168</w:t>
                  </w:r>
                  <w:r>
                    <w:rPr>
                      <w:rFonts w:ascii="仿宋_GB2312" w:hAnsi="仿宋_GB2312" w:cs="仿宋_GB2312" w:eastAsia="仿宋_GB2312"/>
                      <w:sz w:val="20"/>
                    </w:rPr>
                    <w:t>个</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7.三孔杯托：材质塑制手感或者皮质手感，数量不少于</w:t>
                  </w:r>
                  <w:r>
                    <w:rPr>
                      <w:rFonts w:ascii="仿宋_GB2312" w:hAnsi="仿宋_GB2312" w:cs="仿宋_GB2312" w:eastAsia="仿宋_GB2312"/>
                      <w:sz w:val="20"/>
                    </w:rPr>
                    <w:t>168</w:t>
                  </w:r>
                  <w:r>
                    <w:rPr>
                      <w:rFonts w:ascii="仿宋_GB2312" w:hAnsi="仿宋_GB2312" w:cs="仿宋_GB2312" w:eastAsia="仿宋_GB2312"/>
                      <w:sz w:val="20"/>
                    </w:rPr>
                    <w:t>个</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8.回形针、订书机、双面胶等一批</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9.餐巾纸100盒、湿巾纸</w:t>
                  </w:r>
                  <w:r>
                    <w:rPr>
                      <w:rFonts w:ascii="仿宋_GB2312" w:hAnsi="仿宋_GB2312" w:cs="仿宋_GB2312" w:eastAsia="仿宋_GB2312"/>
                      <w:sz w:val="20"/>
                    </w:rPr>
                    <w:t>168</w:t>
                  </w:r>
                  <w:r>
                    <w:rPr>
                      <w:rFonts w:ascii="仿宋_GB2312" w:hAnsi="仿宋_GB2312" w:cs="仿宋_GB2312" w:eastAsia="仿宋_GB2312"/>
                      <w:sz w:val="20"/>
                    </w:rPr>
                    <w:t>包</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13</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现场赛打分系统</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1.管理员管理</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1）超级管理员可新建角色信息，并可配置角色对应功能权限，支持编辑、删除等操作；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2）超级管理员可新建管理员账号，并可配置各管理员对应角色信息，支持查看、重置密码、编辑、删除、导入、导出等操作；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3）▲超级管理员可配置各管理员账号的可见数据范围，支持控制到评审组级别；</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2.专家信息库</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1）管理员可新建评审专家信息，支持查看、导入、重置密码、导出、编辑、删除等操作；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2）管理员可编辑维护评审专家的头像信息，支持导入操作；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3）管理员可创建虚拟账号供评审专家评审时使用，支持下载账号密码等信息；</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4）管理员可配置评审专家需参与赛事评审环节，供评审专家提前确认能否参与；</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5）评审专家可在PC端勾选可参与的赛事评审环节；</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6）管理员可查看评审专家确认可参与的赛事评审环节，支持导出等操作；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3.项目负责人管理</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1）管理员可新建项目负责人信息，支持查看、重置密码、导入、编辑、删除等操作；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2）管理员可在导入参赛项目信息时，由系统自动创建项目负责人信息；</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4.产业命题管理</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1）管理员可添加产业命题信息，产业命题信息包含但不限于命题名称、命题企业等内容，支持查看、导入、导出、编辑、删除等操作；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5.项目信息库</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1）管理员可新建项目信息，包含但不限于项目名称、赛道组别、项目团队、指导教师等信息，支持查看、导入、导出、编辑、删除等操作；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2）管理员可上传项目附件文档，支持按照项目附件类型进行导入、编辑、删除等操作；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3）管理员可按照大创网中项目唯一标识码进行项目信息编辑，支持大创网的数据和信息直接导入；</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4）管理员可维护对项目信息中的产业命题信息，支持导入、编辑等操作；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5）管理员可维护项目关联的公司信息或者社会组织信息，支持导入、编辑等操作；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6）项目负责人可在PC端维护项目各类型的附件文档；</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7）▲管理员可对项目的合规性进行审查操作，审查结果为“不通过”时，无法将项目分配到评审组中；</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6.系统设置</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1）管理员可维护系统的基础信息，包括但不限于各端口对应的域名地址、LOGO图标、标题名称等信息；</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2）管理员可配置网络评审时PC端页面中各项目的显示方式；</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3）▲管理员可配置网络评审时评委是否需要签署保密承诺书；</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▲管理员可配置评委评审过程中是否可查看项目详细信息以及可查看的板块类型；</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5）管理员可配置项目负责人是否可维护项目附件以及附件类型信息；</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6）管理员可配置项目负责人是否可进行路演抽签；</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7）▲支持与国家级比赛评分系统的数据对接。（供应商提供承诺函，承诺可与国赛无缝对接）</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7．分组管理</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1）管理员可根据赛事的不同赛道组别创建评审组，支持查询、导入、导出、编辑、删除等操作；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对评审组中评委打分情况或者项目得分情况进行异常分析，支持以各评委平均打分分值或各项目平均得分分值为参考因子，用于分析评委对项目打分分值与评委平均打分分值的偏离或评委对项目打分分值与项目平均得分分值的偏离等情况，支持批量分析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8. 评委分组</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1）管理员可将评委添加到不同评审组中，支持批量添加、导入、导出、查询、编辑、删除等操作；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2）管理员可根据所选赛事，自动将没有评审任务的评委随机分配到所有评审组或者指定评审组中；</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( 3）管理员可批量修改评审组内各评委的编号；</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9. 网络评审</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1）评委可登录PC端进行网络评审，支持手机验证码或账号密码两种登录方式；</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2）评委查看参赛项目的附件信息时，支持在线阅览；</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3）▲评委可签署确认函用于对评审结果进行确认，支持在线签名、扫码签名、上传纸质签名三种方式；</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 项目方抽签</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1）管理员可配置路演顺序的抽签方式以及抽签时间等信息，支持多种抽签方式；</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2）项目负责人可登录PC端进行项目路演顺序抽签，支持手机验证码或者账号密码两种登录方式；</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3）管理员可实时监控各项目的抽签情况，支持在抽签结束后手动分配未抽签的项目路演顺序；</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11. 赛事路演</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1）管理员可创建针对现场评审的赛事路演信息，支持查询、编辑、删除等操作；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2）管理员可根据所选赛事，自动按照赛事的每个评审组创建一个赛事路演信息；</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3）▲管理员可设置赛事路演是否支持“合议模式”，以及设置合议项目数等信息；</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4）管理员可对评委进行分组抽签、对项目进行分组抽签、对项目的路演顺序进行抽签，并可分别以现场投屏的方式将抽签过程统一对外展示；</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5）管理员可对同分项目开启同分投票功能，供评委进行投票，支持多次同分投票操作；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12.现场评审</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1）评委可登录Pad端进行现场评审，支持手机验证码或者账号密码两种登录方式；</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2）▲管理员可实时监测参与现场评审的评委Pad端在线情况；</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3）评委可在Pad端进行现场评审打分，支持中英文切换、在线电子签名等操作；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13.评审管理</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(1）▲管理员可按照赛事评审方式的不同，下载不同格式的评委评审确认函签署表格；</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14.颁奖与晋级</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1）管理员可查看各参赛项目的综合评分信息；</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2）管理员可设置参赛项目的获奖信息，支持批量设置、校验奖项剩余数量等操作；</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15.赛事呈现</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1）支持分享赛事信息，公众可在PC端、移动端、比分大屏中，观看现场路演阶段各项目的比分情况；</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2）支持通过第三方直播平台，观看比赛现场视频画面；</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14</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抽签套装</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1.含定制抽签箱24个、抽签专用乒乓球900个、抽签凭证卡660个。</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2.抽签盒尺寸不低于0.6m*0.6m*0.6m</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3.抽签盘材质:亚克力、木制、硬质塑料</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4.乒乓球尺寸:直径39.50mm-40.50mm</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5.白色或者橙色，塑料材质</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志愿者服装制作</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根据采购方要求制作</w:t>
                  </w:r>
                  <w:r>
                    <w:rPr>
                      <w:rFonts w:ascii="仿宋_GB2312" w:hAnsi="仿宋_GB2312" w:cs="仿宋_GB2312" w:eastAsia="仿宋_GB2312"/>
                      <w:sz w:val="20"/>
                    </w:rPr>
                    <w:t>,服装类型为POLO衫，双面印刷学校相关元素</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450</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16</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分组赛各教室物料</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含背景</w:t>
                  </w:r>
                  <w:r>
                    <w:rPr>
                      <w:rFonts w:ascii="仿宋_GB2312" w:hAnsi="仿宋_GB2312" w:cs="仿宋_GB2312" w:eastAsia="仿宋_GB2312"/>
                      <w:sz w:val="20"/>
                    </w:rPr>
                    <w:t>KT板、黑板KT板、门贴、安装等</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间</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17</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场地布置</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包含比赛场地</w:t>
                  </w:r>
                  <w:r>
                    <w:rPr>
                      <w:rFonts w:ascii="仿宋_GB2312" w:hAnsi="仿宋_GB2312" w:cs="仿宋_GB2312" w:eastAsia="仿宋_GB2312"/>
                      <w:sz w:val="20"/>
                    </w:rPr>
                    <w:t>24间、候场场地23间、观摩场地23间、会评场地布置7间</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77</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间</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　</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18</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采购存储设备</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w:t>
                  </w:r>
                  <w:r>
                    <w:rPr>
                      <w:rFonts w:ascii="仿宋_GB2312" w:hAnsi="仿宋_GB2312" w:cs="仿宋_GB2312" w:eastAsia="仿宋_GB2312"/>
                      <w:sz w:val="20"/>
                    </w:rPr>
                    <w:t>64G高速Ｕ盘23个、1TB高速存储硬盘3个。</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批</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19</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饮用茶水</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包含饮用水</w:t>
                  </w:r>
                  <w:r>
                    <w:rPr>
                      <w:rFonts w:ascii="仿宋_GB2312" w:hAnsi="仿宋_GB2312" w:cs="仿宋_GB2312" w:eastAsia="仿宋_GB2312"/>
                      <w:sz w:val="20"/>
                    </w:rPr>
                    <w:t>250箱（规格不少于380ML</w:t>
                  </w:r>
                </w:p>
                <w:p>
                  <w:pPr>
                    <w:pStyle w:val="null3"/>
                    <w:jc w:val="left"/>
                  </w:pPr>
                  <w:r>
                    <w:rPr>
                      <w:rFonts w:ascii="仿宋_GB2312" w:hAnsi="仿宋_GB2312" w:cs="仿宋_GB2312" w:eastAsia="仿宋_GB2312"/>
                      <w:sz w:val="20"/>
                    </w:rPr>
                    <w:t>,每箱24瓶）、咖啡40箱（规格不少于268ml，每箱15瓶）。</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批</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20</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照片直播</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1.配备专业摄影师对比赛期间各赛场参赛照片拍摄、大赛校内氛围拍摄，所有照片需高清处理并实时直播。</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23</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w:t>
                  </w:r>
                  <w:r>
                    <w:rPr>
                      <w:rFonts w:ascii="仿宋_GB2312" w:hAnsi="仿宋_GB2312" w:cs="仿宋_GB2312" w:eastAsia="仿宋_GB2312"/>
                      <w:sz w:val="20"/>
                    </w:rPr>
                    <w:t>/天</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21</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视频拍摄</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1.大赛期间各赛场视频拍摄，校内氛围营造视频拍摄。</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w:t>
                  </w:r>
                  <w:r>
                    <w:rPr>
                      <w:rFonts w:ascii="仿宋_GB2312" w:hAnsi="仿宋_GB2312" w:cs="仿宋_GB2312" w:eastAsia="仿宋_GB2312"/>
                      <w:sz w:val="20"/>
                    </w:rPr>
                    <w:t>/天</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2.需配置专业摄像师，掌握运镜技术，保障后期回顾视频剪辑所需素材拍摄。</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3.需配备云台，保障视频清晰稳定性。</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22</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快剪视频制作</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1.使用专业软件剪辑，素材来自大赛期间所有拍摄及录制花絮剪辑。</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条</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2.视频导出格式为MP4，视频时长不少于2分钟。</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23</w:t>
                  </w:r>
                </w:p>
              </w:tc>
              <w:tc>
                <w:tcPr>
                  <w:tcW w:type="dxa" w:w="26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资料袋制作</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1.具有两根提手,手拎携带。</w:t>
                  </w:r>
                </w:p>
              </w:tc>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1000</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2.无纺布或纸张材质</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3.宽度不低于25cm，长度不低于35cm，可容纳厚度不低于10cm。</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264"/>
                  <w:vMerge/>
                  <w:tcBorders>
                    <w:top w:val="none" w:color="000000" w:sz="4"/>
                    <w:left w:val="single" w:color="000000" w:sz="4"/>
                    <w:bottom w:val="single" w:color="000000" w:sz="4"/>
                    <w:right w:val="single" w:color="000000" w:sz="4"/>
                  </w:tcBorders>
                </w:tcP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4.表面需印制定制图案文字，印制内容根据采购方需求设计。</w:t>
                  </w:r>
                </w:p>
              </w:tc>
              <w:tc>
                <w:tcPr>
                  <w:tcW w:type="dxa" w:w="25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就餐部分</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负责省赛复赛期间各参赛队伍及工作人员的工作餐，预计就餐人数</w:t>
                  </w:r>
                  <w:r>
                    <w:rPr>
                      <w:rFonts w:ascii="仿宋_GB2312" w:hAnsi="仿宋_GB2312" w:cs="仿宋_GB2312" w:eastAsia="仿宋_GB2312"/>
                      <w:sz w:val="20"/>
                    </w:rPr>
                    <w:t>3500人次，餐标不低于35元/位/餐</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25</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志愿者培训费</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包含主持人组培训、播放组培训、打分组培训、志愿者组培训、计时组培训、核分组培训、签到检录组培训</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21</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场</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26</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大赛技术支持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技术团队驻场，快速修复硬件</w:t>
                  </w:r>
                  <w:r>
                    <w:rPr>
                      <w:rFonts w:ascii="仿宋_GB2312" w:hAnsi="仿宋_GB2312" w:cs="仿宋_GB2312" w:eastAsia="仿宋_GB2312"/>
                      <w:sz w:val="20"/>
                    </w:rPr>
                    <w:t>/软件故障；云端数据备份与应急方案；抽签分组、赛程编排，比赛画面转播调试，团队人员配置不少于10人</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27</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发电车租赁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比赛期间全程保障赛场应急用电使用，每日配置</w:t>
                  </w:r>
                  <w:r>
                    <w:rPr>
                      <w:rFonts w:ascii="仿宋_GB2312" w:hAnsi="仿宋_GB2312" w:cs="仿宋_GB2312" w:eastAsia="仿宋_GB2312"/>
                      <w:sz w:val="20"/>
                    </w:rPr>
                    <w:t>1辆发电车应急保障</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28</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急救车租赁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比赛期间全程保障赛场医疗配备工作，每日配置</w:t>
                  </w:r>
                  <w:r>
                    <w:rPr>
                      <w:rFonts w:ascii="仿宋_GB2312" w:hAnsi="仿宋_GB2312" w:cs="仿宋_GB2312" w:eastAsia="仿宋_GB2312"/>
                      <w:sz w:val="20"/>
                    </w:rPr>
                    <w:t>1辆急救车应急保障，每车配备1名司机、2名急救医护人员</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29</w:t>
                  </w:r>
                </w:p>
              </w:tc>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折叠桌椅租赁</w:t>
                  </w:r>
                </w:p>
              </w:tc>
              <w:tc>
                <w:tcPr>
                  <w:tcW w:type="dxa" w:w="15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折叠桌尺寸</w:t>
                  </w:r>
                  <w:r>
                    <w:rPr>
                      <w:rFonts w:ascii="仿宋_GB2312" w:hAnsi="仿宋_GB2312" w:cs="仿宋_GB2312" w:eastAsia="仿宋_GB2312"/>
                      <w:sz w:val="20"/>
                    </w:rPr>
                    <w:t>60cm*120cm 套蓝色桌布</w:t>
                  </w:r>
                </w:p>
                <w:p>
                  <w:pPr>
                    <w:pStyle w:val="null3"/>
                    <w:jc w:val="left"/>
                  </w:pPr>
                  <w:r>
                    <w:rPr>
                      <w:rFonts w:ascii="仿宋_GB2312" w:hAnsi="仿宋_GB2312" w:cs="仿宋_GB2312" w:eastAsia="仿宋_GB2312"/>
                      <w:sz w:val="20"/>
                    </w:rPr>
                    <w:t>嘉宾椅</w:t>
                  </w:r>
                  <w:r>
                    <w:rPr>
                      <w:rFonts w:ascii="仿宋_GB2312" w:hAnsi="仿宋_GB2312" w:cs="仿宋_GB2312" w:eastAsia="仿宋_GB2312"/>
                      <w:sz w:val="20"/>
                    </w:rPr>
                    <w:t>套白色椅套</w:t>
                  </w: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300</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0"/>
              <w:jc w:val="both"/>
            </w:pPr>
            <w:r>
              <w:rPr>
                <w:rFonts w:ascii="仿宋_GB2312" w:hAnsi="仿宋_GB2312" w:cs="仿宋_GB2312" w:eastAsia="仿宋_GB2312"/>
                <w:sz w:val="20"/>
              </w:rPr>
              <w:t>3.2、现场赛氛围营造</w:t>
            </w:r>
          </w:p>
          <w:tbl>
            <w:tblPr>
              <w:tblInd w:type="dxa" w:w="120"/>
              <w:tblBorders>
                <w:top w:val="none" w:color="000000" w:sz="4"/>
                <w:left w:val="none" w:color="000000" w:sz="4"/>
                <w:bottom w:val="none" w:color="000000" w:sz="4"/>
                <w:right w:val="none" w:color="000000" w:sz="4"/>
                <w:insideH w:val="none"/>
                <w:insideV w:val="none"/>
              </w:tblBorders>
            </w:tblPr>
            <w:tblGrid>
              <w:gridCol w:w="162"/>
              <w:gridCol w:w="297"/>
              <w:gridCol w:w="1492"/>
              <w:gridCol w:w="260"/>
              <w:gridCol w:w="162"/>
              <w:gridCol w:w="178"/>
            </w:tblGrid>
            <w:tr>
              <w:tc>
                <w:tcPr>
                  <w:tcW w:type="dxa" w:w="16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项目名称</w:t>
                  </w:r>
                </w:p>
              </w:tc>
              <w:tc>
                <w:tcPr>
                  <w:tcW w:type="dxa" w:w="14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技术服务要求</w:t>
                  </w:r>
                </w:p>
              </w:tc>
              <w:tc>
                <w:tcPr>
                  <w:tcW w:type="dxa" w:w="2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1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天数</w:t>
                  </w:r>
                </w:p>
              </w:tc>
            </w:tr>
            <w:tr>
              <w:tc>
                <w:tcPr>
                  <w:tcW w:type="dxa" w:w="1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主题桁架搭建</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尺寸及板式设计须符合氛围营造需要</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异型打卡点</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主框架使用不锈钢材质，由直杆组成的三角形框构成的几何形状不变的结构物，桁架搭建，表面用喷绘布包裹。</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赛场位置指引桁架</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表面图案根据采购方需求设计。</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2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横幅</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1.尺寸需适应氛围营造需要。</w:t>
                  </w:r>
                </w:p>
              </w:tc>
              <w:tc>
                <w:tcPr>
                  <w:tcW w:type="dxa" w:w="26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1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条</w:t>
                  </w:r>
                </w:p>
              </w:tc>
              <w:tc>
                <w:tcPr>
                  <w:tcW w:type="dxa" w:w="17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2.主要材质喷绘布制作。</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3.根据采购方需求设计。</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2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道旗</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1.道旗尺寸总高不低于5M，旗杆支撑可普通铁质方管或圆管，上下横梁可采用铝合金和不锈钢旗杆，整体外观表面光洁度高、美观，可多次拆卸，易于加工，带配重底座。</w:t>
                  </w:r>
                </w:p>
              </w:tc>
              <w:tc>
                <w:tcPr>
                  <w:tcW w:type="dxa" w:w="26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w:t>
                  </w:r>
                </w:p>
              </w:tc>
              <w:tc>
                <w:tcPr>
                  <w:tcW w:type="dxa" w:w="1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2.旗面尺寸适应氛围营造需要，户外写真布喷绘布，正反面颜色一样，无色差，图形与旗面柔软度一样，水洗日晒不掉色。</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3.图案根据采购方需求设计。</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2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落地字台制作</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1.尺寸需适应氛围营造需要。</w:t>
                  </w:r>
                </w:p>
              </w:tc>
              <w:tc>
                <w:tcPr>
                  <w:tcW w:type="dxa" w:w="26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2.亚克力材质，高透明度、高韧性、良好的耐候性和化学稳定性。</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3.3D模型制作，模型图案根据采购方需求设计。</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酒店氛围营造</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包含主题桁架、立屏、道旗、</w:t>
                  </w:r>
                  <w:r>
                    <w:rPr>
                      <w:rFonts w:ascii="仿宋_GB2312" w:hAnsi="仿宋_GB2312" w:cs="仿宋_GB2312" w:eastAsia="仿宋_GB2312"/>
                      <w:sz w:val="20"/>
                    </w:rPr>
                    <w:t>KT板等，数量及尺寸需满足采购方需求。</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校园指引标识</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指引标识、地标、指示牌等。</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60</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2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道路指引牌</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1.尺寸需适应氛围营造需要。</w:t>
                  </w:r>
                </w:p>
              </w:tc>
              <w:tc>
                <w:tcPr>
                  <w:tcW w:type="dxa" w:w="26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25</w:t>
                  </w:r>
                </w:p>
              </w:tc>
              <w:tc>
                <w:tcPr>
                  <w:tcW w:type="dxa" w:w="1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2.主框架使用不锈钢材质，由直杆组成的三角形框构成的几何形状不变的结构物，桁架搭建，表面用喷绘布包裹。</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3.图案根据采购方需求设计。</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2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参赛队伍信息桁架</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1.尺寸需适应氛围营造需要。</w:t>
                  </w:r>
                </w:p>
              </w:tc>
              <w:tc>
                <w:tcPr>
                  <w:tcW w:type="dxa" w:w="26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w:t>
                  </w:r>
                </w:p>
              </w:tc>
              <w:tc>
                <w:tcPr>
                  <w:tcW w:type="dxa" w:w="1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块</w:t>
                  </w:r>
                </w:p>
              </w:tc>
              <w:tc>
                <w:tcPr>
                  <w:tcW w:type="dxa" w:w="17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2.主框架使用不锈钢材质，由直杆组成的三角形框构成的几何形状不变的结构物，桁架搭建，表面用喷绘布包裹。</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3.图案根据采购方需求设计。</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2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主背景桁架</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1.尺寸需适应氛围营造需要。</w:t>
                  </w:r>
                </w:p>
              </w:tc>
              <w:tc>
                <w:tcPr>
                  <w:tcW w:type="dxa" w:w="26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2.主框架使用不锈钢材质，由直杆组成的三角形框构成的几何形状不变的结构物，桁架搭建，表面用喷绘布包裹。</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3.图案根据采购方需求设计。</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c>
                <w:tcPr>
                  <w:tcW w:type="dxa" w:w="29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参赛学校信息桁架</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1.尺寸需适应氛围营造需要。</w:t>
                  </w:r>
                </w:p>
              </w:tc>
              <w:tc>
                <w:tcPr>
                  <w:tcW w:type="dxa" w:w="26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7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2.主框架使用不锈钢材质，由直杆组成的三角形框构成的几何形状不变的结构物，桁架搭建，表面用喷绘布包裹。</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297"/>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3.图案根据采购方需求设计。</w:t>
                  </w:r>
                </w:p>
              </w:tc>
              <w:tc>
                <w:tcPr>
                  <w:tcW w:type="dxa" w:w="260"/>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r>
            <w:tr>
              <w:tc>
                <w:tcPr>
                  <w:tcW w:type="dxa" w:w="1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13</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设计费</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包含大赛所有赛事设计、氛围设计、所有宣传物料设计、所有</w:t>
                  </w:r>
                  <w:r>
                    <w:rPr>
                      <w:rFonts w:ascii="仿宋_GB2312" w:hAnsi="仿宋_GB2312" w:cs="仿宋_GB2312" w:eastAsia="仿宋_GB2312"/>
                      <w:sz w:val="20"/>
                    </w:rPr>
                    <w:t>3D模型设计</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14</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志愿者服务点</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包含帐篷、桌椅、</w:t>
                  </w:r>
                  <w:r>
                    <w:rPr>
                      <w:rFonts w:ascii="仿宋_GB2312" w:hAnsi="仿宋_GB2312" w:cs="仿宋_GB2312" w:eastAsia="仿宋_GB2312"/>
                      <w:sz w:val="20"/>
                    </w:rPr>
                    <w:t>KT板等，每个服务点需配备帐篷1顶、2桌4椅，KT板1个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点位</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其他物料制作</w:t>
                  </w:r>
                </w:p>
              </w:tc>
              <w:tc>
                <w:tcPr>
                  <w:tcW w:type="dxa" w:w="14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包含赛场卫生间指引、赛场卫生间指引、指引地贴</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0"/>
              <w:jc w:val="both"/>
            </w:pPr>
            <w:r>
              <w:rPr>
                <w:rFonts w:ascii="仿宋_GB2312" w:hAnsi="仿宋_GB2312" w:cs="仿宋_GB2312" w:eastAsia="仿宋_GB2312"/>
                <w:sz w:val="20"/>
              </w:rPr>
              <w:t>3.3、启动会、冠亚军颁奖典礼部分：</w:t>
            </w:r>
          </w:p>
          <w:tbl>
            <w:tblPr>
              <w:tblInd w:type="dxa" w:w="135"/>
              <w:tblBorders>
                <w:top w:val="none" w:color="000000" w:sz="4"/>
                <w:left w:val="none" w:color="000000" w:sz="4"/>
                <w:bottom w:val="none" w:color="000000" w:sz="4"/>
                <w:right w:val="none" w:color="000000" w:sz="4"/>
                <w:insideH w:val="none"/>
                <w:insideV w:val="none"/>
              </w:tblBorders>
            </w:tblPr>
            <w:tblGrid>
              <w:gridCol w:w="171"/>
              <w:gridCol w:w="216"/>
              <w:gridCol w:w="1749"/>
              <w:gridCol w:w="158"/>
              <w:gridCol w:w="129"/>
              <w:gridCol w:w="130"/>
            </w:tblGrid>
            <w:tr>
              <w:tc>
                <w:tcPr>
                  <w:tcW w:type="dxa" w:w="171"/>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16"/>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项目名称</w:t>
                  </w:r>
                </w:p>
              </w:tc>
              <w:tc>
                <w:tcPr>
                  <w:tcW w:type="dxa" w:w="1749"/>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技术服务要求</w:t>
                  </w:r>
                </w:p>
              </w:tc>
              <w:tc>
                <w:tcPr>
                  <w:tcW w:type="dxa" w:w="158"/>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129"/>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c>
                <w:tcPr>
                  <w:tcW w:type="dxa" w:w="130"/>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both"/>
                  </w:pPr>
                  <w:r>
                    <w:rPr>
                      <w:rFonts w:ascii="仿宋_GB2312" w:hAnsi="仿宋_GB2312" w:cs="仿宋_GB2312" w:eastAsia="仿宋_GB2312"/>
                      <w:sz w:val="20"/>
                    </w:rPr>
                    <w:t>天数</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LED显示屏租赁搭建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1套，使用周期3天；闭幕式1套，使用周期3天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启动会：主屏：</w:t>
                  </w:r>
                  <w:r>
                    <w:rPr>
                      <w:rFonts w:ascii="仿宋_GB2312" w:hAnsi="仿宋_GB2312" w:cs="仿宋_GB2312" w:eastAsia="仿宋_GB2312"/>
                      <w:sz w:val="20"/>
                    </w:rPr>
                    <w:t>8m*16m  侧屏：8*2.5m*4 ;台口屏：12m*1m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闭幕式：主屏：</w:t>
                  </w:r>
                  <w:r>
                    <w:rPr>
                      <w:rFonts w:ascii="仿宋_GB2312" w:hAnsi="仿宋_GB2312" w:cs="仿宋_GB2312" w:eastAsia="仿宋_GB2312"/>
                      <w:sz w:val="20"/>
                    </w:rPr>
                    <w:t>19*8m  侧屏：6*4m*2;造型屏：0.5m*2m*16; 台口屏：16m*1m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1.高清室外P2显示屏。</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2.点间距2.97mm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3.像素结构 IRIGIB</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4.LED封装类型 表贴三合一LED</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5.模组尺寸 500mm（宽）*500mm（高）</w:t>
                  </w:r>
                  <w:r>
                    <w:rPr>
                      <w:rFonts w:ascii="仿宋_GB2312" w:hAnsi="仿宋_GB2312" w:cs="仿宋_GB2312" w:eastAsia="仿宋_GB2312"/>
                      <w:sz w:val="20"/>
                    </w:rPr>
                    <w:t>，</w:t>
                  </w:r>
                  <w:r>
                    <w:rPr>
                      <w:rFonts w:ascii="仿宋_GB2312" w:hAnsi="仿宋_GB2312" w:cs="仿宋_GB2312" w:eastAsia="仿宋_GB2312"/>
                      <w:sz w:val="20"/>
                    </w:rPr>
                    <w:t>模组分辨率</w:t>
                  </w:r>
                  <w:r>
                    <w:rPr>
                      <w:rFonts w:ascii="仿宋_GB2312" w:hAnsi="仿宋_GB2312" w:cs="仿宋_GB2312" w:eastAsia="仿宋_GB2312"/>
                      <w:sz w:val="20"/>
                    </w:rPr>
                    <w:t>128点（宽）*1128点（高）</w:t>
                  </w:r>
                  <w:r>
                    <w:rPr>
                      <w:rFonts w:ascii="仿宋_GB2312" w:hAnsi="仿宋_GB2312" w:cs="仿宋_GB2312" w:eastAsia="仿宋_GB2312"/>
                      <w:sz w:val="20"/>
                    </w:rPr>
                    <w:t>，</w:t>
                  </w:r>
                  <w:r>
                    <w:rPr>
                      <w:rFonts w:ascii="仿宋_GB2312" w:hAnsi="仿宋_GB2312" w:cs="仿宋_GB2312" w:eastAsia="仿宋_GB2312"/>
                      <w:sz w:val="20"/>
                    </w:rPr>
                    <w:t>模组平整度</w:t>
                  </w:r>
                  <w:r>
                    <w:rPr>
                      <w:rFonts w:ascii="仿宋_GB2312" w:hAnsi="仿宋_GB2312" w:cs="仿宋_GB2312" w:eastAsia="仿宋_GB2312"/>
                      <w:sz w:val="20"/>
                    </w:rPr>
                    <w:t>≤0.2mm</w:t>
                  </w:r>
                  <w:r>
                    <w:rPr>
                      <w:rFonts w:ascii="仿宋_GB2312" w:hAnsi="仿宋_GB2312" w:cs="仿宋_GB2312" w:eastAsia="仿宋_GB2312"/>
                      <w:sz w:val="20"/>
                    </w:rPr>
                    <w:t>，</w:t>
                  </w:r>
                  <w:r>
                    <w:rPr>
                      <w:rFonts w:ascii="仿宋_GB2312" w:hAnsi="仿宋_GB2312" w:cs="仿宋_GB2312" w:eastAsia="仿宋_GB2312"/>
                      <w:sz w:val="20"/>
                    </w:rPr>
                    <w:t>像素中心距相对偏差</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驱动方式</w:t>
                  </w:r>
                  <w:r>
                    <w:rPr>
                      <w:rFonts w:ascii="仿宋_GB2312" w:hAnsi="仿宋_GB2312" w:cs="仿宋_GB2312" w:eastAsia="仿宋_GB2312"/>
                      <w:sz w:val="20"/>
                    </w:rPr>
                    <w:t>：</w:t>
                  </w:r>
                  <w:r>
                    <w:rPr>
                      <w:rFonts w:ascii="仿宋_GB2312" w:hAnsi="仿宋_GB2312" w:cs="仿宋_GB2312" w:eastAsia="仿宋_GB2312"/>
                      <w:sz w:val="20"/>
                    </w:rPr>
                    <w:t>恒流驱动</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6.白平衡亮度 室外≥5500cd/m²</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7.水平视角 14°-16°垂直视角 14°-16°</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8.最高对比度≥4000：1  支持亮度色度校正;亮度均匀性≥97%</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9.换帧频率≥60Hz;刷新频率≥1920/3840  像素失控点 ≤1/10000;无连续失控点</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 亮度调节范围：（1%-100%）自动/自动;亮度可随环境亮度的变化自动调节。</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11.色温 3000K-9300K可调峰值功耗 ≤850W/m²、平均功耗 ≤380W/m²</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舞台搭建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雷亚舞台搭建</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1.立柱：φ48×2.5mm 钢管（Q235B），盘扣间距 500/600mm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2.横杆/斜杆：φ42×2.5mm，铸钢/锻压锁头，必须满销敲紧</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3.台面：18mm</w:t>
                  </w:r>
                  <w:r>
                    <w:rPr>
                      <w:rFonts w:ascii="仿宋_GB2312" w:hAnsi="仿宋_GB2312" w:cs="仿宋_GB2312" w:eastAsia="仿宋_GB2312"/>
                      <w:sz w:val="20"/>
                    </w:rPr>
                    <w:t>及以上</w:t>
                  </w:r>
                  <w:r>
                    <w:rPr>
                      <w:rFonts w:ascii="仿宋_GB2312" w:hAnsi="仿宋_GB2312" w:cs="仿宋_GB2312" w:eastAsia="仿宋_GB2312"/>
                      <w:sz w:val="20"/>
                    </w:rPr>
                    <w:t xml:space="preserve"> </w:t>
                  </w:r>
                  <w:r>
                    <w:rPr>
                      <w:rFonts w:ascii="仿宋_GB2312" w:hAnsi="仿宋_GB2312" w:cs="仿宋_GB2312" w:eastAsia="仿宋_GB2312"/>
                      <w:sz w:val="20"/>
                    </w:rPr>
                    <w:t>防水多层板</w:t>
                  </w:r>
                  <w:r>
                    <w:rPr>
                      <w:rFonts w:ascii="仿宋_GB2312" w:hAnsi="仿宋_GB2312" w:cs="仿宋_GB2312" w:eastAsia="仿宋_GB2312"/>
                      <w:sz w:val="20"/>
                    </w:rPr>
                    <w:t>/ 铝合金模块，B1级阻燃</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4.底座：可调底座（±100mm），松软地面加 20mm钢板</w:t>
                  </w:r>
                  <w:r>
                    <w:rPr>
                      <w:rFonts w:ascii="仿宋_GB2312" w:hAnsi="仿宋_GB2312" w:cs="仿宋_GB2312" w:eastAsia="仿宋_GB2312"/>
                      <w:sz w:val="21"/>
                    </w:rPr>
                    <w:t xml:space="preserve"> </w:t>
                  </w:r>
                  <w:r>
                    <w:rPr>
                      <w:rFonts w:ascii="仿宋_GB2312" w:hAnsi="仿宋_GB2312" w:cs="仿宋_GB2312" w:eastAsia="仿宋_GB2312"/>
                      <w:sz w:val="20"/>
                    </w:rPr>
                    <w:t>垫层间距：常规</w:t>
                  </w:r>
                  <w:r>
                    <w:rPr>
                      <w:rFonts w:ascii="仿宋_GB2312" w:hAnsi="仿宋_GB2312" w:cs="仿宋_GB2312" w:eastAsia="仿宋_GB2312"/>
                      <w:sz w:val="20"/>
                    </w:rPr>
                    <w:t>0.9m/1.2m 网格，重载加密至 0.6m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5.高度：≤6m：正常搭设＞6m：每3m加水平加强层，顶部设缆风绳</w:t>
                  </w:r>
                  <w:r>
                    <w:br/>
                  </w:r>
                  <w:r>
                    <w:rPr>
                      <w:rFonts w:ascii="仿宋_GB2312" w:hAnsi="仿宋_GB2312" w:cs="仿宋_GB2312" w:eastAsia="仿宋_GB2312"/>
                      <w:sz w:val="20"/>
                    </w:rPr>
                    <w:t>- 单排≤12m，双排≤18m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6.台面：板间螺栓固定，边缘防滑条+1.2m护栏+15cm踢脚板</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音箱设备租赁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1套，使用周期3天：主扩线阵列全频音响16只；线阵列超低音音响8只；舞台返送6只</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闭幕式</w:t>
                  </w:r>
                  <w:r>
                    <w:rPr>
                      <w:rFonts w:ascii="仿宋_GB2312" w:hAnsi="仿宋_GB2312" w:cs="仿宋_GB2312" w:eastAsia="仿宋_GB2312"/>
                      <w:sz w:val="20"/>
                    </w:rPr>
                    <w:t>1套，使用周期3天：主扩线阵列全频音响24只；线阵列超低音音响10只；舞台返送8只；中补音响6只。</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青年红旅活动</w:t>
                  </w:r>
                  <w:r>
                    <w:rPr>
                      <w:rFonts w:ascii="仿宋_GB2312" w:hAnsi="仿宋_GB2312" w:cs="仿宋_GB2312" w:eastAsia="仿宋_GB2312"/>
                      <w:sz w:val="20"/>
                    </w:rPr>
                    <w:t>1套，使用周期1天。</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1.频响范围(-6dB): 120 Hz-20 KHz</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2.功率(RMS): 200 W-400 W</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3.声压级(1M): ≤128 dB</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4.指向角度（H ×V）: ≤ 120°× 16°                        </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5.扬声器单元中音:≥ 8×2.8 钕磁单元带冷却模块</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6.扬声器单元高音: ≥7×1钕磁单元</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7.功放类型: Class D功放, SMPS电源</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8.输入灵敏度:≥ 4dBV；                                            9.信号处理: DSP, ≥48 kHz, ≥24 bits</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10.保护: 多重限幅, 短路, 热保护；控制: On / Off 开关, 总音量, Full/ SAT开关, 防啸叫开关,陷波频率旋钮, 高频提升旋钮；                                                           11.指示灯:电源指示,信号指示,限幅指示,保护指示</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12.信号输入/输出接口:input XLR/Router-output XLR；电源输入/输出接口：Neutrik PowerCon</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大型数字调音台租赁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1台，使用周期3天；闭幕式1台，使用周期3天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1.输入通道:≥72路单声道+8路立体声;混音母线:24个;矩阵母线:8个（支持输入通道到矩阵）</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2.立体声母线1个，单声道母线1个，监听母线:21个;本地接口:8路模拟输入/输出，2路AES/EBU输出</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3.调音台本地扩展卡槽:23块可扩展卡槽;.调音台传输协议网络主/备DANTE协议，内部可接入设备不少于8台，DANTE网络:64进/64出，支持调音台进行DANTE配接</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4.支持Dugan Automixer自动混音;录音功能:支持多轨录音放音</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麦克风租赁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1批，使用周期3天：手持无线话筒6只；手持无线耳麦20只；鹅颈四头话筒1套  闭幕式1批，使用周期3天：手持无线话筒6只；手持无线耳麦20只；鹅颈四头话筒1套</w:t>
                  </w:r>
                </w:p>
                <w:p>
                  <w:pPr>
                    <w:pStyle w:val="null3"/>
                    <w:jc w:val="both"/>
                  </w:pPr>
                  <w:r>
                    <w:rPr>
                      <w:rFonts w:ascii="仿宋_GB2312" w:hAnsi="仿宋_GB2312" w:cs="仿宋_GB2312" w:eastAsia="仿宋_GB2312"/>
                      <w:sz w:val="20"/>
                    </w:rPr>
                    <w:t>青年红旅活动</w:t>
                  </w:r>
                  <w:r>
                    <w:rPr>
                      <w:rFonts w:ascii="仿宋_GB2312" w:hAnsi="仿宋_GB2312" w:cs="仿宋_GB2312" w:eastAsia="仿宋_GB2312"/>
                      <w:sz w:val="20"/>
                    </w:rPr>
                    <w:t>1批，使用周期1天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批</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1.载波频率范围:660-865MHz</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2.频率范围:40-20kHz</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3.总谐波天真:＜0.8%领定偏差/1KHz</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4.信噪比:≤105dB〔A)</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5.词制:FM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6.频率稳定性:(-10" to507 )士14kHz</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7.射频输出功辜:≤10mw(ERP)</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8.供电:1节AA电池〔可工作30个小时)</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天线放大系统租赁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2台，使用周期3天；闭幕式2台，使用周期3天；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1.频率范围 500-940MHz</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2.输入截断点 ±22dBm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3.噪声比 ≤4.0dB Type(Center Band)</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4.增益 ±6~9dB (Center Band)</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5.输出阻抗 ≤15dB min、阻抗 ≤50Ω</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6.频宽 300MHz、插座 BNC、指向性 ≤180度</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7.电源输出 DC12V/600~1000mA</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8.电源规格 DC12V/3000mA</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隔离变压器租赁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4台，使用周期3天；闭幕式4台，使用周期3天：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1.有源部分：</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电压测量范围：</w:t>
                  </w:r>
                  <w:r>
                    <w:rPr>
                      <w:rFonts w:ascii="仿宋_GB2312" w:hAnsi="仿宋_GB2312" w:cs="仿宋_GB2312" w:eastAsia="仿宋_GB2312"/>
                      <w:sz w:val="20"/>
                    </w:rPr>
                    <w:t>0~10V；电流测量范围：0~10A</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2.无源部分：电压测量范围：0~750V 宽量限。电流测量范围：0~100A内部全部自动切换量程。</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3.准确度  电压：±0.5%   电流：±0.5% 功率：±0.5%（CosΦ&gt;0.2），±1.0%（0.02＜cosΦ＜0.2）</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4.工作温度：－10℃~+40℃</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5.充电电源：</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交流</w:t>
                  </w:r>
                  <w:r>
                    <w:rPr>
                      <w:rFonts w:ascii="仿宋_GB2312" w:hAnsi="仿宋_GB2312" w:cs="仿宋_GB2312" w:eastAsia="仿宋_GB2312"/>
                      <w:sz w:val="20"/>
                    </w:rPr>
                    <w:t>160V~260V，绝缘：电压、电流输入端对机壳的绝缘电阻≥100MΩ</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电脑切割灯租赁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10台，使用周期3天： 闭幕式10台，使用周期3天：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1.显示屏: LCD 显示屏</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2.内置电池: 内置锂电池，可以断电时正常操作控制系统</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3.控制模式: DMX512,Art-Net,RDM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4.DMX 通道模式: 2种、控制通道: 34~40</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5.人工智能物联网系统：AIOT丰云系统，“毅•数据”</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6.X轴/Y轴：≥16 bit 精度扫描</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7.电子调光: 8 bit 或 16 bit</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8.X轴运转角度:≤540° Y轴运转角度:≤270°</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9.固定锁：水平/垂直锁</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10.磁感应定位系统，可精确自动校正X轴/Y轴位置  1~3个旋转图案盘，5~15种图案加白圆，方便替换</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11.图案片内径: ≥27 mm、图案片外径: ≥37.3 mm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12.厚度: 1.1 mm~4mm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13.设有“插槽和锁定”系统，便于更换Gobos</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14.1~3个效果盘，可制造出众的水纹及火焰效果，可旋转及更换、1~3个颜色盘，6~15种固定颜色加白色</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15.切割系统：4~8块光栅实现快速、平滑切割，每块光栅切割方向及角度可以独立控制运转快速平滑,速度可调节切割系统可平滑移动并精准定位整个切割模块可以旋转 90°</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16.电气与接口：自适配电源   输入电压范围: AC 230V，50/60Hz  功率 ≤ 1350W；  电源连接器 输入；48V 外接电池输入。</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光束灯租赁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50台，使用周期3天；闭幕式50台，使用周期3天；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50</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1.出光镜头直径：≥152mm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2.色温: ≤7800K</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3.光源: Philips MSD Silver 380W lamp</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4.色彩丰富的彩虹效果，可双向旋转</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5.固定图案盘：1~3个固定图案盘，16~28种固定图案加白圆</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6.颜色盘：1~3个颜色盘，14~28种固定颜色加白色，</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7.配备可双向旋转和叠加的8棱镜~24棱镜，双向彩虹效果，光束角度：≥2° 独立控制的雾化片</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8.杰出的频闪效果，速度可变，0-100%顺滑调光，在高清摄像机下无闪烁</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9.防尘、防油污设计。</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帕灯租赁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90台，使用周期3天；闭幕式90台，使用周期3天；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90</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1.电源输入: AC100~240V 50/60Hz</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2.最大功率: 563W</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3.光束发散角: ≤25°</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4.DMX 通道: 最少4 通道</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5.光源:超亮LED</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6.协议: USITT DMX-512控制模式: DMX, 自动运行</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7.操作模式: 主从机同步,单机自走,声控</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8.信号输入/输出: 3针卡隆座。</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追光灯租赁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1台，使用周期3天；闭幕式1台，使用周期3天；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1.电子调光: 8 bit 或 16 bit</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2.输入电压范围: AC 230V,50/60Hz</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3.功率: ≥1181W</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4.可承受的环境温度: ≤40°C  可承受的表面温度: ≤65°C  可承受的工作温度: ≥0°C</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5.水平安装在脚架上使用，通用的操作位置，底部设有一个脚架，保险绳连接孔。</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视频直播</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其中启动会视频直播</w:t>
                  </w:r>
                  <w:r>
                    <w:rPr>
                      <w:rFonts w:ascii="仿宋_GB2312" w:hAnsi="仿宋_GB2312" w:cs="仿宋_GB2312" w:eastAsia="仿宋_GB2312"/>
                      <w:sz w:val="20"/>
                    </w:rPr>
                    <w:t>1场、闭幕式视频直播1场，</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场</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1.不少于四机位，保障直播画面清晰，直播传输稳定，直播效果良好。</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 驻场服务3天，技术人员6名（含专业导播人员，讯道机导播，独立负责过电视台节目或演唱会）。</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照片直播</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1.比赛期间各赛场参赛照片拍摄、大赛校内氛围拍摄，启动会、闭幕式、青年红旅活动拍摄，所有照片需高清处理并实时直播，配备专业摄影师不少于3人。</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会场布置</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启动会：包含讲台外包</w:t>
                  </w:r>
                  <w:r>
                    <w:rPr>
                      <w:rFonts w:ascii="仿宋_GB2312" w:hAnsi="仿宋_GB2312" w:cs="仿宋_GB2312" w:eastAsia="仿宋_GB2312"/>
                      <w:sz w:val="20"/>
                    </w:rPr>
                    <w:t>1个、嘉宾沙发80个、白色茶几90个、长条桌50张、嘉宾椅150把、议程打印500张、椅背贴500张、桌签及桌签盒100个、隔离带50个。</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闭幕式：定制评委桌</w:t>
                  </w:r>
                  <w:r>
                    <w:rPr>
                      <w:rFonts w:ascii="仿宋_GB2312" w:hAnsi="仿宋_GB2312" w:cs="仿宋_GB2312" w:eastAsia="仿宋_GB2312"/>
                      <w:sz w:val="20"/>
                    </w:rPr>
                    <w:t>6个、包含讲台外包1个、中南海沙发15套、长条桌100张、嘉宾椅500把、议程打印500张、椅背贴500张、桌签及桌签盒100个。</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桁架租赁与搭建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启动会：签到处</w:t>
                  </w:r>
                  <w:r>
                    <w:rPr>
                      <w:rFonts w:ascii="仿宋_GB2312" w:hAnsi="仿宋_GB2312" w:cs="仿宋_GB2312" w:eastAsia="仿宋_GB2312"/>
                      <w:sz w:val="20"/>
                    </w:rPr>
                    <w:t>1个、优秀项目展板（数量待定）、东门主题展板1个8m*4m、南门主题展板14m*4m、会议中心主题展板14m*4m、会场内主题展板（16m*4m）、学校logo展板墙1个（10m*4m），青年红旅活动主题展板2个（14m*4.5m）、（8m*4m）。</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批</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闭幕式：大型主题龙门架（</w:t>
                  </w:r>
                  <w:r>
                    <w:rPr>
                      <w:rFonts w:ascii="仿宋_GB2312" w:hAnsi="仿宋_GB2312" w:cs="仿宋_GB2312" w:eastAsia="仿宋_GB2312"/>
                      <w:sz w:val="20"/>
                    </w:rPr>
                    <w:t>14 米跨度，4 米 5 总高，异形设计，桁架+truss 结构）</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、冠军争夺赛主题桁架（（</w:t>
                  </w:r>
                  <w:r>
                    <w:rPr>
                      <w:rFonts w:ascii="仿宋_GB2312" w:hAnsi="仿宋_GB2312" w:cs="仿宋_GB2312" w:eastAsia="仿宋_GB2312"/>
                      <w:sz w:val="20"/>
                    </w:rPr>
                    <w:t>12m+0.6m+0.6m）*4m U 型）、会场背景展板（26m*3.8m）</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桁架主框架使用不锈钢材质，由直杆组成的三角形框构成的几何形状不变的结构物，表面用喷绘布包裹，表面图案根据采购方需求设计。</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会场地面保护</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满足启动会及闭幕式会场地面保护工作</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批</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冠军争夺赛打分系统</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需要满足现场</w:t>
                  </w:r>
                  <w:r>
                    <w:rPr>
                      <w:rFonts w:ascii="仿宋_GB2312" w:hAnsi="仿宋_GB2312" w:cs="仿宋_GB2312" w:eastAsia="仿宋_GB2312"/>
                      <w:sz w:val="20"/>
                    </w:rPr>
                    <w:t>100位专家同时打分，实时出分，不得出现中途掉线、核分不准备、影响选手成绩排名等情况，造成选手投诉质疑等问题。</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18</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视频服务器</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1台，使用周期3天；闭幕式1台，使用周期3天；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1.视频输出：4xDisplayPort 1.2   1xDisplayPort 1.2</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2.视频输入：①)2*HDMI+2*DV  2)1*SDI+1*DVI/2*SDI/2*DVI</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3.其他接口： USB3.0*6(前2后4)   RJ45千兆网口*1   卡农立体声*1  3.5mm音频接口*5</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19</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视频处理器</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其中启动会</w:t>
                  </w:r>
                  <w:r>
                    <w:rPr>
                      <w:rFonts w:ascii="仿宋_GB2312" w:hAnsi="仿宋_GB2312" w:cs="仿宋_GB2312" w:eastAsia="仿宋_GB2312"/>
                      <w:sz w:val="20"/>
                    </w:rPr>
                    <w:t>1台，使用周期3天；闭幕式1台，使用周期3天；</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1.要求：LED大屏幕二合一控制器，集成视频处理器与LED大屏幕发送卡功能。</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2.16路千兆网口输出，60hz帧频下稳定最大1040万像素的带载能力。</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3.支持最宽带载的LED屏幕点数为16384像素点，最高8192像素点。</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4.支持一路DP1.2输入，最大分辨率 4096×2160@60Hz，向下兼容。支持 HDCP 1.3，支持预设分辨率，支持8192*1080@60hz等极限分辨率，支持自定义分辨率，自定义分辨率最大宽度8192像素，最大高度8192像素。</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 支持一路HDMI2.0输入，最大分辨率 4096×2160@60Hz，向下兼容。支持 HDCP 2.2，支持预设分辨率，支持8192*1080@60hz等极限分辨率，支持自定义分辨率，自定义分辨率最大宽度8192像素，最大高度8192像素。</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6.支持4路Single-link DVI输入，每路DVI的最大分辨率为 1920×1200@60Hz，向下兼容；或两路Dual-link DVI输入，每路最大分辨率3840×1080@60Hz，向下兼容，支持自定义分辨率。</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7.支持DVI输入源自动拼接功能，可自动将接入的4路以下DVI信号自动拼接为一个DVI MOSAIC的完整信号源，多路DVI信号间拼接无撕裂。</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 支持一键满屏功能，无需计算LED屏幕点数，一键即可满屏显示。</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 支持视频源同步功能，多台设备之间拼接同步无撕裂。</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10.输入支持小数帧频 支持的小数帧频有：23.98、29.97、59.94。</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11.支持4路OPT 10G光纤接口，支持1310nm单模双芯LC头，10KM远距离传输，1路光纤口可接收来自外部的3840*1080@60hz信号源，或发送/接收8路网口的配置信息。</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12.支持3图层，每个图层可选择相同或不同的任意信号源，支持图层漫游，大小、位置任意设置，可跨屏显示。</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13.支持画面抓取功能，可将输入源实时画面进行抓取保存为图片，作为BKG底图显示；也可自定义选择纯色底图显示。</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14.支持3D显示功能，配合3D发射器与3D眼镜可让LED显示屏显示3D效果。</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15.支持HDR10标准，搭配相应的LED屏接收卡，可让LED屏幕显示HDR规格。</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16.支持通过USB与RJ45网口控制。</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17.支持按键液晶与PC端控制软件进行操作。</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18.支持保存10个用户场景，可直接调用。</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19.支持快捷点屏和高级配屏功能，无需电脑，可通过旋钮快速连接LED屏幕。</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20.支持保存和发送LED屏幕箱体配置文件功能。</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21.支持快速调节LED屏幕灯珠亮度。</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22.支持一路HDMI的监视输出，对LED屏幕图像的实时监视。</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机器人租赁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需满足：</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1.讲解播报：可以进行指定文稿内容播报讲解，如自我介绍，互动信息介绍。（不含问答互动）2.问答互动：可以进行关于会议活动，品牌等相关信息的语音问答交互，需要提供品牌介绍，及Q&amp;A资料训练</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3.自主问答： 可以进行用户随机问答，例如科普故事、彩灯谜，讲笑话等闲聊互动</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4.动作互动：可以进行飞吻，握手，拥抱等互动动作</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5.能满足使用时长2个小时以上。</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启动仪式</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激光启动配合启动机器人</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饮用水</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启动会：饮用水</w:t>
                  </w:r>
                  <w:r>
                    <w:rPr>
                      <w:rFonts w:ascii="仿宋_GB2312" w:hAnsi="仿宋_GB2312" w:cs="仿宋_GB2312" w:eastAsia="仿宋_GB2312"/>
                      <w:sz w:val="20"/>
                    </w:rPr>
                    <w:t>70箱（规格</w:t>
                  </w:r>
                  <w:r>
                    <w:rPr>
                      <w:rFonts w:ascii="仿宋_GB2312" w:hAnsi="仿宋_GB2312" w:cs="仿宋_GB2312" w:eastAsia="仿宋_GB2312"/>
                      <w:sz w:val="20"/>
                    </w:rPr>
                    <w:t>不少于</w:t>
                  </w:r>
                  <w:r>
                    <w:rPr>
                      <w:rFonts w:ascii="仿宋_GB2312" w:hAnsi="仿宋_GB2312" w:cs="仿宋_GB2312" w:eastAsia="仿宋_GB2312"/>
                      <w:sz w:val="20"/>
                    </w:rPr>
                    <w:t xml:space="preserve">380ml*24瓶）。  </w:t>
                  </w:r>
                </w:p>
                <w:p>
                  <w:pPr>
                    <w:pStyle w:val="null3"/>
                    <w:jc w:val="both"/>
                  </w:pPr>
                  <w:r>
                    <w:rPr>
                      <w:rFonts w:ascii="仿宋_GB2312" w:hAnsi="仿宋_GB2312" w:cs="仿宋_GB2312" w:eastAsia="仿宋_GB2312"/>
                      <w:sz w:val="20"/>
                    </w:rPr>
                    <w:t>闭幕式：饮用水</w:t>
                  </w:r>
                  <w:r>
                    <w:rPr>
                      <w:rFonts w:ascii="仿宋_GB2312" w:hAnsi="仿宋_GB2312" w:cs="仿宋_GB2312" w:eastAsia="仿宋_GB2312"/>
                      <w:sz w:val="20"/>
                    </w:rPr>
                    <w:t>40箱（规格</w:t>
                  </w:r>
                  <w:r>
                    <w:rPr>
                      <w:rFonts w:ascii="仿宋_GB2312" w:hAnsi="仿宋_GB2312" w:cs="仿宋_GB2312" w:eastAsia="仿宋_GB2312"/>
                      <w:sz w:val="20"/>
                    </w:rPr>
                    <w:t>不少于</w:t>
                  </w:r>
                  <w:r>
                    <w:rPr>
                      <w:rFonts w:ascii="仿宋_GB2312" w:hAnsi="仿宋_GB2312" w:cs="仿宋_GB2312" w:eastAsia="仿宋_GB2312"/>
                      <w:sz w:val="20"/>
                    </w:rPr>
                    <w:t>380ml*24瓶）。</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箱</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落地字台制作</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1.尺寸需适应氛围营造需要。</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2.亚克力材质，高透明度、高韧性、良好的耐候性和化学稳定性。</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3.3D模型制作，模型图案根据采购方需求设计。</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志愿者服务点</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包含帐篷、桌椅、</w:t>
                  </w:r>
                  <w:r>
                    <w:rPr>
                      <w:rFonts w:ascii="仿宋_GB2312" w:hAnsi="仿宋_GB2312" w:cs="仿宋_GB2312" w:eastAsia="仿宋_GB2312"/>
                      <w:sz w:val="20"/>
                    </w:rPr>
                    <w:t>KT板等。每个服务点需提供帐篷1顶、2桌4椅、KT板一个。具体数量需满足采购方需求。</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批</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化妆及服装租赁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根据采购方要求提供。</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26</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道旗</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1.道旗尺寸不低于4m，旗杆支撑可普通铁质方管或圆管，上下横梁多数采用铝合金和不锈钢旗杆，整体外观表面光洁度高、美观，可多次拆卸，易于加工，带配重底座。</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2.旗面尺寸1.2m*3.5m、图案根据采购方需求设计，户外写真布喷绘布，正反面颜色一样，无色差，图形与旗面柔软度一样，水洗日晒不掉色。</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27</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视频制作</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包含：大赛回顾视频</w:t>
                  </w:r>
                  <w:r>
                    <w:rPr>
                      <w:rFonts w:ascii="仿宋_GB2312" w:hAnsi="仿宋_GB2312" w:cs="仿宋_GB2312" w:eastAsia="仿宋_GB2312"/>
                      <w:sz w:val="20"/>
                    </w:rPr>
                    <w:t>1条；会场紧急疏散视频1条；花絮快剪视频1条。</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条</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28</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奖牌奖杯证书制作</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按照采购方要求设计制作奖牌证书。</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29</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舞台特效</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包含冷焰火、彩虹机等满足闭幕式舞台需要。</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B级轿车租赁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一人一车，由机场（高铁站）接送至学校指定位置，需配置不少于</w:t>
                  </w:r>
                  <w:r>
                    <w:rPr>
                      <w:rFonts w:ascii="仿宋_GB2312" w:hAnsi="仿宋_GB2312" w:cs="仿宋_GB2312" w:eastAsia="仿宋_GB2312"/>
                      <w:sz w:val="20"/>
                    </w:rPr>
                    <w:t>30辆车同时在场供采购方指派。</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350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趟</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商务车租赁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会议全天备车</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辆</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大巴车租赁</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满足</w:t>
                  </w:r>
                  <w:r>
                    <w:rPr>
                      <w:rFonts w:ascii="仿宋_GB2312" w:hAnsi="仿宋_GB2312" w:cs="仿宋_GB2312" w:eastAsia="仿宋_GB2312"/>
                      <w:sz w:val="20"/>
                    </w:rPr>
                    <w:t>50人次座位</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辆</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工作餐</w:t>
                  </w: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同时满足现场工作人员及参会人员同时用餐（约</w:t>
                  </w:r>
                  <w:r>
                    <w:rPr>
                      <w:rFonts w:ascii="仿宋_GB2312" w:hAnsi="仿宋_GB2312" w:cs="仿宋_GB2312" w:eastAsia="仿宋_GB2312"/>
                      <w:sz w:val="20"/>
                    </w:rPr>
                    <w:t>1000人左右）</w:t>
                  </w:r>
                  <w:r>
                    <w:rPr>
                      <w:rFonts w:ascii="仿宋_GB2312" w:hAnsi="仿宋_GB2312" w:cs="仿宋_GB2312" w:eastAsia="仿宋_GB2312"/>
                      <w:sz w:val="20"/>
                    </w:rPr>
                    <w:t>餐标不低于</w:t>
                  </w:r>
                  <w:r>
                    <w:rPr>
                      <w:rFonts w:ascii="仿宋_GB2312" w:hAnsi="仿宋_GB2312" w:cs="仿宋_GB2312" w:eastAsia="仿宋_GB2312"/>
                      <w:sz w:val="20"/>
                    </w:rPr>
                    <w:t>35元/位/餐</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34</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研学方案</w:t>
                  </w: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满足</w:t>
                  </w:r>
                  <w:r>
                    <w:rPr>
                      <w:rFonts w:ascii="仿宋_GB2312" w:hAnsi="仿宋_GB2312" w:cs="仿宋_GB2312" w:eastAsia="仿宋_GB2312"/>
                      <w:sz w:val="20"/>
                    </w:rPr>
                    <w:t>350人左右的研学，包含研学整体方案设计、衣服制作、大巴摆渡、场馆外围氛围营造、餐饮服务等</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35</w:t>
                  </w:r>
                </w:p>
              </w:tc>
              <w:tc>
                <w:tcPr>
                  <w:tcW w:type="dxa" w:w="2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酒店住宿及交通费（机票、高铁票）</w:t>
                  </w: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1.酒店位置距离学校需要满足20分钟之内的车程。</w:t>
                  </w:r>
                  <w:r>
                    <w:rPr>
                      <w:rFonts w:ascii="仿宋_GB2312" w:hAnsi="仿宋_GB2312" w:cs="仿宋_GB2312" w:eastAsia="仿宋_GB2312"/>
                      <w:sz w:val="20"/>
                    </w:rPr>
                    <w:t>酒店为鄠邑万达美华酒店或同档次及以上，综合住宿预估</w:t>
                  </w:r>
                  <w:r>
                    <w:rPr>
                      <w:rFonts w:ascii="仿宋_GB2312" w:hAnsi="仿宋_GB2312" w:cs="仿宋_GB2312" w:eastAsia="仿宋_GB2312"/>
                      <w:sz w:val="20"/>
                    </w:rPr>
                    <w:t>630间次，据实结算。</w:t>
                  </w:r>
                </w:p>
              </w:tc>
              <w:tc>
                <w:tcPr>
                  <w:tcW w:type="dxa" w:w="15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2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批</w:t>
                  </w:r>
                </w:p>
              </w:tc>
              <w:tc>
                <w:tcPr>
                  <w:tcW w:type="dxa" w:w="1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2.酒店</w:t>
                  </w:r>
                  <w:r>
                    <w:rPr>
                      <w:rFonts w:ascii="仿宋_GB2312" w:hAnsi="仿宋_GB2312" w:cs="仿宋_GB2312" w:eastAsia="仿宋_GB2312"/>
                      <w:sz w:val="20"/>
                    </w:rPr>
                    <w:t>客房</w:t>
                  </w:r>
                  <w:r>
                    <w:rPr>
                      <w:rFonts w:ascii="仿宋_GB2312" w:hAnsi="仿宋_GB2312" w:cs="仿宋_GB2312" w:eastAsia="仿宋_GB2312"/>
                      <w:sz w:val="20"/>
                    </w:rPr>
                    <w:t>面积</w:t>
                  </w:r>
                  <w:r>
                    <w:rPr>
                      <w:rFonts w:ascii="仿宋_GB2312" w:hAnsi="仿宋_GB2312" w:cs="仿宋_GB2312" w:eastAsia="仿宋_GB2312"/>
                      <w:sz w:val="20"/>
                    </w:rPr>
                    <w:t>35平米</w:t>
                  </w:r>
                  <w:r>
                    <w:rPr>
                      <w:rFonts w:ascii="仿宋_GB2312" w:hAnsi="仿宋_GB2312" w:cs="仿宋_GB2312" w:eastAsia="仿宋_GB2312"/>
                      <w:sz w:val="20"/>
                    </w:rPr>
                    <w:t>及以上</w:t>
                  </w:r>
                  <w:r>
                    <w:rPr>
                      <w:rFonts w:ascii="仿宋_GB2312" w:hAnsi="仿宋_GB2312" w:cs="仿宋_GB2312" w:eastAsia="仿宋_GB2312"/>
                      <w:sz w:val="20"/>
                    </w:rPr>
                    <w:t>。</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3.提供自助餐及包间用餐，菜品种类及数量需满足采购方需求。</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4.需提供独立的会议室使用/4间，面积55-120平米</w:t>
                  </w:r>
                  <w:r>
                    <w:rPr>
                      <w:rFonts w:ascii="仿宋_GB2312" w:hAnsi="仿宋_GB2312" w:cs="仿宋_GB2312" w:eastAsia="仿宋_GB2312"/>
                      <w:sz w:val="20"/>
                    </w:rPr>
                    <w:t>，</w:t>
                  </w:r>
                  <w:r>
                    <w:rPr>
                      <w:rFonts w:ascii="仿宋_GB2312" w:hAnsi="仿宋_GB2312" w:cs="仿宋_GB2312" w:eastAsia="仿宋_GB2312"/>
                      <w:sz w:val="20"/>
                    </w:rPr>
                    <w:t>使用</w:t>
                  </w:r>
                  <w:r>
                    <w:rPr>
                      <w:rFonts w:ascii="仿宋_GB2312" w:hAnsi="仿宋_GB2312" w:cs="仿宋_GB2312" w:eastAsia="仿宋_GB2312"/>
                      <w:sz w:val="20"/>
                    </w:rPr>
                    <w:t>1天。</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酒店须</w:t>
                  </w:r>
                  <w:r>
                    <w:rPr>
                      <w:rFonts w:ascii="仿宋_GB2312" w:hAnsi="仿宋_GB2312" w:cs="仿宋_GB2312" w:eastAsia="仿宋_GB2312"/>
                      <w:sz w:val="20"/>
                    </w:rPr>
                    <w:t>配备健身设施。</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6、酒店大厅需要满足搭建签到相关物料设施。</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r>
              <w:tc>
                <w:tcPr>
                  <w:tcW w:type="dxa" w:w="171"/>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1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7、协助相关专家的往返交通。</w:t>
                  </w:r>
                  <w:r>
                    <w:rPr>
                      <w:rFonts w:ascii="仿宋_GB2312" w:hAnsi="仿宋_GB2312" w:cs="仿宋_GB2312" w:eastAsia="仿宋_GB2312"/>
                      <w:sz w:val="20"/>
                    </w:rPr>
                    <w:t>夲项按照总额</w:t>
                  </w:r>
                  <w:r>
                    <w:rPr>
                      <w:rFonts w:ascii="仿宋_GB2312" w:hAnsi="仿宋_GB2312" w:cs="仿宋_GB2312" w:eastAsia="仿宋_GB2312"/>
                      <w:sz w:val="20"/>
                    </w:rPr>
                    <w:t>30万元暂估，据实结算。</w:t>
                  </w:r>
                </w:p>
              </w:tc>
              <w:tc>
                <w:tcPr>
                  <w:tcW w:type="dxa" w:w="158"/>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服务期：自合同签订之日起180天。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①本项目招标文件、投标文件；②本合同及附件文本；③合同签订时国家及行业现行的标准和技术规范；④乙方应向甲方提交项目实施过程中的所有资料，以便甲方日后管理和维护。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甲乙双方签订合同后，中标人完成比赛启动仪式，经甲方审核通过后，付款时须提供增值税专用发票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活动举办结束后，经甲方审核通过并完成项目结算，付款时须提供增值税专用发票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未按照约定内容实施，自违约之日起，每日按合同暂定总价的2‰向甲方承担违约责任并且及时采取有效补救措施。如乙方交付成果，经甲方审核连续3次不能通过的，甲方有权单方解除合同，并依据有关规定向乙方主张违约责任。 2、乙方成果对甲方产生重大不良影响的，则甲方有权解除合同，乙方应退还已支付合同金额并按合同总价的30%向甲方支付违约金并承担违约责任，同时将工作资料、已取得工作成果和其他相关的资料一并移交甲方，乙方不得以任何理由拒绝或拖延提交有关资料，或提供不真实、不准确、不完整的资料。 3、不可抗力：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3、中标人需要提交与电子化交易系统中一致的纸质版投标文件正本壹份打印并胶装（可顺丰邮寄），邮寄地址：西安市雁展路1111号莱安中心T6-15层，联系人：谢婷婷，联系电话：029-81206622/81206633-832。 4、招标文件中所有的商务要求均为实质性要求，投标人必须响应并满足。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投标文件的服务期、服务地点、付款方式、合同等商务内容符合招标文件要求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服务内容及服务邀请应答表 商务应答表 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投标人针对本项目提供完整的项目整体实施方案，包括但不限于：①活动策划方案；②会场布置方案；③后勤接待方案；④会务服务方案；⑤会务物料供应方案；⑥活动宣传方案；⑦设备的安装调试方案；每项完全满足采购需求得3分，每项内容中有1处缺陷扣1分，扣完为止；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1详细评审---项目整体实施方案.docx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投标人针对本项目提供完整的初步设计方案，能够视觉表现完整的主题效果图、现场效果图、物料设计图、会务、赛务相关设计等，其中需包含中国国际大学生创新大赛（2026）陕西赛区省级复赛和“青年红色筑梦之旅”两部分内容，包括但不限于：①视觉表现（设计新颖，独特性、创新性强，色彩搭配合理，构图美观，视觉冲击力强）；②设计种类（设计方案现场效果图、物料设计图、会务、赛务设计图种类齐全）；每项完全满足采购需求得2分，每项内容中有1处缺陷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2详细评审---设计方案.docx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投标人针对本项目提供完整的服务保障方案，包括但不限于：①质量保障措施；②安全保障措施；③进度安排及保障措施；每有一项完全满足采购需求得2分，每项内容中有1处缺陷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3详细评审---服务保障方案.docx</w:t>
            </w:r>
          </w:p>
        </w:tc>
      </w:tr>
      <w:tr>
        <w:tc>
          <w:tcPr>
            <w:tcW w:type="dxa" w:w="831"/>
            <w:vMerge/>
          </w:tcPr>
          <w:p/>
        </w:tc>
        <w:tc>
          <w:tcPr>
            <w:tcW w:type="dxa" w:w="1661"/>
          </w:tcPr>
          <w:p>
            <w:pPr>
              <w:pStyle w:val="null3"/>
            </w:pPr>
            <w:r>
              <w:rPr>
                <w:rFonts w:ascii="仿宋_GB2312" w:hAnsi="仿宋_GB2312" w:cs="仿宋_GB2312" w:eastAsia="仿宋_GB2312"/>
              </w:rPr>
              <w:t>技术保障与安全方案</w:t>
            </w:r>
          </w:p>
        </w:tc>
        <w:tc>
          <w:tcPr>
            <w:tcW w:type="dxa" w:w="2492"/>
          </w:tcPr>
          <w:p>
            <w:pPr>
              <w:pStyle w:val="null3"/>
            </w:pPr>
            <w:r>
              <w:rPr>
                <w:rFonts w:ascii="仿宋_GB2312" w:hAnsi="仿宋_GB2312" w:cs="仿宋_GB2312" w:eastAsia="仿宋_GB2312"/>
              </w:rPr>
              <w:t>投标人针对本项目提供完整的技术保障与安全方案，包括但不限于：①网络与电力保障（不限于现场网络带宽、备用网络、UPS电源、设备冗余方案等）；②数据安全保障（不限于参赛数据保密、评分结果加密存储、防止篡改机制等）；每有一项完全满足采购需求得2分，每项内容中有1处缺陷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4详细评审---技术保障与安全方案.docx</w:t>
            </w:r>
          </w:p>
        </w:tc>
      </w:tr>
      <w:tr>
        <w:tc>
          <w:tcPr>
            <w:tcW w:type="dxa" w:w="831"/>
            <w:vMerge/>
          </w:tcPr>
          <w:p/>
        </w:tc>
        <w:tc>
          <w:tcPr>
            <w:tcW w:type="dxa" w:w="1661"/>
          </w:tcPr>
          <w:p>
            <w:pPr>
              <w:pStyle w:val="null3"/>
            </w:pPr>
            <w:r>
              <w:rPr>
                <w:rFonts w:ascii="仿宋_GB2312" w:hAnsi="仿宋_GB2312" w:cs="仿宋_GB2312" w:eastAsia="仿宋_GB2312"/>
              </w:rPr>
              <w:t>组织机构设置及人员配备方案</w:t>
            </w:r>
          </w:p>
        </w:tc>
        <w:tc>
          <w:tcPr>
            <w:tcW w:type="dxa" w:w="2492"/>
          </w:tcPr>
          <w:p>
            <w:pPr>
              <w:pStyle w:val="null3"/>
            </w:pPr>
            <w:r>
              <w:rPr>
                <w:rFonts w:ascii="仿宋_GB2312" w:hAnsi="仿宋_GB2312" w:cs="仿宋_GB2312" w:eastAsia="仿宋_GB2312"/>
              </w:rPr>
              <w:t>投标人针对本项目提供组织机构设置及人员配备方案，人员配备必须满足项目实施需求，团队人员数量及专业安排合理、经验丰富、专业素质高、岗位职责明确清晰。包括但不限于：①人员配备明细；②人员职责与分工；③组织机构框架；每有一项完全满足采购需求得2分，每项内容中有1处缺陷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5详细评审---组织机构设置及人员配备方案.docx</w:t>
            </w:r>
          </w:p>
        </w:tc>
      </w:tr>
      <w:tr>
        <w:tc>
          <w:tcPr>
            <w:tcW w:type="dxa" w:w="831"/>
            <w:vMerge/>
          </w:tcPr>
          <w:p/>
        </w:tc>
        <w:tc>
          <w:tcPr>
            <w:tcW w:type="dxa" w:w="1661"/>
          </w:tcPr>
          <w:p>
            <w:pPr>
              <w:pStyle w:val="null3"/>
            </w:pPr>
            <w:r>
              <w:rPr>
                <w:rFonts w:ascii="仿宋_GB2312" w:hAnsi="仿宋_GB2312" w:cs="仿宋_GB2312" w:eastAsia="仿宋_GB2312"/>
              </w:rPr>
              <w:t>设施设备供应方案</w:t>
            </w:r>
          </w:p>
        </w:tc>
        <w:tc>
          <w:tcPr>
            <w:tcW w:type="dxa" w:w="2492"/>
          </w:tcPr>
          <w:p>
            <w:pPr>
              <w:pStyle w:val="null3"/>
            </w:pPr>
            <w:r>
              <w:rPr>
                <w:rFonts w:ascii="仿宋_GB2312" w:hAnsi="仿宋_GB2312" w:cs="仿宋_GB2312" w:eastAsia="仿宋_GB2312"/>
              </w:rPr>
              <w:t>投标人针对本项目提供设施设备供应方案，包括但不限于：①设备名称、规格、数量、品牌（如适用）、保修期等信息，并提供完整清单表格（格式自拟）；②设备的可用性、维护计划及应急备用方案明确等；每有一项完全满足采购需求得2分，每项内容中有1处缺陷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6详细评审---设施设备供应方案.docx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所投产品的技术参数完全符合、响应招标文件要求，没有负偏离计15分。 技术参数中标“▲”项，负偏离1项扣1.5分；非“▲”项，负偏离1项扣0.2分，扣完为止。 备注：投标人对采购需求中技术参数所描述的功能需求点逐一进行响应说明，并对标注“▲”项要求的提供对应功能截图和使用说明等证明材料。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7详细评审---技术参数.docx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完整的应急预案，包括但不限于：①应急小组成员及职责；②断电、断网、系统崩溃、消防安全、其它可能发生的突发事件的响应流程及应急处置方案；每有一项完全满足采购需求得2分，每项内容中有1处缺陷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8详细评审---应急预案.docx</w:t>
            </w:r>
          </w:p>
        </w:tc>
      </w:tr>
      <w:tr>
        <w:tc>
          <w:tcPr>
            <w:tcW w:type="dxa" w:w="831"/>
            <w:vMerge/>
          </w:tcPr>
          <w:p/>
        </w:tc>
        <w:tc>
          <w:tcPr>
            <w:tcW w:type="dxa" w:w="1661"/>
          </w:tcPr>
          <w:p>
            <w:pPr>
              <w:pStyle w:val="null3"/>
            </w:pPr>
            <w:r>
              <w:rPr>
                <w:rFonts w:ascii="仿宋_GB2312" w:hAnsi="仿宋_GB2312" w:cs="仿宋_GB2312" w:eastAsia="仿宋_GB2312"/>
              </w:rPr>
              <w:t>撤场与清理方案</w:t>
            </w:r>
          </w:p>
        </w:tc>
        <w:tc>
          <w:tcPr>
            <w:tcW w:type="dxa" w:w="2492"/>
          </w:tcPr>
          <w:p>
            <w:pPr>
              <w:pStyle w:val="null3"/>
            </w:pPr>
            <w:r>
              <w:rPr>
                <w:rFonts w:ascii="仿宋_GB2312" w:hAnsi="仿宋_GB2312" w:cs="仿宋_GB2312" w:eastAsia="仿宋_GB2312"/>
              </w:rPr>
              <w:t>投标人针对本项目提供完整的撤场与清理方案，包括但不限于：①场地撤场及拆除；②垃圾清运等。每有一项完全满足采购需求得1分，每项内容中有1处缺陷扣0.5分，扣完为止；未提供不得分。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9详细评审---撤场与清理方案.docx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提供投标人2023年5月1日至今同类项目的业绩，须提供合同复印件加盖公章，提供不全不计分，每提供1份计1分，满分4分。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详见附件：1详细评审---项目整体实施方案.docx</w:t>
      </w:r>
    </w:p>
    <w:p>
      <w:pPr>
        <w:pStyle w:val="null3"/>
        <w:ind w:firstLine="960"/>
      </w:pPr>
      <w:r>
        <w:rPr>
          <w:rFonts w:ascii="仿宋_GB2312" w:hAnsi="仿宋_GB2312" w:cs="仿宋_GB2312" w:eastAsia="仿宋_GB2312"/>
        </w:rPr>
        <w:t>详见附件：2详细评审---设计方案.docx</w:t>
      </w:r>
    </w:p>
    <w:p>
      <w:pPr>
        <w:pStyle w:val="null3"/>
        <w:ind w:firstLine="960"/>
      </w:pPr>
      <w:r>
        <w:rPr>
          <w:rFonts w:ascii="仿宋_GB2312" w:hAnsi="仿宋_GB2312" w:cs="仿宋_GB2312" w:eastAsia="仿宋_GB2312"/>
        </w:rPr>
        <w:t>详见附件：3详细评审---服务保障方案.docx</w:t>
      </w:r>
    </w:p>
    <w:p>
      <w:pPr>
        <w:pStyle w:val="null3"/>
        <w:ind w:firstLine="960"/>
      </w:pPr>
      <w:r>
        <w:rPr>
          <w:rFonts w:ascii="仿宋_GB2312" w:hAnsi="仿宋_GB2312" w:cs="仿宋_GB2312" w:eastAsia="仿宋_GB2312"/>
        </w:rPr>
        <w:t>详见附件：4详细评审---技术保障与安全方案.docx</w:t>
      </w:r>
    </w:p>
    <w:p>
      <w:pPr>
        <w:pStyle w:val="null3"/>
        <w:ind w:firstLine="960"/>
      </w:pPr>
      <w:r>
        <w:rPr>
          <w:rFonts w:ascii="仿宋_GB2312" w:hAnsi="仿宋_GB2312" w:cs="仿宋_GB2312" w:eastAsia="仿宋_GB2312"/>
        </w:rPr>
        <w:t>详见附件：5详细评审---组织机构设置及人员配备方案.docx</w:t>
      </w:r>
    </w:p>
    <w:p>
      <w:pPr>
        <w:pStyle w:val="null3"/>
        <w:ind w:firstLine="960"/>
      </w:pPr>
      <w:r>
        <w:rPr>
          <w:rFonts w:ascii="仿宋_GB2312" w:hAnsi="仿宋_GB2312" w:cs="仿宋_GB2312" w:eastAsia="仿宋_GB2312"/>
        </w:rPr>
        <w:t>详见附件：6详细评审---设施设备供应方案.docx</w:t>
      </w:r>
    </w:p>
    <w:p>
      <w:pPr>
        <w:pStyle w:val="null3"/>
        <w:ind w:firstLine="960"/>
      </w:pPr>
      <w:r>
        <w:rPr>
          <w:rFonts w:ascii="仿宋_GB2312" w:hAnsi="仿宋_GB2312" w:cs="仿宋_GB2312" w:eastAsia="仿宋_GB2312"/>
        </w:rPr>
        <w:t>详见附件：7详细评审---技术参数.docx</w:t>
      </w:r>
    </w:p>
    <w:p>
      <w:pPr>
        <w:pStyle w:val="null3"/>
        <w:ind w:firstLine="960"/>
      </w:pPr>
      <w:r>
        <w:rPr>
          <w:rFonts w:ascii="仿宋_GB2312" w:hAnsi="仿宋_GB2312" w:cs="仿宋_GB2312" w:eastAsia="仿宋_GB2312"/>
        </w:rPr>
        <w:t>详见附件：8详细评审---应急预案.docx</w:t>
      </w:r>
    </w:p>
    <w:p>
      <w:pPr>
        <w:pStyle w:val="null3"/>
        <w:ind w:firstLine="960"/>
      </w:pPr>
      <w:r>
        <w:rPr>
          <w:rFonts w:ascii="仿宋_GB2312" w:hAnsi="仿宋_GB2312" w:cs="仿宋_GB2312" w:eastAsia="仿宋_GB2312"/>
        </w:rPr>
        <w:t>详见附件：9详细评审---撤场与清理方案.docx</w:t>
      </w:r>
    </w:p>
    <w:p>
      <w:pPr>
        <w:pStyle w:val="null3"/>
        <w:ind w:firstLine="960"/>
      </w:pPr>
      <w:r>
        <w:rPr>
          <w:rFonts w:ascii="仿宋_GB2312" w:hAnsi="仿宋_GB2312" w:cs="仿宋_GB2312" w:eastAsia="仿宋_GB2312"/>
        </w:rPr>
        <w:t>详见附件：10详细评审---业绩.docx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