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AB50B">
      <w:pPr>
        <w:rPr>
          <w:color w:val="auto"/>
          <w:highlight w:val="none"/>
        </w:rPr>
      </w:pPr>
    </w:p>
    <w:p w14:paraId="284C65B2">
      <w:pPr>
        <w:spacing w:line="360" w:lineRule="auto"/>
        <w:jc w:val="center"/>
        <w:rPr>
          <w:rFonts w:hint="eastAsia" w:ascii="宋体" w:hAnsi="宋体" w:cs="宋体"/>
          <w:b/>
          <w:bCs/>
          <w:color w:val="auto"/>
          <w:sz w:val="36"/>
          <w:szCs w:val="36"/>
          <w:highlight w:val="none"/>
        </w:rPr>
      </w:pPr>
    </w:p>
    <w:p w14:paraId="5BC60468">
      <w:pPr>
        <w:spacing w:line="360" w:lineRule="auto"/>
        <w:jc w:val="center"/>
        <w:rPr>
          <w:rFonts w:hint="eastAsia" w:ascii="宋体" w:hAnsi="宋体" w:cs="宋体"/>
          <w:b/>
          <w:bCs/>
          <w:color w:val="auto"/>
          <w:sz w:val="36"/>
          <w:szCs w:val="36"/>
          <w:highlight w:val="none"/>
        </w:rPr>
      </w:pPr>
    </w:p>
    <w:p w14:paraId="59FCF082">
      <w:pPr>
        <w:spacing w:line="3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澄城县教育体育局</w:t>
      </w:r>
      <w:r>
        <w:rPr>
          <w:rFonts w:hint="eastAsia" w:ascii="宋体" w:hAnsi="宋体" w:eastAsia="宋体" w:cs="宋体"/>
          <w:b/>
          <w:bCs/>
          <w:color w:val="auto"/>
          <w:sz w:val="44"/>
          <w:szCs w:val="44"/>
          <w:highlight w:val="none"/>
        </w:rPr>
        <w:t>2026-2027学年度学生营养改善计划大宗食材采购项目</w:t>
      </w:r>
    </w:p>
    <w:p w14:paraId="219E3DF5">
      <w:pPr>
        <w:spacing w:line="360" w:lineRule="auto"/>
        <w:jc w:val="center"/>
        <w:rPr>
          <w:rFonts w:hint="eastAsia" w:ascii="宋体" w:hAnsi="宋体" w:cs="宋体"/>
          <w:b/>
          <w:bCs/>
          <w:color w:val="auto"/>
          <w:sz w:val="36"/>
          <w:szCs w:val="36"/>
          <w:highlight w:val="none"/>
        </w:rPr>
      </w:pPr>
    </w:p>
    <w:p w14:paraId="562BBD48">
      <w:pPr>
        <w:spacing w:line="360" w:lineRule="auto"/>
        <w:jc w:val="center"/>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rPr>
        <w:t>第</w:t>
      </w: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rPr>
        <w:t>包</w:t>
      </w:r>
      <w:r>
        <w:rPr>
          <w:rFonts w:hint="eastAsia" w:ascii="宋体" w:hAnsi="宋体" w:cs="宋体"/>
          <w:b/>
          <w:bCs/>
          <w:color w:val="auto"/>
          <w:sz w:val="36"/>
          <w:szCs w:val="36"/>
          <w:highlight w:val="none"/>
          <w:lang w:val="en-US" w:eastAsia="zh-CN"/>
        </w:rPr>
        <w:t xml:space="preserve"> </w:t>
      </w:r>
    </w:p>
    <w:p w14:paraId="40434BF4">
      <w:pPr>
        <w:spacing w:line="560" w:lineRule="exact"/>
        <w:jc w:val="center"/>
        <w:rPr>
          <w:rFonts w:ascii="宋体" w:hAnsi="宋体" w:cs="宋体"/>
          <w:b/>
          <w:color w:val="auto"/>
          <w:sz w:val="44"/>
          <w:szCs w:val="44"/>
          <w:highlight w:val="none"/>
        </w:rPr>
      </w:pPr>
    </w:p>
    <w:p w14:paraId="12A04AC8">
      <w:pPr>
        <w:spacing w:line="560" w:lineRule="exact"/>
        <w:jc w:val="center"/>
        <w:rPr>
          <w:rFonts w:ascii="宋体" w:hAnsi="宋体" w:cs="宋体"/>
          <w:b/>
          <w:color w:val="auto"/>
          <w:sz w:val="44"/>
          <w:szCs w:val="44"/>
          <w:highlight w:val="none"/>
        </w:rPr>
      </w:pPr>
    </w:p>
    <w:p w14:paraId="1CCCEA9D">
      <w:pPr>
        <w:spacing w:line="560" w:lineRule="exact"/>
        <w:jc w:val="center"/>
        <w:rPr>
          <w:rFonts w:hint="eastAsia" w:ascii="宋体" w:hAnsi="宋体" w:cs="宋体"/>
          <w:b/>
          <w:color w:val="auto"/>
          <w:sz w:val="44"/>
          <w:szCs w:val="44"/>
          <w:highlight w:val="none"/>
        </w:rPr>
      </w:pPr>
    </w:p>
    <w:p w14:paraId="5CB87309">
      <w:pPr>
        <w:ind w:firstLine="2650" w:firstLineChars="600"/>
        <w:jc w:val="both"/>
        <w:rPr>
          <w:rFonts w:hint="eastAsia" w:ascii="宋体" w:hAnsi="宋体" w:cs="宋体"/>
          <w:b/>
          <w:color w:val="auto"/>
          <w:sz w:val="44"/>
          <w:szCs w:val="44"/>
          <w:highlight w:val="none"/>
        </w:rPr>
      </w:pPr>
      <w:r>
        <w:rPr>
          <w:rFonts w:hint="eastAsia" w:ascii="宋体" w:hAnsi="宋体" w:cs="宋体"/>
          <w:b/>
          <w:color w:val="auto"/>
          <w:sz w:val="44"/>
          <w:szCs w:val="44"/>
          <w:highlight w:val="none"/>
        </w:rPr>
        <w:t>供应合同书</w:t>
      </w:r>
    </w:p>
    <w:p w14:paraId="2F7BE030">
      <w:pPr>
        <w:jc w:val="center"/>
        <w:rPr>
          <w:rFonts w:hint="eastAsia" w:ascii="宋体" w:hAnsi="宋体" w:cs="宋体"/>
          <w:b/>
          <w:color w:val="auto"/>
          <w:sz w:val="44"/>
          <w:szCs w:val="44"/>
          <w:highlight w:val="none"/>
        </w:rPr>
      </w:pPr>
    </w:p>
    <w:p w14:paraId="1F485182">
      <w:pPr>
        <w:spacing w:line="360" w:lineRule="auto"/>
        <w:jc w:val="center"/>
        <w:textAlignment w:val="baseline"/>
        <w:rPr>
          <w:rFonts w:hint="eastAsia" w:ascii="宋体" w:hAnsi="宋体" w:cs="宋体"/>
          <w:color w:val="auto"/>
          <w:highlight w:val="none"/>
        </w:rPr>
      </w:pPr>
    </w:p>
    <w:p w14:paraId="450B7E3D">
      <w:pPr>
        <w:spacing w:line="360" w:lineRule="auto"/>
        <w:jc w:val="center"/>
        <w:textAlignment w:val="baseline"/>
        <w:rPr>
          <w:rFonts w:hint="eastAsia" w:ascii="宋体" w:hAnsi="宋体" w:cs="宋体"/>
          <w:color w:val="auto"/>
          <w:highlight w:val="none"/>
        </w:rPr>
      </w:pPr>
    </w:p>
    <w:p w14:paraId="13CB9F71">
      <w:pPr>
        <w:spacing w:line="360" w:lineRule="auto"/>
        <w:ind w:firstLine="422" w:firstLineChars="200"/>
        <w:textAlignment w:val="baseline"/>
        <w:rPr>
          <w:rFonts w:hint="eastAsia" w:ascii="宋体" w:hAnsi="宋体" w:cs="宋体"/>
          <w:b/>
          <w:bCs/>
          <w:color w:val="auto"/>
          <w:highlight w:val="none"/>
        </w:rPr>
      </w:pPr>
    </w:p>
    <w:p w14:paraId="2DC140C8">
      <w:pPr>
        <w:spacing w:line="360" w:lineRule="auto"/>
        <w:ind w:firstLine="422" w:firstLineChars="200"/>
        <w:textAlignment w:val="baseline"/>
        <w:rPr>
          <w:rFonts w:hint="eastAsia" w:ascii="宋体" w:hAnsi="宋体" w:cs="宋体"/>
          <w:b/>
          <w:bCs/>
          <w:color w:val="auto"/>
          <w:highlight w:val="none"/>
        </w:rPr>
      </w:pPr>
    </w:p>
    <w:p w14:paraId="3368FE9C">
      <w:pPr>
        <w:spacing w:line="360" w:lineRule="auto"/>
        <w:ind w:firstLine="422" w:firstLineChars="200"/>
        <w:textAlignment w:val="baseline"/>
        <w:rPr>
          <w:rFonts w:hint="eastAsia" w:ascii="宋体" w:hAnsi="宋体" w:cs="宋体"/>
          <w:b/>
          <w:bCs/>
          <w:color w:val="auto"/>
          <w:highlight w:val="none"/>
        </w:rPr>
      </w:pPr>
    </w:p>
    <w:p w14:paraId="307244FC">
      <w:pPr>
        <w:spacing w:line="360" w:lineRule="auto"/>
        <w:ind w:firstLine="422" w:firstLineChars="200"/>
        <w:textAlignment w:val="baseline"/>
        <w:rPr>
          <w:rFonts w:hint="eastAsia" w:ascii="宋体" w:hAnsi="宋体" w:cs="宋体"/>
          <w:b/>
          <w:bCs/>
          <w:color w:val="auto"/>
          <w:highlight w:val="none"/>
        </w:rPr>
      </w:pPr>
    </w:p>
    <w:p w14:paraId="786E646A">
      <w:pPr>
        <w:spacing w:line="360" w:lineRule="auto"/>
        <w:ind w:firstLine="422" w:firstLineChars="200"/>
        <w:textAlignment w:val="baseline"/>
        <w:rPr>
          <w:rFonts w:hint="eastAsia" w:ascii="宋体" w:hAnsi="宋体" w:cs="宋体"/>
          <w:b/>
          <w:bCs/>
          <w:color w:val="auto"/>
          <w:highlight w:val="none"/>
        </w:rPr>
      </w:pPr>
    </w:p>
    <w:p w14:paraId="6C9E3890">
      <w:pPr>
        <w:spacing w:line="360" w:lineRule="auto"/>
        <w:ind w:firstLine="422" w:firstLineChars="200"/>
        <w:textAlignment w:val="baseline"/>
        <w:rPr>
          <w:rFonts w:hint="eastAsia" w:ascii="宋体" w:hAnsi="宋体" w:cs="宋体"/>
          <w:b/>
          <w:bCs/>
          <w:color w:val="auto"/>
          <w:highlight w:val="none"/>
        </w:rPr>
      </w:pPr>
    </w:p>
    <w:p w14:paraId="72EF5CA6">
      <w:pPr>
        <w:spacing w:line="360" w:lineRule="auto"/>
        <w:ind w:firstLine="1928" w:firstLineChars="600"/>
        <w:jc w:val="both"/>
        <w:textAlignment w:val="baseline"/>
        <w:rPr>
          <w:rFonts w:hint="default" w:ascii="宋体" w:hAnsi="宋体" w:eastAsia="宋体" w:cs="宋体"/>
          <w:b/>
          <w:bCs/>
          <w:color w:val="auto"/>
          <w:sz w:val="32"/>
          <w:szCs w:val="32"/>
          <w:highlight w:val="none"/>
          <w:u w:val="single"/>
          <w:lang w:val="en-US" w:eastAsia="zh-CN"/>
        </w:rPr>
      </w:pPr>
      <w:r>
        <w:rPr>
          <w:rFonts w:hint="eastAsia" w:ascii="宋体" w:hAnsi="宋体" w:cs="宋体"/>
          <w:b/>
          <w:bCs/>
          <w:color w:val="auto"/>
          <w:sz w:val="32"/>
          <w:szCs w:val="32"/>
          <w:highlight w:val="none"/>
        </w:rPr>
        <w:t>甲方：</w:t>
      </w:r>
      <w:r>
        <w:rPr>
          <w:rFonts w:hint="eastAsia" w:ascii="宋体" w:hAnsi="宋体" w:cs="宋体"/>
          <w:b/>
          <w:bCs/>
          <w:color w:val="auto"/>
          <w:sz w:val="32"/>
          <w:szCs w:val="32"/>
          <w:highlight w:val="none"/>
          <w:u w:val="single"/>
        </w:rPr>
        <w:t xml:space="preserve"> 澄城县教育</w:t>
      </w:r>
      <w:r>
        <w:rPr>
          <w:rFonts w:hint="eastAsia" w:ascii="宋体" w:hAnsi="宋体" w:cs="宋体"/>
          <w:b/>
          <w:bCs/>
          <w:color w:val="auto"/>
          <w:sz w:val="32"/>
          <w:szCs w:val="32"/>
          <w:highlight w:val="none"/>
          <w:u w:val="single"/>
          <w:lang w:val="en-US" w:eastAsia="zh-CN"/>
        </w:rPr>
        <w:t>体育</w:t>
      </w:r>
      <w:r>
        <w:rPr>
          <w:rFonts w:hint="eastAsia" w:ascii="宋体" w:hAnsi="宋体" w:cs="宋体"/>
          <w:b/>
          <w:bCs/>
          <w:color w:val="auto"/>
          <w:sz w:val="32"/>
          <w:szCs w:val="32"/>
          <w:highlight w:val="none"/>
          <w:u w:val="single"/>
        </w:rPr>
        <w:t>局</w:t>
      </w:r>
    </w:p>
    <w:p w14:paraId="37463FB1">
      <w:pPr>
        <w:spacing w:line="360" w:lineRule="auto"/>
        <w:ind w:firstLine="643" w:firstLineChars="200"/>
        <w:textAlignment w:val="baseline"/>
        <w:rPr>
          <w:rFonts w:hint="eastAsia" w:ascii="宋体" w:hAnsi="宋体" w:cs="宋体"/>
          <w:b/>
          <w:bCs/>
          <w:color w:val="auto"/>
          <w:sz w:val="32"/>
          <w:szCs w:val="32"/>
          <w:highlight w:val="none"/>
        </w:rPr>
      </w:pPr>
    </w:p>
    <w:p w14:paraId="4D0CC5AC">
      <w:pPr>
        <w:spacing w:line="360" w:lineRule="auto"/>
        <w:ind w:firstLine="1928" w:firstLineChars="600"/>
        <w:textAlignment w:val="baseline"/>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乙方：</w:t>
      </w:r>
      <w:r>
        <w:rPr>
          <w:rFonts w:hint="eastAsia" w:ascii="宋体" w:hAnsi="宋体" w:cs="宋体"/>
          <w:b/>
          <w:bCs/>
          <w:color w:val="auto"/>
          <w:sz w:val="32"/>
          <w:szCs w:val="32"/>
          <w:highlight w:val="none"/>
          <w:u w:val="none"/>
        </w:rPr>
        <w:t xml:space="preserve"> </w:t>
      </w:r>
      <w:r>
        <w:rPr>
          <w:rFonts w:hint="eastAsia" w:ascii="宋体" w:hAnsi="宋体" w:cs="宋体"/>
          <w:b/>
          <w:bCs/>
          <w:color w:val="auto"/>
          <w:sz w:val="32"/>
          <w:szCs w:val="32"/>
          <w:highlight w:val="none"/>
          <w:u w:val="none"/>
          <w:lang w:val="en-US" w:eastAsia="zh-CN"/>
        </w:rPr>
        <w:t xml:space="preserve"> </w:t>
      </w:r>
      <w:r>
        <w:rPr>
          <w:rFonts w:hint="eastAsia" w:ascii="宋体" w:hAnsi="宋体" w:cs="宋体"/>
          <w:b/>
          <w:bCs/>
          <w:color w:val="auto"/>
          <w:sz w:val="32"/>
          <w:szCs w:val="32"/>
          <w:highlight w:val="none"/>
          <w:u w:val="single"/>
          <w:lang w:val="en-US" w:eastAsia="zh-CN"/>
        </w:rPr>
        <w:t xml:space="preserve"> </w:t>
      </w:r>
      <w:r>
        <w:rPr>
          <w:rFonts w:hint="eastAsia" w:ascii="宋体" w:hAnsi="宋体" w:cs="宋体"/>
          <w:b/>
          <w:bCs/>
          <w:color w:val="auto"/>
          <w:highlight w:val="none"/>
          <w:u w:val="single"/>
          <w:lang w:val="en-US" w:eastAsia="zh-CN"/>
        </w:rPr>
        <w:t xml:space="preserve">                </w:t>
      </w:r>
      <w:r>
        <w:rPr>
          <w:rFonts w:hint="eastAsia" w:ascii="宋体" w:hAnsi="宋体" w:cs="宋体"/>
          <w:b/>
          <w:bCs/>
          <w:color w:val="auto"/>
          <w:sz w:val="32"/>
          <w:szCs w:val="32"/>
          <w:highlight w:val="none"/>
          <w:u w:val="single"/>
          <w:lang w:val="en-US" w:eastAsia="zh-CN"/>
        </w:rPr>
        <w:t xml:space="preserve">  </w:t>
      </w:r>
      <w:r>
        <w:rPr>
          <w:rFonts w:hint="eastAsia" w:ascii="宋体" w:hAnsi="宋体" w:cs="宋体"/>
          <w:b/>
          <w:bCs/>
          <w:color w:val="auto"/>
          <w:sz w:val="32"/>
          <w:szCs w:val="32"/>
          <w:highlight w:val="none"/>
          <w:u w:val="none"/>
          <w:lang w:val="en-US" w:eastAsia="zh-CN"/>
        </w:rPr>
        <w:t xml:space="preserve">        </w:t>
      </w:r>
      <w:r>
        <w:rPr>
          <w:rFonts w:hint="eastAsia" w:ascii="宋体" w:hAnsi="宋体" w:cs="宋体"/>
          <w:b/>
          <w:bCs/>
          <w:color w:val="auto"/>
          <w:sz w:val="32"/>
          <w:szCs w:val="32"/>
          <w:highlight w:val="none"/>
          <w:u w:val="none"/>
        </w:rPr>
        <w:t xml:space="preserve"> </w:t>
      </w:r>
    </w:p>
    <w:p w14:paraId="701C7629">
      <w:pPr>
        <w:pStyle w:val="2"/>
        <w:rPr>
          <w:rFonts w:hint="eastAsia" w:hAnsi="宋体" w:cs="宋体"/>
          <w:b/>
          <w:bCs/>
          <w:color w:val="auto"/>
          <w:sz w:val="24"/>
          <w:szCs w:val="24"/>
          <w:highlight w:val="none"/>
        </w:rPr>
      </w:pPr>
    </w:p>
    <w:p w14:paraId="57309E01">
      <w:pPr>
        <w:pStyle w:val="2"/>
        <w:jc w:val="center"/>
        <w:rPr>
          <w:rFonts w:hint="eastAsia" w:hAnsi="宋体" w:cs="宋体"/>
          <w:b/>
          <w:bCs/>
          <w:color w:val="auto"/>
          <w:sz w:val="24"/>
          <w:szCs w:val="24"/>
          <w:highlight w:val="none"/>
        </w:rPr>
      </w:pPr>
    </w:p>
    <w:p w14:paraId="519817D7">
      <w:pPr>
        <w:pStyle w:val="2"/>
        <w:jc w:val="center"/>
        <w:rPr>
          <w:rFonts w:hint="default" w:ascii="宋体" w:hAnsi="宋体" w:cs="宋体"/>
          <w:b/>
          <w:bCs/>
          <w:color w:val="auto"/>
          <w:highlight w:val="none"/>
          <w:lang w:val="en-US"/>
        </w:rPr>
        <w:sectPr>
          <w:pgSz w:w="11906" w:h="16838"/>
          <w:pgMar w:top="1440" w:right="1800" w:bottom="1440" w:left="1800" w:header="851" w:footer="992" w:gutter="0"/>
          <w:pgNumType w:fmt="numberInDash"/>
          <w:cols w:space="425" w:num="1"/>
          <w:docGrid w:type="lines" w:linePitch="312" w:charSpace="0"/>
        </w:sectPr>
      </w:pPr>
      <w:r>
        <w:rPr>
          <w:rFonts w:hint="eastAsia" w:hAnsi="宋体" w:cs="宋体"/>
          <w:b/>
          <w:bCs/>
          <w:color w:val="auto"/>
          <w:sz w:val="32"/>
          <w:szCs w:val="32"/>
          <w:highlight w:val="none"/>
          <w:lang w:val="en-US" w:eastAsia="zh-CN"/>
        </w:rPr>
        <w:t>2026</w:t>
      </w:r>
      <w:r>
        <w:rPr>
          <w:rFonts w:hint="eastAsia" w:hAnsi="宋体" w:cs="宋体"/>
          <w:b/>
          <w:bCs/>
          <w:color w:val="auto"/>
          <w:sz w:val="32"/>
          <w:szCs w:val="32"/>
          <w:highlight w:val="none"/>
        </w:rPr>
        <w:t>年</w:t>
      </w:r>
      <w:r>
        <w:rPr>
          <w:rFonts w:hint="eastAsia" w:hAnsi="宋体" w:cs="宋体"/>
          <w:b/>
          <w:bCs/>
          <w:color w:val="auto"/>
          <w:sz w:val="32"/>
          <w:szCs w:val="32"/>
          <w:highlight w:val="none"/>
          <w:lang w:val="en-US" w:eastAsia="zh-CN"/>
        </w:rPr>
        <w:t xml:space="preserve">   </w:t>
      </w:r>
      <w:r>
        <w:rPr>
          <w:rFonts w:hint="eastAsia" w:hAnsi="宋体" w:cs="宋体"/>
          <w:b/>
          <w:bCs/>
          <w:color w:val="auto"/>
          <w:sz w:val="32"/>
          <w:szCs w:val="32"/>
          <w:highlight w:val="none"/>
        </w:rPr>
        <w:t>月</w:t>
      </w:r>
      <w:r>
        <w:rPr>
          <w:rFonts w:hint="eastAsia" w:hAnsi="宋体" w:cs="宋体"/>
          <w:b/>
          <w:bCs/>
          <w:color w:val="auto"/>
          <w:sz w:val="32"/>
          <w:szCs w:val="32"/>
          <w:highlight w:val="none"/>
          <w:lang w:val="en-US" w:eastAsia="zh-CN"/>
        </w:rPr>
        <w:t xml:space="preserve">    日</w:t>
      </w:r>
    </w:p>
    <w:p w14:paraId="50AD2DC9">
      <w:pPr>
        <w:spacing w:line="360" w:lineRule="auto"/>
        <w:jc w:val="both"/>
        <w:textAlignment w:val="baseline"/>
        <w:rPr>
          <w:rFonts w:hint="eastAsia" w:ascii="宋体" w:hAnsi="宋体" w:cs="宋体"/>
          <w:b/>
          <w:bCs/>
          <w:color w:val="auto"/>
          <w:highlight w:val="none"/>
        </w:rPr>
      </w:pPr>
    </w:p>
    <w:p w14:paraId="35B121AC">
      <w:pPr>
        <w:spacing w:line="360" w:lineRule="auto"/>
        <w:jc w:val="center"/>
        <w:textAlignment w:val="baseline"/>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澄城县教育体育局2026-2027学年度学生营养改善计划大宗食材采购项目</w:t>
      </w:r>
    </w:p>
    <w:p w14:paraId="73938D89">
      <w:pPr>
        <w:spacing w:line="360" w:lineRule="auto"/>
        <w:jc w:val="center"/>
        <w:textAlignment w:val="baseline"/>
        <w:rPr>
          <w:rFonts w:hint="eastAsia" w:ascii="宋体" w:hAnsi="宋体" w:cs="宋体"/>
          <w:b/>
          <w:bCs/>
          <w:color w:val="auto"/>
          <w:highlight w:val="none"/>
        </w:rPr>
      </w:pPr>
      <w:r>
        <w:rPr>
          <w:rFonts w:hint="eastAsia" w:ascii="宋体" w:hAnsi="宋体" w:cs="宋体"/>
          <w:b/>
          <w:bCs/>
          <w:color w:val="auto"/>
          <w:highlight w:val="none"/>
        </w:rPr>
        <w:t>第</w:t>
      </w:r>
      <w:r>
        <w:rPr>
          <w:rFonts w:hint="eastAsia" w:ascii="宋体" w:hAnsi="宋体" w:cs="宋体"/>
          <w:b/>
          <w:bCs/>
          <w:color w:val="auto"/>
          <w:highlight w:val="none"/>
          <w:u w:val="single"/>
        </w:rPr>
        <w:t xml:space="preserve">    </w:t>
      </w:r>
      <w:r>
        <w:rPr>
          <w:rFonts w:hint="eastAsia" w:ascii="宋体" w:hAnsi="宋体" w:cs="宋体"/>
          <w:b/>
          <w:bCs/>
          <w:color w:val="auto"/>
          <w:highlight w:val="none"/>
        </w:rPr>
        <w:t>包 供应合同书</w:t>
      </w:r>
    </w:p>
    <w:p w14:paraId="07641ABA">
      <w:pPr>
        <w:spacing w:line="360" w:lineRule="auto"/>
        <w:ind w:firstLine="422" w:firstLineChars="200"/>
        <w:textAlignment w:val="baseline"/>
        <w:rPr>
          <w:rFonts w:hint="eastAsia" w:ascii="宋体" w:hAnsi="宋体" w:cs="宋体"/>
          <w:b/>
          <w:bCs/>
          <w:color w:val="auto"/>
          <w:highlight w:val="none"/>
        </w:rPr>
      </w:pPr>
    </w:p>
    <w:p w14:paraId="3D8B09FB">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甲方：澄城县教育</w:t>
      </w:r>
      <w:r>
        <w:rPr>
          <w:rFonts w:hint="eastAsia" w:ascii="宋体" w:hAnsi="宋体" w:cs="宋体"/>
          <w:b/>
          <w:bCs/>
          <w:color w:val="auto"/>
          <w:highlight w:val="none"/>
          <w:lang w:val="en-US" w:eastAsia="zh-CN"/>
        </w:rPr>
        <w:t>体育</w:t>
      </w:r>
      <w:r>
        <w:rPr>
          <w:rFonts w:hint="eastAsia" w:ascii="宋体" w:hAnsi="宋体" w:cs="宋体"/>
          <w:b/>
          <w:bCs/>
          <w:color w:val="auto"/>
          <w:highlight w:val="none"/>
        </w:rPr>
        <w:t>局</w:t>
      </w:r>
    </w:p>
    <w:p w14:paraId="5A06F2D8">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乙方：</w:t>
      </w:r>
      <w:r>
        <w:rPr>
          <w:rFonts w:hint="eastAsia" w:ascii="宋体" w:hAnsi="宋体" w:cs="宋体"/>
          <w:b/>
          <w:bCs/>
          <w:color w:val="auto"/>
          <w:highlight w:val="none"/>
          <w:u w:val="single"/>
        </w:rPr>
        <w:t xml:space="preserve"> </w:t>
      </w:r>
      <w:r>
        <w:rPr>
          <w:rFonts w:hint="eastAsia" w:ascii="宋体" w:hAnsi="宋体" w:cs="宋体"/>
          <w:b/>
          <w:bCs/>
          <w:color w:val="auto"/>
          <w:highlight w:val="none"/>
          <w:u w:val="single"/>
          <w:lang w:val="en-US" w:eastAsia="zh-CN"/>
        </w:rPr>
        <w:t xml:space="preserve">                </w:t>
      </w:r>
    </w:p>
    <w:p w14:paraId="584F5C91">
      <w:pPr>
        <w:spacing w:line="360" w:lineRule="auto"/>
        <w:ind w:firstLine="420" w:firstLineChars="200"/>
        <w:textAlignment w:val="baseline"/>
        <w:rPr>
          <w:rFonts w:hint="eastAsia" w:ascii="宋体" w:hAnsi="宋体" w:cs="宋体"/>
          <w:color w:val="auto"/>
          <w:highlight w:val="none"/>
        </w:rPr>
      </w:pPr>
      <w:r>
        <w:rPr>
          <w:rFonts w:hint="eastAsia" w:ascii="宋体" w:hAnsi="宋体" w:eastAsia="宋体" w:cs="宋体"/>
          <w:color w:val="auto"/>
          <w:highlight w:val="none"/>
          <w:lang w:eastAsia="zh-CN"/>
        </w:rPr>
        <w:t>澄城县教育体育局2026-2027学年度学生营养改善计划大宗食材采购项目</w:t>
      </w:r>
      <w:r>
        <w:rPr>
          <w:rFonts w:hint="eastAsia" w:ascii="宋体" w:hAnsi="宋体" w:eastAsia="宋体" w:cs="宋体"/>
          <w:color w:val="auto"/>
          <w:highlight w:val="none"/>
        </w:rPr>
        <w:t>，</w:t>
      </w:r>
      <w:r>
        <w:rPr>
          <w:rFonts w:hint="eastAsia" w:ascii="宋体" w:hAnsi="宋体" w:cs="宋体"/>
          <w:color w:val="auto"/>
          <w:highlight w:val="none"/>
        </w:rPr>
        <w:t>甲乙双方根据《中华人民共和国政府采购法》《中华人民共和国民法典》及政府采购招标有关法律、法规之规定，在遵循公开、公平、公正及平等、自愿、诚信原则下，经政府招标采购程序确定为</w:t>
      </w:r>
      <w:bookmarkStart w:id="0" w:name="_Hlk168326578"/>
      <w:r>
        <w:rPr>
          <w:rFonts w:hint="eastAsia" w:ascii="宋体" w:hAnsi="宋体" w:cs="宋体"/>
          <w:color w:val="auto"/>
          <w:highlight w:val="none"/>
        </w:rPr>
        <w:t>澄城县教育体育局2026-2027学年度学生营养改善计划大宗食材采购项目第</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包</w:t>
      </w:r>
      <w:bookmarkEnd w:id="0"/>
      <w:r>
        <w:rPr>
          <w:rFonts w:hint="eastAsia" w:ascii="宋体" w:hAnsi="宋体" w:cs="宋体"/>
          <w:color w:val="auto"/>
          <w:highlight w:val="none"/>
        </w:rPr>
        <w:t>中标人，现经双方共同协商一致，澄城县教育体育局2026-2027学年度学生营养改善计划大宗食材采购项目第</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包采购项目达成以下合作协议：</w:t>
      </w:r>
    </w:p>
    <w:p w14:paraId="0BFDA7B0">
      <w:pPr>
        <w:spacing w:line="360" w:lineRule="auto"/>
        <w:ind w:firstLine="422" w:firstLineChars="200"/>
        <w:textAlignment w:val="baseline"/>
        <w:rPr>
          <w:rFonts w:hint="eastAsia" w:ascii="宋体" w:hAnsi="宋体" w:cs="宋体"/>
          <w:color w:val="auto"/>
          <w:highlight w:val="none"/>
        </w:rPr>
      </w:pPr>
      <w:r>
        <w:rPr>
          <w:rFonts w:hint="eastAsia" w:ascii="宋体" w:hAnsi="宋体" w:cs="宋体"/>
          <w:b/>
          <w:bCs/>
          <w:color w:val="auto"/>
          <w:highlight w:val="none"/>
        </w:rPr>
        <w:t>一、合同期限</w:t>
      </w:r>
      <w:r>
        <w:rPr>
          <w:rFonts w:hint="eastAsia" w:ascii="宋体" w:hAnsi="宋体" w:cs="宋体"/>
          <w:color w:val="auto"/>
          <w:highlight w:val="none"/>
        </w:rPr>
        <w:t>：</w:t>
      </w:r>
      <w:r>
        <w:rPr>
          <w:rFonts w:hint="eastAsia" w:ascii="仿宋_GB2312" w:hAnsi="仿宋_GB2312" w:eastAsia="仿宋_GB2312" w:cs="仿宋_GB2312"/>
          <w:color w:val="auto"/>
          <w:highlight w:val="none"/>
          <w:lang w:val="en-US" w:eastAsia="zh-CN"/>
        </w:rPr>
        <w:t>2026年9月1日学校正式供餐前开始供应。至2027年7月31日（具体时间以学校放暑假为准）</w:t>
      </w:r>
      <w:r>
        <w:rPr>
          <w:rFonts w:hint="eastAsia" w:ascii="宋体" w:hAnsi="宋体" w:cs="宋体"/>
          <w:color w:val="auto"/>
          <w:highlight w:val="none"/>
        </w:rPr>
        <w:t>。</w:t>
      </w:r>
    </w:p>
    <w:p w14:paraId="2462AE02">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二、供应的范围、内容及质量标准：</w:t>
      </w:r>
    </w:p>
    <w:p w14:paraId="564C9E0A">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1.供应的范围为本合同包义务教育段学校。</w:t>
      </w:r>
    </w:p>
    <w:p w14:paraId="58A00326">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2.供应的内容为经政府公开招标确定的营养改善计划学校食堂。</w:t>
      </w:r>
    </w:p>
    <w:p w14:paraId="4B1511AE">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3.质量标准为符合经政府公开招标确定的相关质量技术参数标准。</w:t>
      </w:r>
    </w:p>
    <w:p w14:paraId="4371A2A5">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4.产品验收方式：</w:t>
      </w:r>
    </w:p>
    <w:p w14:paraId="78B85D8E">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1、项目验收:</w:t>
      </w:r>
    </w:p>
    <w:p w14:paraId="6E8E88C3">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验收:中标人配送到指定地点后由使用学校进行验收，核对数量，检查食品外观和质量等，并提供每批次检测报告，经检验无误后由采购人和使用学校共同签署配送单。</w:t>
      </w:r>
    </w:p>
    <w:p w14:paraId="1181889E">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2、供应商配送食品时，不得配送中标以外的其他食品，出现产品质量问题或者超过配送日期的食品，采购单位有权拒绝接收。</w:t>
      </w:r>
    </w:p>
    <w:p w14:paraId="6BACA0DF">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3、验收依据</w:t>
      </w:r>
    </w:p>
    <w:p w14:paraId="53BC362C">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 xml:space="preserve">（1）合同文本及合同补充文件（条款）； </w:t>
      </w:r>
    </w:p>
    <w:p w14:paraId="1939F7A4">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（2）产品的合法来源渠道证明文件；</w:t>
      </w:r>
    </w:p>
    <w:p w14:paraId="1DCD3AEA">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（3）招标文件；</w:t>
      </w:r>
    </w:p>
    <w:p w14:paraId="618BEF17">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（4）中标人的投标文件；</w:t>
      </w:r>
    </w:p>
    <w:p w14:paraId="010DF448">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（5）货物清单；</w:t>
      </w:r>
    </w:p>
    <w:p w14:paraId="2A3DE2FA">
      <w:pPr>
        <w:spacing w:line="360" w:lineRule="auto"/>
        <w:ind w:firstLine="420" w:firstLineChars="200"/>
        <w:textAlignment w:val="baseline"/>
        <w:rPr>
          <w:rFonts w:ascii="宋体" w:hAnsi="宋体" w:cs="宋体"/>
          <w:color w:val="auto"/>
          <w:highlight w:val="none"/>
        </w:rPr>
      </w:pPr>
      <w:r>
        <w:rPr>
          <w:rFonts w:hint="eastAsia" w:ascii="宋体" w:hAnsi="宋体" w:cs="宋体"/>
          <w:color w:val="auto"/>
          <w:highlight w:val="none"/>
        </w:rPr>
        <w:t>（6）生产厂家的企业资质、货物的执行标准。</w:t>
      </w:r>
    </w:p>
    <w:p w14:paraId="48AA3A56">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三、产品</w:t>
      </w:r>
      <w:r>
        <w:rPr>
          <w:rFonts w:hint="eastAsia" w:ascii="宋体" w:hAnsi="宋体" w:cs="宋体"/>
          <w:b/>
          <w:bCs/>
          <w:color w:val="auto"/>
          <w:highlight w:val="none"/>
          <w:lang w:val="en-US" w:eastAsia="zh-CN"/>
        </w:rPr>
        <w:t>下浮率</w:t>
      </w:r>
      <w:r>
        <w:rPr>
          <w:rFonts w:hint="eastAsia" w:ascii="宋体" w:hAnsi="宋体" w:cs="宋体"/>
          <w:b/>
          <w:bCs/>
          <w:color w:val="auto"/>
          <w:highlight w:val="none"/>
        </w:rPr>
        <w:t>：</w:t>
      </w:r>
    </w:p>
    <w:tbl>
      <w:tblPr>
        <w:tblStyle w:val="5"/>
        <w:tblpPr w:leftFromText="180" w:rightFromText="180" w:vertAnchor="text" w:horzAnchor="page" w:tblpXSpec="center" w:tblpY="428"/>
        <w:tblOverlap w:val="never"/>
        <w:tblW w:w="825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9"/>
        <w:gridCol w:w="1681"/>
        <w:gridCol w:w="906"/>
        <w:gridCol w:w="1500"/>
        <w:gridCol w:w="1588"/>
        <w:gridCol w:w="1683"/>
      </w:tblGrid>
      <w:tr w14:paraId="36A6B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jc w:val="center"/>
        </w:trPr>
        <w:tc>
          <w:tcPr>
            <w:tcW w:w="899" w:type="dxa"/>
            <w:vAlign w:val="center"/>
          </w:tcPr>
          <w:p w14:paraId="3772D2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序号</w:t>
            </w:r>
          </w:p>
        </w:tc>
        <w:tc>
          <w:tcPr>
            <w:tcW w:w="1681" w:type="dxa"/>
            <w:vAlign w:val="center"/>
          </w:tcPr>
          <w:p w14:paraId="32AE09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zh-CN"/>
              </w:rPr>
              <w:t>货物</w:t>
            </w:r>
            <w:r>
              <w:rPr>
                <w:rFonts w:hint="eastAsia" w:ascii="仿宋_GB2312" w:hAnsi="仿宋_GB2312" w:eastAsia="仿宋_GB2312" w:cs="仿宋_GB2312"/>
                <w:color w:val="auto"/>
                <w:highlight w:val="none"/>
                <w:lang w:val="en-US" w:eastAsia="en-US"/>
              </w:rPr>
              <w:t>种类</w:t>
            </w:r>
          </w:p>
        </w:tc>
        <w:tc>
          <w:tcPr>
            <w:tcW w:w="906" w:type="dxa"/>
            <w:vAlign w:val="center"/>
          </w:tcPr>
          <w:p w14:paraId="743626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en-US"/>
              </w:rPr>
              <w:t>品牌</w:t>
            </w:r>
          </w:p>
        </w:tc>
        <w:tc>
          <w:tcPr>
            <w:tcW w:w="1500" w:type="dxa"/>
            <w:vAlign w:val="center"/>
          </w:tcPr>
          <w:p w14:paraId="6FF257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en-US"/>
              </w:rPr>
              <w:t>规格/单位</w:t>
            </w:r>
          </w:p>
        </w:tc>
        <w:tc>
          <w:tcPr>
            <w:tcW w:w="1588" w:type="dxa"/>
            <w:vAlign w:val="center"/>
          </w:tcPr>
          <w:p w14:paraId="7FF458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下浮率</w:t>
            </w:r>
          </w:p>
        </w:tc>
        <w:tc>
          <w:tcPr>
            <w:tcW w:w="1683" w:type="dxa"/>
            <w:vAlign w:val="center"/>
          </w:tcPr>
          <w:p w14:paraId="2B8208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en-US"/>
              </w:rPr>
              <w:t>备注</w:t>
            </w:r>
          </w:p>
        </w:tc>
      </w:tr>
      <w:tr w14:paraId="4B167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jc w:val="center"/>
        </w:trPr>
        <w:tc>
          <w:tcPr>
            <w:tcW w:w="899" w:type="dxa"/>
            <w:vAlign w:val="center"/>
          </w:tcPr>
          <w:p w14:paraId="7689DC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en-US"/>
              </w:rPr>
              <w:t>1</w:t>
            </w:r>
          </w:p>
        </w:tc>
        <w:tc>
          <w:tcPr>
            <w:tcW w:w="1681" w:type="dxa"/>
            <w:vAlign w:val="center"/>
          </w:tcPr>
          <w:p w14:paraId="27AC51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906" w:type="dxa"/>
            <w:vAlign w:val="center"/>
          </w:tcPr>
          <w:p w14:paraId="692DA0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500" w:type="dxa"/>
            <w:vAlign w:val="center"/>
          </w:tcPr>
          <w:p w14:paraId="1ABE59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588" w:type="dxa"/>
            <w:vAlign w:val="center"/>
          </w:tcPr>
          <w:p w14:paraId="6EAA7A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683" w:type="dxa"/>
            <w:vAlign w:val="center"/>
          </w:tcPr>
          <w:p w14:paraId="5F9347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r>
      <w:tr w14:paraId="09B19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jc w:val="center"/>
        </w:trPr>
        <w:tc>
          <w:tcPr>
            <w:tcW w:w="899" w:type="dxa"/>
            <w:vAlign w:val="center"/>
          </w:tcPr>
          <w:p w14:paraId="73C464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en-US"/>
              </w:rPr>
              <w:t>2</w:t>
            </w:r>
          </w:p>
        </w:tc>
        <w:tc>
          <w:tcPr>
            <w:tcW w:w="1681" w:type="dxa"/>
            <w:vAlign w:val="center"/>
          </w:tcPr>
          <w:p w14:paraId="50B77A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906" w:type="dxa"/>
            <w:vAlign w:val="center"/>
          </w:tcPr>
          <w:p w14:paraId="332749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500" w:type="dxa"/>
            <w:vAlign w:val="center"/>
          </w:tcPr>
          <w:p w14:paraId="45551F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588" w:type="dxa"/>
            <w:vAlign w:val="center"/>
          </w:tcPr>
          <w:p w14:paraId="75AC2C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683" w:type="dxa"/>
            <w:vAlign w:val="center"/>
          </w:tcPr>
          <w:p w14:paraId="1EB92D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r>
      <w:tr w14:paraId="6DCC2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jc w:val="center"/>
        </w:trPr>
        <w:tc>
          <w:tcPr>
            <w:tcW w:w="899" w:type="dxa"/>
            <w:vAlign w:val="center"/>
          </w:tcPr>
          <w:p w14:paraId="30E3A5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r>
              <w:rPr>
                <w:rFonts w:hint="eastAsia" w:ascii="仿宋_GB2312" w:hAnsi="仿宋_GB2312" w:eastAsia="仿宋_GB2312" w:cs="仿宋_GB2312"/>
                <w:color w:val="auto"/>
                <w:highlight w:val="none"/>
                <w:lang w:val="en-US" w:eastAsia="en-US"/>
              </w:rPr>
              <w:t>3</w:t>
            </w:r>
          </w:p>
        </w:tc>
        <w:tc>
          <w:tcPr>
            <w:tcW w:w="1681" w:type="dxa"/>
            <w:vAlign w:val="center"/>
          </w:tcPr>
          <w:p w14:paraId="06FBCE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906" w:type="dxa"/>
            <w:vAlign w:val="center"/>
          </w:tcPr>
          <w:p w14:paraId="49DC45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500" w:type="dxa"/>
            <w:vAlign w:val="center"/>
          </w:tcPr>
          <w:p w14:paraId="625D40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588" w:type="dxa"/>
            <w:vAlign w:val="center"/>
          </w:tcPr>
          <w:p w14:paraId="5AEE09C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c>
          <w:tcPr>
            <w:tcW w:w="1683" w:type="dxa"/>
            <w:vAlign w:val="center"/>
          </w:tcPr>
          <w:p w14:paraId="3451F2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baseline"/>
              <w:rPr>
                <w:rFonts w:hint="eastAsia" w:ascii="仿宋_GB2312" w:hAnsi="仿宋_GB2312" w:eastAsia="仿宋_GB2312" w:cs="仿宋_GB2312"/>
                <w:color w:val="auto"/>
                <w:highlight w:val="none"/>
                <w:lang w:val="en-US" w:eastAsia="en-US"/>
              </w:rPr>
            </w:pPr>
          </w:p>
        </w:tc>
      </w:tr>
    </w:tbl>
    <w:p w14:paraId="057DD45B">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1.产品</w:t>
      </w:r>
      <w:r>
        <w:rPr>
          <w:rFonts w:hint="eastAsia" w:ascii="宋体" w:hAnsi="宋体" w:cs="宋体"/>
          <w:color w:val="auto"/>
          <w:highlight w:val="none"/>
          <w:lang w:val="en-US" w:eastAsia="zh-CN"/>
        </w:rPr>
        <w:t>报价</w:t>
      </w:r>
      <w:r>
        <w:rPr>
          <w:rFonts w:hint="eastAsia" w:ascii="宋体" w:hAnsi="宋体" w:cs="宋体"/>
          <w:color w:val="auto"/>
          <w:highlight w:val="none"/>
        </w:rPr>
        <w:t>包含产品</w:t>
      </w:r>
      <w:r>
        <w:rPr>
          <w:rFonts w:hint="eastAsia" w:ascii="宋体" w:hAnsi="宋体"/>
          <w:color w:val="auto"/>
          <w:highlight w:val="none"/>
        </w:rPr>
        <w:t>供应费、运杂费（含仓储费、运输费、保险费、装卸费、税金）、抽检费、运输过程中的损耗费、学校操作过程中的留样以及所有产品达到正常使用条件下所包含的一切费用</w:t>
      </w:r>
      <w:r>
        <w:rPr>
          <w:rFonts w:hint="eastAsia" w:ascii="宋体" w:hAnsi="宋体" w:cs="宋体"/>
          <w:color w:val="auto"/>
          <w:highlight w:val="none"/>
        </w:rPr>
        <w:t>。</w:t>
      </w:r>
    </w:p>
    <w:p w14:paraId="11AEABD1">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2.按照采购人要求的供货地点及供货周期安排配送，最终结算按照中标单价和实际供货数量进行合同结算。</w:t>
      </w:r>
    </w:p>
    <w:p w14:paraId="0147766A">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四、付款方式：</w:t>
      </w:r>
    </w:p>
    <w:p w14:paraId="3EC053E7">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lang w:val="en-US" w:eastAsia="zh-CN"/>
        </w:rPr>
        <w:t>1. 以供应商供货数量及澄城县教育体育局市场询价价格，按照市场询价价格×（1-下浮率）进行结算，</w:t>
      </w:r>
      <w:r>
        <w:rPr>
          <w:rFonts w:hint="eastAsia" w:ascii="宋体" w:hAnsi="宋体" w:cs="宋体"/>
          <w:color w:val="auto"/>
          <w:highlight w:val="none"/>
        </w:rPr>
        <w:t>乙方将所需产品供应到位后，以各校接收配送单为依据，经核对无误后由学校按季度或学期以实际数量办理结算。</w:t>
      </w:r>
      <w:r>
        <w:rPr>
          <w:rFonts w:hint="eastAsia" w:ascii="宋体" w:hAnsi="宋体" w:cs="宋体"/>
          <w:color w:val="auto"/>
          <w:highlight w:val="none"/>
          <w:lang w:val="en-US" w:eastAsia="zh-CN"/>
        </w:rPr>
        <w:t>其中，大米、小麦粉、菜籽油、鸡蛋、纯牛奶每月一次市场询价，蔬菜、肉类、水果每周一次市场询价。</w:t>
      </w:r>
      <w:r>
        <w:rPr>
          <w:rFonts w:hint="eastAsia" w:ascii="宋体" w:hAnsi="宋体" w:cs="宋体"/>
          <w:color w:val="auto"/>
          <w:highlight w:val="none"/>
        </w:rPr>
        <w:t>若学生营养改善计划政策调整，以上级政策为准，该意见服从国家政策。</w:t>
      </w:r>
    </w:p>
    <w:p w14:paraId="762BC15C">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2.乙方将所需产品供应到位后，以各校接收配送单为依据，经核对无误后由学校按季度或学期以实际数量办理结算。</w:t>
      </w:r>
    </w:p>
    <w:p w14:paraId="2F8C5DD8">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3.货款结算以银行转账方式支付，结算货币为人民币。由营养改善计划学校按照合同价格直接转付。</w:t>
      </w:r>
    </w:p>
    <w:p w14:paraId="0A95E498">
      <w:pPr>
        <w:spacing w:line="360" w:lineRule="auto"/>
        <w:ind w:firstLine="420" w:firstLineChars="200"/>
        <w:textAlignment w:val="baseline"/>
        <w:rPr>
          <w:rFonts w:ascii="宋体" w:hAnsi="宋体" w:cs="宋体"/>
          <w:color w:val="auto"/>
          <w:highlight w:val="none"/>
        </w:rPr>
      </w:pPr>
      <w:r>
        <w:rPr>
          <w:rFonts w:hint="eastAsia" w:ascii="宋体" w:hAnsi="宋体" w:cs="宋体"/>
          <w:color w:val="auto"/>
          <w:highlight w:val="none"/>
        </w:rPr>
        <w:t>4.乙方须提供中标公司正式正规的合法税票。</w:t>
      </w:r>
    </w:p>
    <w:p w14:paraId="1BFEE2C3">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五、付款账户：</w:t>
      </w:r>
    </w:p>
    <w:p w14:paraId="55EABEAA">
      <w:pPr>
        <w:spacing w:line="360" w:lineRule="auto"/>
        <w:ind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1.中标单位用户名：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p>
    <w:p w14:paraId="009864F0">
      <w:pPr>
        <w:spacing w:line="360" w:lineRule="auto"/>
        <w:ind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2.中标单位账号：</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p>
    <w:p w14:paraId="5D3CCAA9">
      <w:pPr>
        <w:spacing w:line="360" w:lineRule="auto"/>
        <w:ind w:firstLine="420" w:firstLineChars="200"/>
        <w:textAlignment w:val="baseline"/>
        <w:rPr>
          <w:rFonts w:hint="eastAsia" w:ascii="宋体" w:hAnsi="宋体" w:cs="宋体"/>
          <w:color w:val="auto"/>
          <w:sz w:val="21"/>
          <w:szCs w:val="21"/>
          <w:highlight w:val="none"/>
        </w:rPr>
      </w:pPr>
      <w:r>
        <w:rPr>
          <w:rFonts w:hint="eastAsia" w:ascii="宋体" w:hAnsi="宋体" w:cs="宋体"/>
          <w:color w:val="auto"/>
          <w:sz w:val="21"/>
          <w:szCs w:val="21"/>
          <w:highlight w:val="none"/>
        </w:rPr>
        <w:t>3.开户行：</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rPr>
        <w:t xml:space="preserve">    </w:t>
      </w:r>
    </w:p>
    <w:p w14:paraId="21E53C6A">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六、供应日期及配送方式：</w:t>
      </w:r>
    </w:p>
    <w:p w14:paraId="546F66FC">
      <w:pPr>
        <w:spacing w:line="360" w:lineRule="auto"/>
        <w:ind w:firstLine="420" w:firstLineChars="200"/>
        <w:textAlignment w:val="baseline"/>
        <w:rPr>
          <w:rFonts w:hint="eastAsia" w:ascii="宋体" w:hAnsi="宋体" w:cs="宋体"/>
          <w:color w:val="auto"/>
          <w:highlight w:val="none"/>
          <w:lang w:val="en-US" w:eastAsia="zh-CN"/>
        </w:rPr>
      </w:pPr>
      <w:r>
        <w:rPr>
          <w:rFonts w:hint="eastAsia" w:ascii="仿宋_GB2312" w:hAnsi="仿宋_GB2312" w:eastAsia="仿宋_GB2312" w:cs="仿宋_GB2312"/>
          <w:color w:val="auto"/>
          <w:highlight w:val="none"/>
          <w:lang w:val="en-US" w:eastAsia="zh-CN"/>
        </w:rPr>
        <w:t xml:space="preserve"> </w:t>
      </w:r>
      <w:r>
        <w:rPr>
          <w:rFonts w:hint="eastAsia" w:ascii="宋体" w:hAnsi="宋体" w:cs="宋体"/>
          <w:color w:val="auto"/>
          <w:highlight w:val="none"/>
          <w:lang w:val="en-US" w:eastAsia="zh-CN"/>
        </w:rPr>
        <w:t>2026年9月1日学校正式供餐前开始供应。至2027年7月 31日（具体时间以学校放暑假为准）。蔬菜、肉类：每周2-3次将所需产品专人专车直接送达供应地点；鸡蛋、纯牛奶、水果：每周1次将所需产品专人专车直接送达供应地点；大米、小麦粉、菜籽油2周一次将所需产品专人专车直接送达供应地点；供应商确保食材新鲜、安全、营养。</w:t>
      </w:r>
    </w:p>
    <w:p w14:paraId="6D504761">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七、送货地点：甲方指定校点</w:t>
      </w:r>
    </w:p>
    <w:p w14:paraId="0C01966A">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八、甲方权利和义务：</w:t>
      </w:r>
    </w:p>
    <w:p w14:paraId="759BCCB8">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1.甲方根据上级文件政策和季节变化及学校实际，可调整供应的时间、范围、配送方式。</w:t>
      </w:r>
    </w:p>
    <w:p w14:paraId="5CD4E309">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2.甲方应为乙方提供供应产品所需的外部环境。</w:t>
      </w:r>
    </w:p>
    <w:p w14:paraId="6365B8FA">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3.因甲方保存、食用不当等人为因素造成的产品破损、变质等非产品本身质量问题产生的纠纷由甲方全权承担。</w:t>
      </w:r>
    </w:p>
    <w:p w14:paraId="39E1EFA6">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4.甲方应确保按合同约定的方式及时间向乙方支付货款。</w:t>
      </w:r>
    </w:p>
    <w:p w14:paraId="05B3B302">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九、乙方权利和义务：</w:t>
      </w:r>
    </w:p>
    <w:p w14:paraId="4FE4617C">
      <w:pPr>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cs="宋体"/>
          <w:color w:val="auto"/>
          <w:highlight w:val="none"/>
        </w:rPr>
        <w:t>1.乙方应为</w:t>
      </w:r>
      <w:r>
        <w:rPr>
          <w:rFonts w:hint="eastAsia" w:ascii="宋体" w:hAnsi="宋体" w:eastAsia="宋体" w:cs="宋体"/>
          <w:color w:val="auto"/>
          <w:highlight w:val="none"/>
        </w:rPr>
        <w:t>甲方提供符合产品质量标准的合格产品。</w:t>
      </w:r>
      <w:r>
        <w:rPr>
          <w:rFonts w:hint="eastAsia" w:ascii="宋体" w:hAnsi="宋体" w:eastAsia="宋体" w:cs="宋体"/>
          <w:color w:val="auto"/>
          <w:highlight w:val="none"/>
          <w:lang w:val="en-US" w:eastAsia="zh-CN"/>
        </w:rPr>
        <w:t>非</w:t>
      </w:r>
      <w:r>
        <w:rPr>
          <w:rFonts w:hint="eastAsia" w:ascii="宋体" w:hAnsi="宋体" w:eastAsia="宋体" w:cs="宋体"/>
          <w:color w:val="auto"/>
          <w:highlight w:val="none"/>
        </w:rPr>
        <w:t>经</w:t>
      </w:r>
      <w:r>
        <w:rPr>
          <w:rFonts w:hint="eastAsia" w:ascii="宋体" w:hAnsi="宋体" w:eastAsia="宋体" w:cs="宋体"/>
          <w:color w:val="auto"/>
          <w:highlight w:val="none"/>
          <w:lang w:val="en-US" w:eastAsia="zh-CN"/>
        </w:rPr>
        <w:t>甲方</w:t>
      </w:r>
      <w:r>
        <w:rPr>
          <w:rFonts w:hint="eastAsia" w:ascii="宋体" w:hAnsi="宋体" w:eastAsia="宋体" w:cs="宋体"/>
          <w:color w:val="auto"/>
          <w:highlight w:val="none"/>
        </w:rPr>
        <w:t>同意，本项目不允许另行转包或者分包。</w:t>
      </w:r>
    </w:p>
    <w:p w14:paraId="0FD7EFF7">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2.乙方应提高思想认识和责任意识，为学生负责，应按照本合同中要求的规格、质量标准提供符合要求的合格产品，并负责产品的运输、配送。</w:t>
      </w:r>
    </w:p>
    <w:p w14:paraId="3CB05E84">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3.乙方除按照要求配送各种原材料食品外，还应随物附带相关票据证件复印件，包括每批次检验检疫报告等。</w:t>
      </w:r>
    </w:p>
    <w:p w14:paraId="1966467D">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4.乙方应按照合同中要求的供应日期和配送方式、地点和配送品种按时配送产品。</w:t>
      </w:r>
    </w:p>
    <w:p w14:paraId="466CA740">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5.乙方应向配送学校及甲方提供</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b/>
          <w:bCs/>
          <w:color w:val="auto"/>
          <w:highlight w:val="none"/>
          <w:u w:val="single"/>
        </w:rPr>
        <w:t xml:space="preserve"> </w:t>
      </w:r>
      <w:r>
        <w:rPr>
          <w:rFonts w:hint="eastAsia" w:ascii="宋体" w:hAnsi="宋体" w:cs="宋体"/>
          <w:color w:val="auto"/>
          <w:highlight w:val="none"/>
        </w:rPr>
        <w:t>生产厂家的食品生产许可证复印件（含明细表）、生产厂家的营业执照复印件、执行标准的明细表、乙方的</w:t>
      </w:r>
      <w:r>
        <w:rPr>
          <w:rFonts w:hint="eastAsia" w:ascii="宋体" w:hAnsi="宋体" w:cs="宋体"/>
          <w:color w:val="auto"/>
          <w:kern w:val="0"/>
          <w:szCs w:val="21"/>
          <w:highlight w:val="none"/>
        </w:rPr>
        <w:t>动物防疫条件合格证</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如有</w:t>
      </w:r>
      <w:r>
        <w:rPr>
          <w:rFonts w:hint="eastAsia" w:ascii="宋体" w:hAnsi="宋体" w:cs="宋体"/>
          <w:color w:val="auto"/>
          <w:kern w:val="0"/>
          <w:szCs w:val="21"/>
          <w:highlight w:val="none"/>
          <w:lang w:eastAsia="zh-CN"/>
        </w:rPr>
        <w:t>）、</w:t>
      </w:r>
      <w:r>
        <w:rPr>
          <w:rFonts w:hint="eastAsia" w:ascii="宋体" w:hAnsi="宋体" w:cs="宋体"/>
          <w:color w:val="auto"/>
          <w:highlight w:val="none"/>
        </w:rPr>
        <w:t>食品经营许可证复印件、营业执照复印件、法人身份证复印件</w:t>
      </w:r>
      <w:r>
        <w:rPr>
          <w:rFonts w:hint="eastAsia" w:ascii="宋体" w:hAnsi="宋体" w:cs="宋体"/>
          <w:color w:val="auto"/>
          <w:highlight w:val="none"/>
          <w:lang w:val="en-US" w:eastAsia="zh-CN"/>
        </w:rPr>
        <w:t>等</w:t>
      </w:r>
      <w:r>
        <w:rPr>
          <w:rFonts w:hint="eastAsia" w:ascii="宋体" w:hAnsi="宋体" w:cs="宋体"/>
          <w:color w:val="auto"/>
          <w:highlight w:val="none"/>
        </w:rPr>
        <w:t>，以上证件必须真实有效且每学年提供一次，供甲方及学校存档。</w:t>
      </w:r>
    </w:p>
    <w:p w14:paraId="2EEA1712">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6.乙方应向配送学校提供</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的每批次检验检疫报告及加盖公章的配送清单，以上报告及清单随同每批次</w:t>
      </w:r>
      <w:r>
        <w:rPr>
          <w:rFonts w:hint="eastAsia" w:ascii="宋体" w:hAnsi="宋体" w:cs="宋体"/>
          <w:color w:val="auto"/>
          <w:highlight w:val="none"/>
          <w:u w:val="single"/>
        </w:rPr>
        <w:t xml:space="preserve"> </w:t>
      </w:r>
      <w:r>
        <w:rPr>
          <w:rFonts w:hint="eastAsia" w:ascii="宋体" w:hAnsi="宋体" w:cs="宋体"/>
          <w:b/>
          <w:bCs/>
          <w:color w:val="auto"/>
          <w:highlight w:val="none"/>
          <w:u w:val="single"/>
        </w:rPr>
        <w:t xml:space="preserve"> </w:t>
      </w:r>
      <w:r>
        <w:rPr>
          <w:rFonts w:hint="eastAsia" w:ascii="宋体" w:hAnsi="宋体" w:cs="宋体"/>
          <w:b w:val="0"/>
          <w:bCs w:val="0"/>
          <w:color w:val="auto"/>
          <w:highlight w:val="none"/>
          <w:u w:val="single"/>
          <w:lang w:val="en-US" w:eastAsia="zh-CN"/>
        </w:rPr>
        <w:t xml:space="preserve">  </w:t>
      </w:r>
      <w:r>
        <w:rPr>
          <w:rFonts w:hint="eastAsia" w:ascii="宋体" w:hAnsi="宋体" w:cs="宋体"/>
          <w:b/>
          <w:bCs/>
          <w:color w:val="auto"/>
          <w:highlight w:val="none"/>
          <w:u w:val="single"/>
          <w:lang w:val="en-US" w:eastAsia="zh-CN"/>
        </w:rPr>
        <w:t xml:space="preserve"> </w:t>
      </w:r>
      <w:r>
        <w:rPr>
          <w:rFonts w:hint="eastAsia" w:ascii="宋体" w:hAnsi="宋体" w:cs="宋体"/>
          <w:b/>
          <w:bCs/>
          <w:color w:val="auto"/>
          <w:highlight w:val="none"/>
          <w:u w:val="single"/>
        </w:rPr>
        <w:t xml:space="preserve"> </w:t>
      </w:r>
      <w:r>
        <w:rPr>
          <w:rFonts w:hint="eastAsia" w:ascii="宋体" w:hAnsi="宋体" w:cs="宋体"/>
          <w:color w:val="auto"/>
          <w:highlight w:val="none"/>
        </w:rPr>
        <w:t>货物送至学校存档。</w:t>
      </w:r>
    </w:p>
    <w:p w14:paraId="25822181">
      <w:pPr>
        <w:spacing w:line="360" w:lineRule="auto"/>
        <w:ind w:firstLine="420" w:firstLineChars="200"/>
        <w:textAlignment w:val="baseline"/>
        <w:rPr>
          <w:rFonts w:hint="eastAsia" w:ascii="宋体" w:hAnsi="宋体" w:cs="宋体"/>
          <w:color w:val="auto"/>
          <w:highlight w:val="none"/>
          <w:lang w:val="en-US" w:eastAsia="zh-CN"/>
        </w:rPr>
      </w:pPr>
      <w:r>
        <w:rPr>
          <w:rFonts w:hint="eastAsia" w:ascii="宋体" w:hAnsi="宋体" w:cs="宋体"/>
          <w:color w:val="auto"/>
          <w:highlight w:val="none"/>
          <w:lang w:val="en-US" w:eastAsia="zh-CN"/>
        </w:rPr>
        <w:t>7.若遇营养改善计划政策调整或有新要求，以新政策或要求为准。</w:t>
      </w:r>
    </w:p>
    <w:p w14:paraId="2FB1ED33">
      <w:pPr>
        <w:spacing w:line="360" w:lineRule="auto"/>
        <w:ind w:firstLine="420" w:firstLineChars="200"/>
        <w:textAlignment w:val="baseline"/>
        <w:rPr>
          <w:rFonts w:hint="default" w:ascii="宋体" w:hAnsi="宋体" w:cs="宋体"/>
          <w:color w:val="auto"/>
          <w:highlight w:val="none"/>
          <w:lang w:val="en-US" w:eastAsia="zh-CN"/>
        </w:rPr>
      </w:pPr>
      <w:r>
        <w:rPr>
          <w:rFonts w:hint="eastAsia" w:ascii="宋体" w:hAnsi="宋体" w:cs="宋体"/>
          <w:color w:val="auto"/>
          <w:highlight w:val="none"/>
          <w:lang w:val="en-US" w:eastAsia="zh-CN"/>
        </w:rPr>
        <w:t>8.乙方每月底将当月配送明细复印件及汇总表报甲方一份。</w:t>
      </w:r>
    </w:p>
    <w:p w14:paraId="49AE4ABA">
      <w:pPr>
        <w:spacing w:line="360" w:lineRule="auto"/>
        <w:ind w:firstLine="422" w:firstLineChars="200"/>
        <w:rPr>
          <w:rFonts w:hint="eastAsia" w:ascii="宋体" w:hAnsi="宋体" w:cs="宋体"/>
          <w:b/>
          <w:bCs/>
          <w:color w:val="auto"/>
          <w:highlight w:val="none"/>
          <w:u w:val="none" w:color="000000"/>
        </w:rPr>
      </w:pPr>
      <w:r>
        <w:rPr>
          <w:rFonts w:hint="eastAsia" w:ascii="宋体" w:hAnsi="宋体" w:cs="宋体"/>
          <w:b/>
          <w:bCs/>
          <w:color w:val="auto"/>
          <w:highlight w:val="none"/>
          <w:u w:val="none" w:color="000000"/>
        </w:rPr>
        <w:t>十、</w:t>
      </w:r>
      <w:r>
        <w:rPr>
          <w:rFonts w:hint="eastAsia" w:ascii="宋体" w:hAnsi="宋体" w:cs="宋体"/>
          <w:b/>
          <w:bCs/>
          <w:color w:val="auto"/>
          <w:highlight w:val="none"/>
          <w:u w:val="none" w:color="000000"/>
        </w:rPr>
        <w:fldChar w:fldCharType="begin"/>
      </w:r>
      <w:r>
        <w:rPr>
          <w:rFonts w:hint="eastAsia" w:ascii="宋体" w:hAnsi="宋体" w:cs="宋体"/>
          <w:b/>
          <w:bCs/>
          <w:color w:val="auto"/>
          <w:highlight w:val="none"/>
          <w:u w:val="none" w:color="000000"/>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cs="宋体"/>
          <w:b/>
          <w:bCs/>
          <w:color w:val="auto"/>
          <w:highlight w:val="none"/>
          <w:u w:val="none" w:color="000000"/>
        </w:rPr>
        <w:fldChar w:fldCharType="separate"/>
      </w:r>
      <w:r>
        <w:rPr>
          <w:rFonts w:hint="eastAsia" w:ascii="宋体" w:hAnsi="宋体" w:cs="宋体"/>
          <w:b/>
          <w:bCs/>
          <w:color w:val="auto"/>
          <w:highlight w:val="none"/>
          <w:u w:val="none" w:color="000000"/>
        </w:rPr>
        <w:t>不可抗力</w:t>
      </w:r>
      <w:r>
        <w:rPr>
          <w:rFonts w:hint="eastAsia" w:ascii="宋体" w:hAnsi="宋体" w:cs="宋体"/>
          <w:b/>
          <w:bCs/>
          <w:color w:val="auto"/>
          <w:highlight w:val="none"/>
          <w:u w:val="none" w:color="000000"/>
        </w:rPr>
        <w:fldChar w:fldCharType="end"/>
      </w:r>
      <w:r>
        <w:rPr>
          <w:rFonts w:hint="eastAsia" w:ascii="宋体" w:hAnsi="宋体" w:cs="宋体"/>
          <w:b/>
          <w:bCs/>
          <w:color w:val="auto"/>
          <w:highlight w:val="none"/>
          <w:u w:val="none" w:color="000000"/>
        </w:rPr>
        <w:t>：</w:t>
      </w:r>
    </w:p>
    <w:p w14:paraId="7539698F">
      <w:pPr>
        <w:spacing w:line="360" w:lineRule="auto"/>
        <w:ind w:firstLine="420" w:firstLineChars="200"/>
        <w:rPr>
          <w:rFonts w:hint="eastAsia" w:ascii="宋体" w:hAnsi="宋体" w:cs="宋体"/>
          <w:color w:val="auto"/>
          <w:highlight w:val="none"/>
          <w:u w:val="none" w:color="000000"/>
        </w:rPr>
      </w:pPr>
      <w:r>
        <w:rPr>
          <w:rFonts w:hint="eastAsia" w:ascii="宋体" w:hAnsi="宋体" w:cs="宋体"/>
          <w:color w:val="auto"/>
          <w:highlight w:val="none"/>
          <w:u w:val="none" w:color="000000"/>
        </w:rPr>
        <w:t>甲乙双方任何一方由于</w:t>
      </w:r>
      <w:r>
        <w:rPr>
          <w:rFonts w:hint="eastAsia" w:ascii="宋体" w:hAnsi="宋体" w:cs="宋体"/>
          <w:color w:val="auto"/>
          <w:highlight w:val="none"/>
        </w:rPr>
        <w:fldChar w:fldCharType="begin"/>
      </w:r>
      <w:r>
        <w:rPr>
          <w:rFonts w:hint="eastAsia" w:ascii="宋体" w:hAnsi="宋体" w:cs="宋体"/>
          <w:color w:val="auto"/>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cs="宋体"/>
          <w:color w:val="auto"/>
          <w:highlight w:val="none"/>
        </w:rPr>
        <w:fldChar w:fldCharType="separate"/>
      </w:r>
      <w:r>
        <w:rPr>
          <w:rFonts w:hint="eastAsia" w:ascii="宋体" w:hAnsi="宋体" w:cs="宋体"/>
          <w:color w:val="auto"/>
          <w:highlight w:val="none"/>
          <w:u w:val="none" w:color="000000"/>
        </w:rPr>
        <w:t>不可抗力</w:t>
      </w:r>
      <w:r>
        <w:rPr>
          <w:rFonts w:hint="eastAsia" w:ascii="宋体" w:hAnsi="宋体" w:cs="宋体"/>
          <w:color w:val="auto"/>
          <w:highlight w:val="none"/>
        </w:rPr>
        <w:fldChar w:fldCharType="end"/>
      </w:r>
      <w:r>
        <w:rPr>
          <w:rFonts w:hint="eastAsia" w:ascii="宋体" w:hAnsi="宋体" w:cs="宋体"/>
          <w:color w:val="auto"/>
          <w:highlight w:val="none"/>
          <w:u w:val="none" w:color="000000"/>
        </w:rPr>
        <w:t>原因不能履行合同时，应及时向对</w:t>
      </w:r>
      <w:r>
        <w:rPr>
          <w:rFonts w:hint="eastAsia" w:ascii="宋体" w:hAnsi="宋体" w:cs="宋体"/>
          <w:color w:val="auto"/>
          <w:highlight w:val="none"/>
        </w:rPr>
        <w:fldChar w:fldCharType="begin"/>
      </w:r>
      <w:r>
        <w:rPr>
          <w:rFonts w:hint="eastAsia" w:ascii="宋体" w:hAnsi="宋体" w:cs="宋体"/>
          <w:color w:val="auto"/>
          <w:highlight w:val="none"/>
        </w:rPr>
        <w:instrText xml:space="preserve">HYPERLINK "http://set2.mail.qq.com/cgi-bin/mail_spam?action=check_link&amp;spam=0&amp;url=http%3A%2F%2Fwww%2Ebaidu%2Ecom%2Fs%3Fwd%3D%25E6%2596%25B9%25E9%2580%259A%26hl_tag%3Dtextlink%26tn%3DSE_hldp01350_v6v6zkg6"</w:instrText>
      </w:r>
      <w:r>
        <w:rPr>
          <w:rFonts w:hint="eastAsia" w:ascii="宋体" w:hAnsi="宋体" w:cs="宋体"/>
          <w:color w:val="auto"/>
          <w:highlight w:val="none"/>
        </w:rPr>
        <w:fldChar w:fldCharType="separate"/>
      </w:r>
      <w:r>
        <w:rPr>
          <w:rFonts w:hint="eastAsia" w:ascii="宋体" w:hAnsi="宋体" w:cs="宋体"/>
          <w:color w:val="auto"/>
          <w:highlight w:val="none"/>
          <w:u w:val="none" w:color="000000"/>
        </w:rPr>
        <w:t>方通</w:t>
      </w:r>
      <w:r>
        <w:rPr>
          <w:rFonts w:hint="eastAsia" w:ascii="宋体" w:hAnsi="宋体" w:cs="宋体"/>
          <w:color w:val="auto"/>
          <w:highlight w:val="none"/>
        </w:rPr>
        <w:fldChar w:fldCharType="end"/>
      </w:r>
      <w:r>
        <w:rPr>
          <w:rFonts w:hint="eastAsia" w:ascii="宋体" w:hAnsi="宋体" w:cs="宋体"/>
          <w:color w:val="auto"/>
          <w:highlight w:val="none"/>
          <w:u w:val="none" w:color="000000"/>
        </w:rPr>
        <w:t>报不能履行或不能完全履行的理由，以减轻可能给对方造成的损失，在取得有关机构证明后，允许延期履行、部分履行或不履行合同，并根据情况可部分或全部免予承担</w:t>
      </w:r>
      <w:r>
        <w:rPr>
          <w:rFonts w:hint="eastAsia" w:ascii="宋体" w:hAnsi="宋体" w:cs="宋体"/>
          <w:color w:val="auto"/>
          <w:highlight w:val="none"/>
        </w:rPr>
        <w:fldChar w:fldCharType="begin"/>
      </w:r>
      <w:r>
        <w:rPr>
          <w:rFonts w:hint="eastAsia" w:ascii="宋体" w:hAnsi="宋体" w:cs="宋体"/>
          <w:color w:val="auto"/>
          <w:highlight w:val="none"/>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cs="宋体"/>
          <w:color w:val="auto"/>
          <w:highlight w:val="none"/>
        </w:rPr>
        <w:fldChar w:fldCharType="separate"/>
      </w:r>
      <w:r>
        <w:rPr>
          <w:rFonts w:hint="eastAsia" w:ascii="宋体" w:hAnsi="宋体" w:cs="宋体"/>
          <w:color w:val="auto"/>
          <w:highlight w:val="none"/>
          <w:u w:val="none" w:color="000000"/>
        </w:rPr>
        <w:t>违约责任</w:t>
      </w:r>
      <w:r>
        <w:rPr>
          <w:rFonts w:hint="eastAsia" w:ascii="宋体" w:hAnsi="宋体" w:cs="宋体"/>
          <w:color w:val="auto"/>
          <w:highlight w:val="none"/>
        </w:rPr>
        <w:fldChar w:fldCharType="end"/>
      </w:r>
      <w:r>
        <w:rPr>
          <w:rFonts w:hint="eastAsia" w:ascii="宋体" w:hAnsi="宋体" w:cs="宋体"/>
          <w:color w:val="auto"/>
          <w:highlight w:val="none"/>
          <w:u w:val="none" w:color="000000"/>
        </w:rPr>
        <w:t>。</w:t>
      </w:r>
    </w:p>
    <w:p w14:paraId="731053F7">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十一、违约条款：</w:t>
      </w:r>
    </w:p>
    <w:p w14:paraId="6226F353">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1.乙方配送的原材料食品在配送过程中造成产品破损、变质、过期和不合格的或非规定产品产生的质量问题由乙方全部承担。若出现该类问题，甲方有权扣除两个月的全部货款。</w:t>
      </w:r>
    </w:p>
    <w:p w14:paraId="78632C5E">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2.乙方配送的产品因食品安全问题造成人身和财产损失的，</w:t>
      </w:r>
      <w:r>
        <w:rPr>
          <w:rFonts w:hint="eastAsia" w:ascii="宋体" w:hAnsi="宋体" w:cs="宋体"/>
          <w:color w:val="auto"/>
          <w:highlight w:val="none"/>
          <w:lang w:val="en-US" w:eastAsia="zh-CN"/>
        </w:rPr>
        <w:t>乙方</w:t>
      </w:r>
      <w:r>
        <w:rPr>
          <w:rFonts w:hint="eastAsia" w:ascii="宋体" w:hAnsi="宋体" w:cs="宋体"/>
          <w:color w:val="auto"/>
          <w:highlight w:val="none"/>
        </w:rPr>
        <w:t>承担全部损失及法律责任。</w:t>
      </w:r>
    </w:p>
    <w:p w14:paraId="62C62344">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3.乙方在配送、运输、搬运过程中出现的安全问题，由乙方自行负责，与甲方无关。</w:t>
      </w:r>
    </w:p>
    <w:p w14:paraId="75A4AA60">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4.乙方未及时履约</w:t>
      </w:r>
      <w:r>
        <w:rPr>
          <w:rFonts w:hint="eastAsia" w:ascii="宋体" w:hAnsi="宋体" w:cs="宋体"/>
          <w:color w:val="auto"/>
          <w:highlight w:val="none"/>
          <w:lang w:eastAsia="zh-CN"/>
        </w:rPr>
        <w:t>，</w:t>
      </w:r>
      <w:r>
        <w:rPr>
          <w:rFonts w:hint="eastAsia" w:ascii="宋体" w:hAnsi="宋体" w:cs="宋体"/>
          <w:color w:val="auto"/>
          <w:highlight w:val="none"/>
          <w:lang w:val="en-US" w:eastAsia="zh-CN"/>
        </w:rPr>
        <w:t>每逾期一次，须承担</w:t>
      </w:r>
      <w:r>
        <w:rPr>
          <w:rFonts w:hint="eastAsia" w:ascii="宋体" w:hAnsi="宋体" w:cs="宋体"/>
          <w:color w:val="auto"/>
          <w:highlight w:val="none"/>
        </w:rPr>
        <w:t>货物货款金额10%的违约金</w:t>
      </w:r>
      <w:r>
        <w:rPr>
          <w:rFonts w:hint="eastAsia" w:ascii="宋体" w:hAnsi="宋体" w:cs="宋体"/>
          <w:color w:val="auto"/>
          <w:highlight w:val="none"/>
          <w:lang w:eastAsia="zh-CN"/>
        </w:rPr>
        <w:t>，</w:t>
      </w:r>
      <w:r>
        <w:rPr>
          <w:rFonts w:hint="eastAsia" w:ascii="宋体" w:hAnsi="宋体" w:cs="宋体"/>
          <w:color w:val="auto"/>
          <w:highlight w:val="none"/>
        </w:rPr>
        <w:t>承担当周配送处罚且甲方有权解除合同。</w:t>
      </w:r>
    </w:p>
    <w:p w14:paraId="7963620F">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5.乙方配送的原材料食品若不符合规定标准或以次充好，随意更换食品，出厂日期不符合要求等，</w:t>
      </w:r>
      <w:r>
        <w:rPr>
          <w:rFonts w:hint="eastAsia" w:ascii="宋体" w:hAnsi="宋体" w:cs="宋体"/>
          <w:color w:val="auto"/>
          <w:highlight w:val="none"/>
          <w:lang w:val="en-US" w:eastAsia="zh-CN"/>
        </w:rPr>
        <w:t>除承担甲方损失外，甲方有权解除合同</w:t>
      </w:r>
      <w:r>
        <w:rPr>
          <w:rFonts w:hint="eastAsia" w:ascii="宋体" w:hAnsi="宋体" w:cs="宋体"/>
          <w:color w:val="auto"/>
          <w:highlight w:val="none"/>
        </w:rPr>
        <w:t>。</w:t>
      </w:r>
    </w:p>
    <w:p w14:paraId="27551631">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6.出现法律规定的情形或不按合同约定履行义务，双方合同解除。</w:t>
      </w:r>
    </w:p>
    <w:p w14:paraId="6F62A028">
      <w:pPr>
        <w:spacing w:line="360" w:lineRule="auto"/>
        <w:ind w:firstLine="422" w:firstLineChars="200"/>
        <w:rPr>
          <w:rFonts w:hint="eastAsia" w:ascii="宋体" w:hAnsi="宋体" w:cs="宋体"/>
          <w:color w:val="auto"/>
          <w:highlight w:val="none"/>
          <w:u w:val="none" w:color="000000"/>
        </w:rPr>
      </w:pPr>
      <w:r>
        <w:rPr>
          <w:rFonts w:ascii="宋体" w:hAnsi="宋体" w:cs="宋体"/>
          <w:b/>
          <w:bCs/>
          <w:color w:val="auto"/>
          <w:highlight w:val="none"/>
          <w:u w:val="none" w:color="000000"/>
        </w:rPr>
        <w:t>十</w:t>
      </w:r>
      <w:r>
        <w:rPr>
          <w:rFonts w:hint="eastAsia" w:ascii="宋体" w:hAnsi="宋体" w:cs="宋体"/>
          <w:b/>
          <w:bCs/>
          <w:color w:val="auto"/>
          <w:highlight w:val="none"/>
          <w:u w:val="none" w:color="000000"/>
        </w:rPr>
        <w:t>二</w:t>
      </w:r>
      <w:r>
        <w:rPr>
          <w:rFonts w:ascii="宋体" w:hAnsi="宋体" w:cs="宋体"/>
          <w:b/>
          <w:bCs/>
          <w:color w:val="auto"/>
          <w:highlight w:val="none"/>
          <w:u w:val="none" w:color="000000"/>
        </w:rPr>
        <w:t>、</w:t>
      </w:r>
      <w:r>
        <w:rPr>
          <w:rFonts w:hint="eastAsia" w:ascii="宋体" w:hAnsi="宋体" w:cs="宋体"/>
          <w:b/>
          <w:bCs/>
          <w:color w:val="auto"/>
          <w:highlight w:val="none"/>
          <w:u w:val="none" w:color="000000"/>
        </w:rPr>
        <w:t>争议的解决：</w:t>
      </w:r>
    </w:p>
    <w:p w14:paraId="2CF54986">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1、因食品质量问题发生争议，由市场监管部门或其指定的质量鉴定机构进行质量鉴定，鉴定费由乙方承担。</w:t>
      </w:r>
    </w:p>
    <w:p w14:paraId="62BDCA5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2、因履行本合同引起的或与本合同有关的争议，甲、乙双方应首先通过友好协商解决，协商不成，可向甲方所在地人民法院提起诉讼。</w:t>
      </w:r>
    </w:p>
    <w:p w14:paraId="7B1357F5">
      <w:pPr>
        <w:spacing w:line="360" w:lineRule="auto"/>
        <w:ind w:firstLine="422" w:firstLineChars="200"/>
        <w:textAlignment w:val="baseline"/>
        <w:rPr>
          <w:rFonts w:hint="eastAsia" w:ascii="宋体" w:hAnsi="宋体" w:cs="宋体"/>
          <w:b/>
          <w:bCs/>
          <w:color w:val="auto"/>
          <w:highlight w:val="none"/>
        </w:rPr>
      </w:pPr>
      <w:r>
        <w:rPr>
          <w:rFonts w:hint="eastAsia" w:ascii="宋体" w:hAnsi="宋体" w:cs="宋体"/>
          <w:b/>
          <w:bCs/>
          <w:color w:val="auto"/>
          <w:highlight w:val="none"/>
        </w:rPr>
        <w:t>十三、其他：</w:t>
      </w:r>
    </w:p>
    <w:p w14:paraId="719616AD">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lang w:val="en-US" w:eastAsia="zh-CN"/>
        </w:rPr>
        <w:t>1</w:t>
      </w:r>
      <w:r>
        <w:rPr>
          <w:rFonts w:hint="eastAsia" w:ascii="宋体" w:hAnsi="宋体" w:cs="宋体"/>
          <w:color w:val="auto"/>
          <w:highlight w:val="none"/>
        </w:rPr>
        <w:t>.本合同经甲、乙双方签字、盖章后生效。</w:t>
      </w:r>
    </w:p>
    <w:p w14:paraId="467FCF37">
      <w:pPr>
        <w:spacing w:line="360" w:lineRule="auto"/>
        <w:ind w:firstLine="420" w:firstLineChars="200"/>
        <w:textAlignment w:val="baseline"/>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cs="宋体"/>
          <w:color w:val="auto"/>
          <w:highlight w:val="none"/>
        </w:rPr>
        <w:t>.本合同一式</w:t>
      </w:r>
      <w:r>
        <w:rPr>
          <w:rFonts w:hint="eastAsia" w:ascii="宋体" w:hAnsi="宋体" w:cs="宋体"/>
          <w:color w:val="auto"/>
          <w:highlight w:val="none"/>
          <w:lang w:val="en-US" w:eastAsia="zh-CN"/>
        </w:rPr>
        <w:t>四</w:t>
      </w:r>
      <w:r>
        <w:rPr>
          <w:rFonts w:hint="eastAsia" w:ascii="宋体" w:hAnsi="宋体" w:cs="宋体"/>
          <w:color w:val="auto"/>
          <w:highlight w:val="none"/>
        </w:rPr>
        <w:t>份，甲、乙双方各执一份，</w:t>
      </w:r>
      <w:r>
        <w:rPr>
          <w:rFonts w:hint="eastAsia" w:ascii="宋体" w:hAnsi="宋体" w:cs="宋体"/>
          <w:color w:val="auto"/>
          <w:highlight w:val="none"/>
          <w:lang w:val="en-US" w:eastAsia="zh-CN"/>
        </w:rPr>
        <w:t>澄城县财政局、招标公司各</w:t>
      </w:r>
    </w:p>
    <w:p w14:paraId="69096CB4">
      <w:pPr>
        <w:spacing w:line="360" w:lineRule="auto"/>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一份。</w:t>
      </w:r>
    </w:p>
    <w:p w14:paraId="09AB2ABD">
      <w:pPr>
        <w:spacing w:line="360" w:lineRule="auto"/>
        <w:ind w:firstLine="420" w:firstLineChars="200"/>
        <w:rPr>
          <w:rFonts w:hint="eastAsia" w:ascii="宋体" w:hAnsi="宋体" w:cs="宋体"/>
          <w:color w:val="auto"/>
          <w:highlight w:val="none"/>
          <w:u w:val="none" w:color="000000"/>
        </w:rPr>
      </w:pPr>
    </w:p>
    <w:p w14:paraId="34579715">
      <w:pPr>
        <w:pStyle w:val="2"/>
        <w:keepNext w:val="0"/>
        <w:keepLines w:val="0"/>
        <w:pageBreakBefore w:val="0"/>
        <w:widowControl w:val="0"/>
        <w:kinsoku/>
        <w:wordWrap/>
        <w:overflowPunct/>
        <w:topLinePunct w:val="0"/>
        <w:autoSpaceDE/>
        <w:autoSpaceDN/>
        <w:bidi w:val="0"/>
        <w:adjustRightInd/>
        <w:spacing w:line="400" w:lineRule="exact"/>
        <w:rPr>
          <w:rFonts w:hint="eastAsia" w:hAnsi="宋体" w:cs="宋体"/>
          <w:color w:val="auto"/>
          <w:highlight w:val="none"/>
        </w:rPr>
      </w:pPr>
    </w:p>
    <w:p w14:paraId="545ECF82">
      <w:pPr>
        <w:keepNext w:val="0"/>
        <w:keepLines w:val="0"/>
        <w:pageBreakBefore w:val="0"/>
        <w:widowControl w:val="0"/>
        <w:kinsoku/>
        <w:wordWrap/>
        <w:overflowPunct/>
        <w:topLinePunct w:val="0"/>
        <w:autoSpaceDE/>
        <w:autoSpaceDN/>
        <w:bidi w:val="0"/>
        <w:adjustRightInd/>
        <w:spacing w:line="400" w:lineRule="exact"/>
        <w:ind w:firstLine="630" w:firstLineChars="300"/>
        <w:textAlignment w:val="baseline"/>
        <w:rPr>
          <w:rFonts w:hint="eastAsia" w:ascii="宋体" w:hAnsi="宋体" w:cs="宋体"/>
          <w:color w:val="auto"/>
          <w:highlight w:val="none"/>
        </w:rPr>
      </w:pPr>
      <w:r>
        <w:rPr>
          <w:rFonts w:hint="eastAsia" w:ascii="宋体" w:hAnsi="宋体" w:cs="宋体"/>
          <w:color w:val="auto"/>
          <w:highlight w:val="none"/>
        </w:rPr>
        <w:t>甲方：                             乙方：</w:t>
      </w:r>
    </w:p>
    <w:p w14:paraId="44529302">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baseline"/>
        <w:rPr>
          <w:rFonts w:hint="eastAsia" w:ascii="宋体" w:hAnsi="宋体" w:cs="宋体"/>
          <w:color w:val="auto"/>
          <w:highlight w:val="none"/>
        </w:rPr>
      </w:pPr>
    </w:p>
    <w:p w14:paraId="0B1F7249">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baseline"/>
        <w:rPr>
          <w:rFonts w:hint="eastAsia" w:ascii="宋体" w:hAnsi="宋体" w:cs="宋体"/>
          <w:color w:val="auto"/>
          <w:highlight w:val="none"/>
        </w:rPr>
      </w:pPr>
      <w:r>
        <w:rPr>
          <w:rFonts w:hint="eastAsia" w:ascii="宋体" w:hAnsi="宋体" w:cs="宋体"/>
          <w:color w:val="auto"/>
          <w:highlight w:val="none"/>
        </w:rPr>
        <w:t>（盖章）                            （盖章）</w:t>
      </w:r>
    </w:p>
    <w:p w14:paraId="07ACAECF">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baseline"/>
        <w:rPr>
          <w:rFonts w:hint="eastAsia" w:ascii="宋体" w:hAnsi="宋体" w:cs="宋体"/>
          <w:color w:val="auto"/>
          <w:highlight w:val="none"/>
        </w:rPr>
      </w:pPr>
    </w:p>
    <w:p w14:paraId="10D7CBCA">
      <w:pPr>
        <w:keepNext w:val="0"/>
        <w:keepLines w:val="0"/>
        <w:pageBreakBefore w:val="0"/>
        <w:widowControl w:val="0"/>
        <w:kinsoku/>
        <w:wordWrap/>
        <w:overflowPunct/>
        <w:topLinePunct w:val="0"/>
        <w:autoSpaceDE/>
        <w:autoSpaceDN/>
        <w:bidi w:val="0"/>
        <w:adjustRightInd/>
        <w:spacing w:line="400" w:lineRule="exact"/>
        <w:ind w:firstLine="630" w:firstLineChars="300"/>
        <w:textAlignment w:val="baseline"/>
        <w:rPr>
          <w:rFonts w:hint="eastAsia" w:ascii="宋体" w:hAnsi="宋体" w:cs="宋体"/>
          <w:color w:val="auto"/>
          <w:highlight w:val="none"/>
        </w:rPr>
      </w:pPr>
      <w:r>
        <w:rPr>
          <w:rFonts w:hint="eastAsia" w:ascii="宋体" w:hAnsi="宋体" w:cs="宋体"/>
          <w:color w:val="auto"/>
          <w:highlight w:val="none"/>
        </w:rPr>
        <w:t>地址：                             地址：</w:t>
      </w:r>
    </w:p>
    <w:p w14:paraId="091B7414">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baseline"/>
        <w:rPr>
          <w:rFonts w:hint="eastAsia" w:ascii="宋体" w:hAnsi="宋体" w:cs="宋体"/>
          <w:color w:val="auto"/>
          <w:highlight w:val="none"/>
        </w:rPr>
      </w:pPr>
    </w:p>
    <w:p w14:paraId="14C0C1CF">
      <w:pPr>
        <w:keepNext w:val="0"/>
        <w:keepLines w:val="0"/>
        <w:pageBreakBefore w:val="0"/>
        <w:widowControl w:val="0"/>
        <w:kinsoku/>
        <w:wordWrap/>
        <w:overflowPunct/>
        <w:topLinePunct w:val="0"/>
        <w:autoSpaceDE/>
        <w:autoSpaceDN/>
        <w:bidi w:val="0"/>
        <w:adjustRightInd/>
        <w:spacing w:line="400" w:lineRule="exact"/>
        <w:ind w:firstLine="630" w:firstLineChars="300"/>
        <w:textAlignment w:val="baseline"/>
        <w:rPr>
          <w:rFonts w:hint="eastAsia" w:ascii="宋体" w:hAnsi="宋体" w:cs="宋体"/>
          <w:color w:val="auto"/>
          <w:highlight w:val="none"/>
        </w:rPr>
      </w:pPr>
      <w:r>
        <w:rPr>
          <w:rFonts w:hint="eastAsia" w:ascii="宋体" w:hAnsi="宋体" w:cs="宋体"/>
          <w:color w:val="auto"/>
          <w:highlight w:val="none"/>
        </w:rPr>
        <w:t>代表：                             代表：</w:t>
      </w:r>
    </w:p>
    <w:p w14:paraId="59D20B1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baseline"/>
        <w:rPr>
          <w:rFonts w:hint="eastAsia" w:ascii="宋体" w:hAnsi="宋体" w:cs="宋体"/>
          <w:color w:val="auto"/>
          <w:highlight w:val="none"/>
        </w:rPr>
      </w:pPr>
    </w:p>
    <w:p w14:paraId="2A6754EF">
      <w:pPr>
        <w:keepNext w:val="0"/>
        <w:keepLines w:val="0"/>
        <w:pageBreakBefore w:val="0"/>
        <w:widowControl w:val="0"/>
        <w:kinsoku/>
        <w:wordWrap/>
        <w:overflowPunct/>
        <w:topLinePunct w:val="0"/>
        <w:autoSpaceDE/>
        <w:autoSpaceDN/>
        <w:bidi w:val="0"/>
        <w:adjustRightInd/>
        <w:spacing w:line="400" w:lineRule="exact"/>
        <w:ind w:firstLine="630" w:firstLineChars="300"/>
        <w:textAlignment w:val="baseline"/>
        <w:rPr>
          <w:rFonts w:hint="eastAsia" w:ascii="宋体" w:hAnsi="宋体" w:cs="宋体"/>
          <w:color w:val="auto"/>
          <w:highlight w:val="none"/>
        </w:rPr>
      </w:pPr>
      <w:r>
        <w:rPr>
          <w:rFonts w:hint="eastAsia" w:ascii="宋体" w:hAnsi="宋体" w:cs="宋体"/>
          <w:color w:val="auto"/>
          <w:highlight w:val="none"/>
        </w:rPr>
        <w:t xml:space="preserve">年   月    日                    </w:t>
      </w:r>
      <w:r>
        <w:rPr>
          <w:rFonts w:hint="eastAsia" w:ascii="宋体" w:hAnsi="宋体" w:cs="宋体"/>
          <w:color w:val="auto"/>
          <w:highlight w:val="none"/>
          <w:lang w:val="en-US" w:eastAsia="zh-CN"/>
        </w:rPr>
        <w:t xml:space="preserve">  </w:t>
      </w:r>
      <w:r>
        <w:rPr>
          <w:rFonts w:hint="eastAsia" w:ascii="宋体" w:hAnsi="宋体" w:cs="宋体"/>
          <w:color w:val="auto"/>
          <w:highlight w:val="none"/>
        </w:rPr>
        <w:t>年   月    日</w:t>
      </w:r>
    </w:p>
    <w:p w14:paraId="54D871AA">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B31FA"/>
    <w:rsid w:val="3A2B3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2026-08-06T09:49:00Z</dcterms:created>
  <dc:creator>论证意见</dc:creator>
  <cp:lastModifiedBy>论证意见</cp:lastModifiedBy>
  <dcterms:modified xsi:type="dcterms:W3CDTF">2026-08-06T09:49:48Z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C618FF9DD06C49A8BF9A5F55DC6F590E_11</vt:lpwstr>
  </property>
  <property fmtid="{D5CDD505-2E9C-101B-9397-08002B2CF9AE}" pid="4" name="KSOTemplateDocerSaveRecord">
    <vt:lpwstr>eyJoZGlkIjoiZDk5NGM4MDE4ODI5MjFmMjQzNzNkOTJjOWFiODdmM2EiLCJ1c2VySWQiOiIzNjg2NDU2NDEifQ==</vt:lpwstr>
  </property>
</Properties>
</file>