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版本号：SXZCZB2026-ZCCS-043320260509001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《数字秦岭大厅硬件升级》项目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SXZCZB2026-ZCCS-0433</w:t>
      </w:r>
      <w:r>
        <w:br/>
      </w:r>
      <w:r>
        <w:br/>
      </w:r>
      <w:r>
        <w:br/>
      </w:r>
    </w:p>
    <w:p>
      <w:pPr>
        <w:pStyle w:val="null3"/>
        <w:jc w:val="center"/>
        <w:outlineLvl w:val="2"/>
      </w:pPr>
      <w:r>
        <w:rPr>
          <w:rFonts w:ascii="仿宋_GB2312" w:hAnsi="仿宋_GB2312" w:cs="仿宋_GB2312" w:eastAsia="仿宋_GB2312"/>
          <w:sz w:val="28"/>
          <w:b/>
        </w:rPr>
        <w:t>西安市秦岭生态环境保护管理局（本级）</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西安市秦岭生态环境保护管理局（本级）</w:t>
      </w:r>
      <w:r>
        <w:rPr>
          <w:rFonts w:ascii="仿宋_GB2312" w:hAnsi="仿宋_GB2312" w:cs="仿宋_GB2312" w:eastAsia="仿宋_GB2312"/>
        </w:rPr>
        <w:t>委托，拟对</w:t>
      </w:r>
      <w:r>
        <w:rPr>
          <w:rFonts w:ascii="仿宋_GB2312" w:hAnsi="仿宋_GB2312" w:cs="仿宋_GB2312" w:eastAsia="仿宋_GB2312"/>
        </w:rPr>
        <w:t>《数字秦岭大厅硬件升级》项目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SXZCZB2026-ZCCS-0433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《数字秦岭大厅硬件升级》项目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数字秦岭大厅承担指挥调度、业务协同、观摩演示等核心职能，因长期高频运行，装修老化、设备损坏、安防存在隐患，现实施整体升级改造。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采购包1（数字秦岭大厅硬件升级项目）：属于专门面向中小企业采购。</w:t>
      </w:r>
    </w:p>
    <w:p>
      <w:pPr>
        <w:pStyle w:val="null3"/>
      </w:pPr>
      <w:r>
        <w:rPr>
          <w:rFonts w:ascii="仿宋_GB2312" w:hAnsi="仿宋_GB2312" w:cs="仿宋_GB2312" w:eastAsia="仿宋_GB2312"/>
        </w:rPr>
        <w:t>采购包2（特殊功能应用电视设备）：属于专门面向中小企业采购。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2、法定代表人身份证明或授权委托书：提供法定代表人授权书（附法定代表人、被授权人身份证复印件），法定代表人直接参加投标，须提供法定代表人身份证明（附法定代表人身份证复印件）；</w:t>
      </w:r>
    </w:p>
    <w:p>
      <w:pPr>
        <w:pStyle w:val="null3"/>
      </w:pPr>
      <w:r>
        <w:rPr>
          <w:rFonts w:ascii="仿宋_GB2312" w:hAnsi="仿宋_GB2312" w:cs="仿宋_GB2312" w:eastAsia="仿宋_GB2312"/>
        </w:rPr>
        <w:t>3、财务审计报告或资信证明：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4、税收缴纳证明：提供磋商截止日前近一年内至少一个月的纳税证明或完税证明，依法免税的单位应提供相关证明材料</w:t>
      </w:r>
    </w:p>
    <w:p>
      <w:pPr>
        <w:pStyle w:val="null3"/>
      </w:pPr>
      <w:r>
        <w:rPr>
          <w:rFonts w:ascii="仿宋_GB2312" w:hAnsi="仿宋_GB2312" w:cs="仿宋_GB2312" w:eastAsia="仿宋_GB2312"/>
        </w:rPr>
        <w:t>5、社会保障资金缴纳证明：提供磋商截止日前近一年内至少一个月的社会保障资金缴存单据或社保机构开具的社会保险 参保缴费情况证明，依法不需要缴纳社会保障资金的单位应提供相关证明材料；</w:t>
      </w:r>
    </w:p>
    <w:p>
      <w:pPr>
        <w:pStyle w:val="null3"/>
      </w:pPr>
      <w:r>
        <w:rPr>
          <w:rFonts w:ascii="仿宋_GB2312" w:hAnsi="仿宋_GB2312" w:cs="仿宋_GB2312" w:eastAsia="仿宋_GB2312"/>
        </w:rPr>
        <w:t>6、履行本合同所必需的设备和专业技术能力的说明及承诺书：提供具有履行本合同所必需的设备和专业技术能力的说明及承诺书；</w:t>
      </w:r>
    </w:p>
    <w:p>
      <w:pPr>
        <w:pStyle w:val="null3"/>
      </w:pPr>
      <w:r>
        <w:rPr>
          <w:rFonts w:ascii="仿宋_GB2312" w:hAnsi="仿宋_GB2312" w:cs="仿宋_GB2312" w:eastAsia="仿宋_GB2312"/>
        </w:rPr>
        <w:t>7、信用记录：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8、书面声明：参加政府采购活动前3年内，在经营活动中没有重大违法记录的书面声明；</w:t>
      </w:r>
    </w:p>
    <w:p>
      <w:pPr>
        <w:pStyle w:val="null3"/>
      </w:pPr>
      <w:r>
        <w:rPr>
          <w:rFonts w:ascii="仿宋_GB2312" w:hAnsi="仿宋_GB2312" w:cs="仿宋_GB2312" w:eastAsia="仿宋_GB2312"/>
        </w:rPr>
        <w:t>9、企业资质：具备建设行政主管部门核发的建筑工程施工总承包三级及以上或建筑装饰装修工程专业承包二级及以上资质，并在人员、设备、资金等方面具备相应的能力，且具备合法有效的安全生产许可证；</w:t>
      </w:r>
    </w:p>
    <w:p>
      <w:pPr>
        <w:pStyle w:val="null3"/>
      </w:pPr>
      <w:r>
        <w:rPr>
          <w:rFonts w:ascii="仿宋_GB2312" w:hAnsi="仿宋_GB2312" w:cs="仿宋_GB2312" w:eastAsia="仿宋_GB2312"/>
        </w:rPr>
        <w:t>10、项目经理：拟投入的项目经理须提供在本单位注册的建筑工程专业贰级（含贰级）及以上注册建造师及有效的安全生产考核合格证；（提供无在建承诺）</w:t>
      </w:r>
    </w:p>
    <w:p>
      <w:pPr>
        <w:pStyle w:val="null3"/>
      </w:pPr>
      <w:r>
        <w:rPr>
          <w:rFonts w:ascii="仿宋_GB2312" w:hAnsi="仿宋_GB2312" w:cs="仿宋_GB2312" w:eastAsia="仿宋_GB2312"/>
        </w:rPr>
        <w:t>11、控股管理关系：提供直接控股和管理关系清单。若与其他供应商存在单位负责人为同一人或者存在直接控股、管理关系的，则投标无效；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12、中小企业声明函：本项目专门面向中小企业采购，提供中小企业声明函；</w:t>
      </w:r>
    </w:p>
    <w:p>
      <w:pPr>
        <w:pStyle w:val="null3"/>
      </w:pPr>
      <w:r>
        <w:rPr>
          <w:rFonts w:ascii="仿宋_GB2312" w:hAnsi="仿宋_GB2312" w:cs="仿宋_GB2312" w:eastAsia="仿宋_GB2312"/>
        </w:rPr>
        <w:t>13、非联合体承诺：本项目不接受联合体磋商（需提供承诺书）。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2、法定代表人身份证明或授权委托书：提供法定代表人授权书（附法定代表人、被授权人身份证复印件），法定代表人直接参加投标，须提供法定代表人身份证明（附法定代表人身份证复印件）；</w:t>
      </w:r>
    </w:p>
    <w:p>
      <w:pPr>
        <w:pStyle w:val="null3"/>
      </w:pPr>
      <w:r>
        <w:rPr>
          <w:rFonts w:ascii="仿宋_GB2312" w:hAnsi="仿宋_GB2312" w:cs="仿宋_GB2312" w:eastAsia="仿宋_GB2312"/>
        </w:rPr>
        <w:t>3、财务审计报告或资信证明：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4、税收缴纳证明：提供磋商截止日前近一年内至少一个月的纳税证明或完税证明，依法免税的单位应提供相关证明材料</w:t>
      </w:r>
    </w:p>
    <w:p>
      <w:pPr>
        <w:pStyle w:val="null3"/>
      </w:pPr>
      <w:r>
        <w:rPr>
          <w:rFonts w:ascii="仿宋_GB2312" w:hAnsi="仿宋_GB2312" w:cs="仿宋_GB2312" w:eastAsia="仿宋_GB2312"/>
        </w:rPr>
        <w:t>5、社会保障资金缴纳证明：提供磋商截止日前近一年内至少一个月的社会保障资金缴存单据或社保机构开具的社会保险 参保缴费情况证明，依法不需要缴纳社会保障资金的单位应提供相关证明材料；</w:t>
      </w:r>
    </w:p>
    <w:p>
      <w:pPr>
        <w:pStyle w:val="null3"/>
      </w:pPr>
      <w:r>
        <w:rPr>
          <w:rFonts w:ascii="仿宋_GB2312" w:hAnsi="仿宋_GB2312" w:cs="仿宋_GB2312" w:eastAsia="仿宋_GB2312"/>
        </w:rPr>
        <w:t>6、履行本合同所必需的设备和专业技术能力的说明及承诺书：提供具有履行本合同所必需的设备和专业技术能力的说明及承诺书；</w:t>
      </w:r>
    </w:p>
    <w:p>
      <w:pPr>
        <w:pStyle w:val="null3"/>
      </w:pPr>
      <w:r>
        <w:rPr>
          <w:rFonts w:ascii="仿宋_GB2312" w:hAnsi="仿宋_GB2312" w:cs="仿宋_GB2312" w:eastAsia="仿宋_GB2312"/>
        </w:rPr>
        <w:t>7、信用记录：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8、书面声明：参加政府采购活动前3年内，在经营活动中没有重大违法记录的书面声明；</w:t>
      </w:r>
    </w:p>
    <w:p>
      <w:pPr>
        <w:pStyle w:val="null3"/>
      </w:pPr>
      <w:r>
        <w:rPr>
          <w:rFonts w:ascii="仿宋_GB2312" w:hAnsi="仿宋_GB2312" w:cs="仿宋_GB2312" w:eastAsia="仿宋_GB2312"/>
        </w:rPr>
        <w:t>9、控股管理关系：提供直接控股和管理关系清单。若与其他供应商存在单位负责人为同一人或者存在直接控股、管理关系的，则投标无效；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10、中小企业声明函：本项目专门面向中小企业采购，提供中小企业声明函；</w:t>
      </w:r>
    </w:p>
    <w:p>
      <w:pPr>
        <w:pStyle w:val="null3"/>
      </w:pPr>
      <w:r>
        <w:rPr>
          <w:rFonts w:ascii="仿宋_GB2312" w:hAnsi="仿宋_GB2312" w:cs="仿宋_GB2312" w:eastAsia="仿宋_GB2312"/>
        </w:rPr>
        <w:t>11、非联合体承诺：本项目不接受联合体磋商（需提供承诺书）。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西安市秦岭生态环境保护管理局（本级）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西安市长安区子午街道内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029-89801382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陕西省西安市经济技术开发区未央路171-1号银池道拉斯财富中心21楼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倪沛、胡晓均、王欣玫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029-88219779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采购包1：340,000.00元</w:t>
            </w:r>
          </w:p>
          <w:p>
            <w:pPr>
              <w:pStyle w:val="null3"/>
            </w:pPr>
            <w:r>
              <w:rPr>
                <w:rFonts w:ascii="仿宋_GB2312" w:hAnsi="仿宋_GB2312" w:cs="仿宋_GB2312" w:eastAsia="仿宋_GB2312"/>
              </w:rPr>
              <w:t>采购包2：60,000.00元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依据国家计委颁发的《招标代理服务收费管理暂行办法》（计价格〔2002〕1980号）及国家发展和改革委员会办公厅颁发的《关于招标代理服务收费有关问题的通知》（发改办价格〔2003〕857号）的有关规定执行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西安市秦岭生态环境保护管理局（本级）</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西安市秦岭生态环境保护管理局（本级）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西安市秦岭生态环境保护管理局（本级）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陕西至诚项目管理集团有限公司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pPr>
      <w:r>
        <w:rPr>
          <w:rFonts w:ascii="仿宋_GB2312" w:hAnsi="仿宋_GB2312" w:cs="仿宋_GB2312" w:eastAsia="仿宋_GB2312"/>
        </w:rPr>
        <w:t>采购包2：项目包干价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联系人：倪沛、胡晓均、王欣玫</w:t>
      </w:r>
    </w:p>
    <w:p>
      <w:pPr>
        <w:pStyle w:val="null3"/>
      </w:pPr>
      <w:r>
        <w:rPr>
          <w:rFonts w:ascii="仿宋_GB2312" w:hAnsi="仿宋_GB2312" w:cs="仿宋_GB2312" w:eastAsia="仿宋_GB2312"/>
        </w:rPr>
        <w:t>联系电话：029-88219779</w:t>
      </w:r>
    </w:p>
    <w:p>
      <w:pPr>
        <w:pStyle w:val="null3"/>
      </w:pPr>
      <w:r>
        <w:rPr>
          <w:rFonts w:ascii="仿宋_GB2312" w:hAnsi="仿宋_GB2312" w:cs="仿宋_GB2312" w:eastAsia="仿宋_GB2312"/>
        </w:rPr>
        <w:t>地址：陕西省西安市经济技术开发区未央路171-1号银池道拉斯财富中心21楼03室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340,000.00</w:t>
      </w:r>
    </w:p>
    <w:p>
      <w:pPr>
        <w:pStyle w:val="null3"/>
      </w:pPr>
      <w:r>
        <w:rPr>
          <w:rFonts w:ascii="仿宋_GB2312" w:hAnsi="仿宋_GB2312" w:cs="仿宋_GB2312" w:eastAsia="仿宋_GB2312"/>
        </w:rPr>
        <w:t>采购包最高限价（元）: 340,000.00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数字秦岭大厅硬件升级项目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340,000.00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60,000.00</w:t>
      </w:r>
    </w:p>
    <w:p>
      <w:pPr>
        <w:pStyle w:val="null3"/>
      </w:pPr>
      <w:r>
        <w:rPr>
          <w:rFonts w:ascii="仿宋_GB2312" w:hAnsi="仿宋_GB2312" w:cs="仿宋_GB2312" w:eastAsia="仿宋_GB2312"/>
        </w:rPr>
        <w:t>采购包最高限价（元）: 60,000.00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数字秦岭大厅硬件升级项目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工业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标的名称：数字秦岭大厅硬件升级项目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44"/>
                <w:color w:val="000000"/>
              </w:rPr>
              <w:t>技术要求</w:t>
            </w:r>
          </w:p>
          <w:p>
            <w:pPr>
              <w:pStyle w:val="null3"/>
              <w:ind w:firstLine="480"/>
            </w:pPr>
            <w:r>
              <w:rPr>
                <w:rFonts w:ascii="仿宋_GB2312" w:hAnsi="仿宋_GB2312" w:cs="仿宋_GB2312" w:eastAsia="仿宋_GB2312"/>
                <w:sz w:val="24"/>
              </w:rPr>
              <w:t>项目概况：数字秦岭大厅承担指挥调度、业务协同、观摩演示等核心职能，因长期高频运行，装修老化、设备损坏、安防存在隐患，现实施整体升级改造。</w:t>
            </w:r>
          </w:p>
          <w:p>
            <w:pPr>
              <w:pStyle w:val="null3"/>
              <w:ind w:firstLine="480"/>
            </w:pPr>
            <w:r>
              <w:rPr>
                <w:rFonts w:ascii="仿宋_GB2312" w:hAnsi="仿宋_GB2312" w:cs="仿宋_GB2312" w:eastAsia="仿宋_GB2312"/>
                <w:sz w:val="24"/>
              </w:rPr>
              <w:t>项目预算：人民币</w:t>
            </w:r>
            <w:r>
              <w:rPr>
                <w:rFonts w:ascii="仿宋_GB2312" w:hAnsi="仿宋_GB2312" w:cs="仿宋_GB2312" w:eastAsia="仿宋_GB2312"/>
                <w:sz w:val="24"/>
              </w:rPr>
              <w:t>400000.00 元（大写：肆拾万元整）</w:t>
            </w:r>
          </w:p>
          <w:p>
            <w:pPr>
              <w:pStyle w:val="null3"/>
              <w:ind w:firstLine="480"/>
            </w:pPr>
            <w:r>
              <w:rPr>
                <w:rFonts w:ascii="仿宋_GB2312" w:hAnsi="仿宋_GB2312" w:cs="仿宋_GB2312" w:eastAsia="仿宋_GB2312"/>
                <w:sz w:val="24"/>
              </w:rPr>
              <w:t>标段划分：</w:t>
            </w:r>
          </w:p>
          <w:p>
            <w:pPr>
              <w:pStyle w:val="null3"/>
              <w:ind w:firstLine="480"/>
            </w:pPr>
            <w:r>
              <w:rPr>
                <w:rFonts w:ascii="仿宋_GB2312" w:hAnsi="仿宋_GB2312" w:cs="仿宋_GB2312" w:eastAsia="仿宋_GB2312"/>
                <w:sz w:val="24"/>
              </w:rPr>
              <w:t>一标段：</w:t>
            </w:r>
            <w:r>
              <w:rPr>
                <w:rFonts w:ascii="仿宋_GB2312" w:hAnsi="仿宋_GB2312" w:cs="仿宋_GB2312" w:eastAsia="仿宋_GB2312"/>
                <w:sz w:val="24"/>
              </w:rPr>
              <w:t>分包名称：</w:t>
            </w:r>
            <w:r>
              <w:rPr>
                <w:rFonts w:ascii="仿宋_GB2312" w:hAnsi="仿宋_GB2312" w:cs="仿宋_GB2312" w:eastAsia="仿宋_GB2312"/>
                <w:sz w:val="24"/>
              </w:rPr>
              <w:t>数字秦岭大厅硬件升级项目</w:t>
            </w:r>
            <w:r>
              <w:rPr>
                <w:rFonts w:ascii="仿宋_GB2312" w:hAnsi="仿宋_GB2312" w:cs="仿宋_GB2312" w:eastAsia="仿宋_GB2312"/>
                <w:sz w:val="24"/>
              </w:rPr>
              <w:t>（</w:t>
            </w:r>
            <w:r>
              <w:rPr>
                <w:rFonts w:ascii="仿宋_GB2312" w:hAnsi="仿宋_GB2312" w:cs="仿宋_GB2312" w:eastAsia="仿宋_GB2312"/>
                <w:sz w:val="24"/>
              </w:rPr>
              <w:t>预算金额</w:t>
            </w:r>
            <w:r>
              <w:rPr>
                <w:rFonts w:ascii="仿宋_GB2312" w:hAnsi="仿宋_GB2312" w:cs="仿宋_GB2312" w:eastAsia="仿宋_GB2312"/>
                <w:sz w:val="24"/>
              </w:rPr>
              <w:t>340000.00元）</w:t>
            </w:r>
          </w:p>
          <w:p>
            <w:pPr>
              <w:pStyle w:val="null3"/>
              <w:jc w:val="center"/>
            </w:pPr>
            <w:r>
              <w:rPr>
                <w:rFonts w:ascii="仿宋_GB2312" w:hAnsi="仿宋_GB2312" w:cs="仿宋_GB2312" w:eastAsia="仿宋_GB2312"/>
                <w:sz w:val="24"/>
                <w:b/>
              </w:rPr>
              <w:t>一标段</w:t>
            </w:r>
            <w:r>
              <w:rPr>
                <w:rFonts w:ascii="仿宋_GB2312" w:hAnsi="仿宋_GB2312" w:cs="仿宋_GB2312" w:eastAsia="仿宋_GB2312"/>
                <w:sz w:val="24"/>
                <w:b/>
              </w:rPr>
              <w:t>：分包名称：数字秦岭大厅硬件升级项目</w:t>
            </w:r>
          </w:p>
          <w:p>
            <w:pPr>
              <w:pStyle w:val="null3"/>
              <w:ind w:firstLine="480"/>
            </w:pPr>
            <w:r>
              <w:rPr>
                <w:rFonts w:ascii="仿宋_GB2312" w:hAnsi="仿宋_GB2312" w:cs="仿宋_GB2312" w:eastAsia="仿宋_GB2312"/>
                <w:sz w:val="24"/>
              </w:rPr>
              <w:t>一、工程范围</w:t>
            </w:r>
          </w:p>
          <w:p>
            <w:pPr>
              <w:pStyle w:val="null3"/>
              <w:ind w:firstLine="480"/>
            </w:pPr>
            <w:r>
              <w:rPr>
                <w:rFonts w:ascii="仿宋_GB2312" w:hAnsi="仿宋_GB2312" w:cs="仿宋_GB2312" w:eastAsia="仿宋_GB2312"/>
                <w:sz w:val="24"/>
              </w:rPr>
              <w:t>原有装饰面层拆除、地面改造、墙面改造、顶面吊顶与涂装、定制柜体、门窗定制、不锈钢门套、背景墙发光广告、窗帘及电机、电路改造、线路排查、灯具开关插座、过道电子指示牌、办公家具、人工服务、垃圾外运、成品保护、开荒保洁等全部装修施工内容。</w:t>
            </w:r>
          </w:p>
          <w:p>
            <w:pPr>
              <w:pStyle w:val="null3"/>
              <w:ind w:firstLine="480"/>
            </w:pPr>
            <w:r>
              <w:rPr>
                <w:rFonts w:ascii="仿宋_GB2312" w:hAnsi="仿宋_GB2312" w:cs="仿宋_GB2312" w:eastAsia="仿宋_GB2312"/>
                <w:sz w:val="24"/>
              </w:rPr>
              <w:t>二、主要项目技术要求</w:t>
            </w:r>
          </w:p>
          <w:tbl>
            <w:tblPr>
              <w:tblBorders>
                <w:top w:val="none" w:color="000000" w:sz="4"/>
                <w:left w:val="none" w:color="000000" w:sz="4"/>
                <w:bottom w:val="none" w:color="000000" w:sz="4"/>
                <w:right w:val="none" w:color="000000" w:sz="4"/>
                <w:insideH w:val="none"/>
                <w:insideV w:val="none"/>
              </w:tblBorders>
            </w:tblPr>
            <w:tblGrid>
              <w:gridCol w:w="187"/>
              <w:gridCol w:w="561"/>
              <w:gridCol w:w="483"/>
              <w:gridCol w:w="135"/>
              <w:gridCol w:w="94"/>
              <w:gridCol w:w="1093"/>
            </w:tblGrid>
            <w:tr>
              <w:tc>
                <w:tcPr>
                  <w:tcW w:type="dxa" w:w="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5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项目内容</w:t>
                  </w:r>
                </w:p>
              </w:tc>
              <w:tc>
                <w:tcPr>
                  <w:tcW w:type="dxa" w:w="4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配置要求</w:t>
                  </w:r>
                </w:p>
              </w:tc>
              <w:tc>
                <w:tcPr>
                  <w:tcW w:type="dxa" w:w="1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c>
                <w:tcPr>
                  <w:tcW w:type="dxa" w:w="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c>
                <w:tcPr>
                  <w:tcW w:type="dxa" w:w="10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技术要求</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地面改造（木地板）</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室内木地板，厚度</w:t>
                  </w:r>
                  <w:r>
                    <w:rPr>
                      <w:rFonts w:ascii="仿宋_GB2312" w:hAnsi="仿宋_GB2312" w:cs="仿宋_GB2312" w:eastAsia="仿宋_GB2312"/>
                      <w:sz w:val="20"/>
                      <w:color w:val="000000"/>
                    </w:rPr>
                    <w:t>≥12mm，满足常规铺设要求</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环保等级：不低于 E1 级，甲醛释放量≤0.124mg/m³，符合 GB 18580-2017；</w:t>
                  </w:r>
                  <w:r>
                    <w:br/>
                  </w:r>
                  <w:r>
                    <w:rPr>
                      <w:rFonts w:ascii="仿宋_GB2312" w:hAnsi="仿宋_GB2312" w:cs="仿宋_GB2312" w:eastAsia="仿宋_GB2312"/>
                      <w:sz w:val="20"/>
                      <w:color w:val="000000"/>
                    </w:rPr>
                    <w:t>2. 耐磨转数≥6000 转，符合 GB/T 18102；</w:t>
                  </w:r>
                  <w:r>
                    <w:br/>
                  </w:r>
                  <w:r>
                    <w:rPr>
                      <w:rFonts w:ascii="仿宋_GB2312" w:hAnsi="仿宋_GB2312" w:cs="仿宋_GB2312" w:eastAsia="仿宋_GB2312"/>
                      <w:sz w:val="20"/>
                      <w:color w:val="000000"/>
                    </w:rPr>
                    <w:t>3. 防火性能：B1 级难燃标准。</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合金踢脚线</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铝合金踢脚线，按现场尺寸适配</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材质：国标铝合金型材，力学性能符合国家通用标准；</w:t>
                  </w:r>
                  <w:r>
                    <w:br/>
                  </w:r>
                  <w:r>
                    <w:rPr>
                      <w:rFonts w:ascii="仿宋_GB2312" w:hAnsi="仿宋_GB2312" w:cs="仿宋_GB2312" w:eastAsia="仿宋_GB2312"/>
                      <w:sz w:val="20"/>
                      <w:color w:val="000000"/>
                    </w:rPr>
                    <w:t>2. 表面处理：氧化 / 喷涂，耐刮擦、防腐蚀；</w:t>
                  </w:r>
                  <w:r>
                    <w:br/>
                  </w:r>
                  <w:r>
                    <w:rPr>
                      <w:rFonts w:ascii="仿宋_GB2312" w:hAnsi="仿宋_GB2312" w:cs="仿宋_GB2312" w:eastAsia="仿宋_GB2312"/>
                      <w:sz w:val="20"/>
                      <w:color w:val="000000"/>
                    </w:rPr>
                    <w:t>3. 规格：高度、厚度满足安装使用需求；</w:t>
                  </w:r>
                  <w:r>
                    <w:br/>
                  </w:r>
                  <w:r>
                    <w:rPr>
                      <w:rFonts w:ascii="仿宋_GB2312" w:hAnsi="仿宋_GB2312" w:cs="仿宋_GB2312" w:eastAsia="仿宋_GB2312"/>
                      <w:sz w:val="20"/>
                      <w:color w:val="000000"/>
                    </w:rPr>
                    <w:t>4. 安装：卡扣 / 打胶固定，拼接平整；</w:t>
                  </w:r>
                  <w:r>
                    <w:br/>
                  </w:r>
                  <w:r>
                    <w:rPr>
                      <w:rFonts w:ascii="仿宋_GB2312" w:hAnsi="仿宋_GB2312" w:cs="仿宋_GB2312" w:eastAsia="仿宋_GB2312"/>
                      <w:sz w:val="20"/>
                      <w:color w:val="000000"/>
                    </w:rPr>
                    <w:t>5. 性能：抗冲击、不易变形，满足室内长期使用。</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墙面改造（墙板）</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室内装饰墙板，厚度</w:t>
                  </w:r>
                  <w:r>
                    <w:rPr>
                      <w:rFonts w:ascii="仿宋_GB2312" w:hAnsi="仿宋_GB2312" w:cs="仿宋_GB2312" w:eastAsia="仿宋_GB2312"/>
                      <w:sz w:val="20"/>
                      <w:color w:val="000000"/>
                    </w:rPr>
                    <w:t>≥8mm</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145.0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环保等级：E1 级及以上，甲醛释放量符合 GB 18580-2017；</w:t>
                  </w:r>
                  <w:r>
                    <w:br/>
                  </w:r>
                  <w:r>
                    <w:rPr>
                      <w:rFonts w:ascii="仿宋_GB2312" w:hAnsi="仿宋_GB2312" w:cs="仿宋_GB2312" w:eastAsia="仿宋_GB2312"/>
                      <w:sz w:val="20"/>
                      <w:color w:val="000000"/>
                    </w:rPr>
                    <w:t>2. 防火性能：B1 级难燃标准；</w:t>
                  </w:r>
                  <w:r>
                    <w:br/>
                  </w:r>
                  <w:r>
                    <w:rPr>
                      <w:rFonts w:ascii="仿宋_GB2312" w:hAnsi="仿宋_GB2312" w:cs="仿宋_GB2312" w:eastAsia="仿宋_GB2312"/>
                      <w:sz w:val="20"/>
                      <w:color w:val="000000"/>
                    </w:rPr>
                    <w:t>3. 物理性能：抗冲击、防潮、变形率低；</w:t>
                  </w:r>
                  <w:r>
                    <w:br/>
                  </w:r>
                  <w:r>
                    <w:rPr>
                      <w:rFonts w:ascii="仿宋_GB2312" w:hAnsi="仿宋_GB2312" w:cs="仿宋_GB2312" w:eastAsia="仿宋_GB2312"/>
                      <w:sz w:val="20"/>
                      <w:color w:val="000000"/>
                    </w:rPr>
                    <w:t>4. 拼接工艺：无明显缝隙，平整度偏差≤1mm/2m，安装牢固。</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门口地台</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按现场尺寸定制门口地台</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结构：木龙骨 + OSB 板基础框架；</w:t>
                  </w:r>
                  <w:r>
                    <w:br/>
                  </w:r>
                  <w:r>
                    <w:rPr>
                      <w:rFonts w:ascii="仿宋_GB2312" w:hAnsi="仿宋_GB2312" w:cs="仿宋_GB2312" w:eastAsia="仿宋_GB2312"/>
                      <w:sz w:val="20"/>
                      <w:color w:val="000000"/>
                    </w:rPr>
                    <w:t>2. 材料：环保 E1 级、防火 B1 级；</w:t>
                  </w:r>
                  <w:r>
                    <w:br/>
                  </w:r>
                  <w:r>
                    <w:rPr>
                      <w:rFonts w:ascii="仿宋_GB2312" w:hAnsi="仿宋_GB2312" w:cs="仿宋_GB2312" w:eastAsia="仿宋_GB2312"/>
                      <w:sz w:val="20"/>
                      <w:color w:val="000000"/>
                    </w:rPr>
                    <w:t>3. 承重≥3.5kN/㎡，满足人员与设备放置；</w:t>
                  </w:r>
                  <w:r>
                    <w:br/>
                  </w:r>
                  <w:r>
                    <w:rPr>
                      <w:rFonts w:ascii="仿宋_GB2312" w:hAnsi="仿宋_GB2312" w:cs="仿宋_GB2312" w:eastAsia="仿宋_GB2312"/>
                      <w:sz w:val="20"/>
                      <w:color w:val="000000"/>
                    </w:rPr>
                    <w:t>4. 按现场尺寸定制；</w:t>
                  </w:r>
                  <w:r>
                    <w:br/>
                  </w:r>
                  <w:r>
                    <w:rPr>
                      <w:rFonts w:ascii="仿宋_GB2312" w:hAnsi="仿宋_GB2312" w:cs="仿宋_GB2312" w:eastAsia="仿宋_GB2312"/>
                      <w:sz w:val="20"/>
                      <w:color w:val="000000"/>
                    </w:rPr>
                    <w:t>5. 验收：无松动、无异响、无变形。</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地面标识</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按现场尺寸定制地面标识</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材料：PVC 防滑耐磨、环保无毒；</w:t>
                  </w:r>
                  <w:r>
                    <w:br/>
                  </w:r>
                  <w:r>
                    <w:rPr>
                      <w:rFonts w:ascii="仿宋_GB2312" w:hAnsi="仿宋_GB2312" w:cs="仿宋_GB2312" w:eastAsia="仿宋_GB2312"/>
                      <w:sz w:val="20"/>
                      <w:color w:val="000000"/>
                    </w:rPr>
                    <w:t>2. 工艺：印刷 / 蚀刻，附着力强、不易脱落；</w:t>
                  </w:r>
                  <w:r>
                    <w:br/>
                  </w:r>
                  <w:r>
                    <w:rPr>
                      <w:rFonts w:ascii="仿宋_GB2312" w:hAnsi="仿宋_GB2312" w:cs="仿宋_GB2312" w:eastAsia="仿宋_GB2312"/>
                      <w:sz w:val="20"/>
                      <w:color w:val="000000"/>
                    </w:rPr>
                    <w:t>3. 耐磨耐用，使用寿命≥5 年；</w:t>
                  </w:r>
                  <w:r>
                    <w:br/>
                  </w:r>
                  <w:r>
                    <w:rPr>
                      <w:rFonts w:ascii="仿宋_GB2312" w:hAnsi="仿宋_GB2312" w:cs="仿宋_GB2312" w:eastAsia="仿宋_GB2312"/>
                      <w:sz w:val="20"/>
                      <w:color w:val="000000"/>
                    </w:rPr>
                    <w:t>4. 外观：图案文字清晰、颜色持久不褪色。</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钢化玻璃对开门</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按门洞尺寸定制钢化玻璃对开门</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玻璃：厚度≥8mm，3C 认证，符合 GB 15763.2；</w:t>
                  </w:r>
                  <w:r>
                    <w:br/>
                  </w:r>
                  <w:r>
                    <w:rPr>
                      <w:rFonts w:ascii="仿宋_GB2312" w:hAnsi="仿宋_GB2312" w:cs="仿宋_GB2312" w:eastAsia="仿宋_GB2312"/>
                      <w:sz w:val="20"/>
                      <w:color w:val="000000"/>
                    </w:rPr>
                    <w:t>2. 五金：不锈钢合页、门锁，耐腐蚀耐用；</w:t>
                  </w:r>
                  <w:r>
                    <w:br/>
                  </w:r>
                  <w:r>
                    <w:rPr>
                      <w:rFonts w:ascii="仿宋_GB2312" w:hAnsi="仿宋_GB2312" w:cs="仿宋_GB2312" w:eastAsia="仿宋_GB2312"/>
                      <w:sz w:val="20"/>
                      <w:color w:val="000000"/>
                    </w:rPr>
                    <w:t>3. 安全：边角磨边，破碎呈钝角颗粒；</w:t>
                  </w:r>
                  <w:r>
                    <w:br/>
                  </w:r>
                  <w:r>
                    <w:rPr>
                      <w:rFonts w:ascii="仿宋_GB2312" w:hAnsi="仿宋_GB2312" w:cs="仿宋_GB2312" w:eastAsia="仿宋_GB2312"/>
                      <w:sz w:val="20"/>
                      <w:color w:val="000000"/>
                    </w:rPr>
                    <w:t>4. 密封：配密封条，隔音防尘；</w:t>
                  </w:r>
                  <w:r>
                    <w:br/>
                  </w:r>
                  <w:r>
                    <w:rPr>
                      <w:rFonts w:ascii="仿宋_GB2312" w:hAnsi="仿宋_GB2312" w:cs="仿宋_GB2312" w:eastAsia="仿宋_GB2312"/>
                      <w:sz w:val="20"/>
                      <w:color w:val="000000"/>
                    </w:rPr>
                    <w:t>5. 验收：安装牢固、开关顺畅无异响。</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不锈钢套</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按现场尺寸定制不锈钢门套</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材质：304 及以上国标不锈钢，符合 GB/T 14976；</w:t>
                  </w:r>
                  <w:r>
                    <w:br/>
                  </w:r>
                  <w:r>
                    <w:rPr>
                      <w:rFonts w:ascii="仿宋_GB2312" w:hAnsi="仿宋_GB2312" w:cs="仿宋_GB2312" w:eastAsia="仿宋_GB2312"/>
                      <w:sz w:val="20"/>
                      <w:color w:val="000000"/>
                    </w:rPr>
                    <w:t>2. 厚度≥2mm；</w:t>
                  </w:r>
                  <w:r>
                    <w:br/>
                  </w:r>
                  <w:r>
                    <w:rPr>
                      <w:rFonts w:ascii="仿宋_GB2312" w:hAnsi="仿宋_GB2312" w:cs="仿宋_GB2312" w:eastAsia="仿宋_GB2312"/>
                      <w:sz w:val="20"/>
                      <w:color w:val="000000"/>
                    </w:rPr>
                    <w:t>3. 表面：哑光拉丝，无毛刺划痕；</w:t>
                  </w:r>
                  <w:r>
                    <w:br/>
                  </w:r>
                  <w:r>
                    <w:rPr>
                      <w:rFonts w:ascii="仿宋_GB2312" w:hAnsi="仿宋_GB2312" w:cs="仿宋_GB2312" w:eastAsia="仿宋_GB2312"/>
                      <w:sz w:val="20"/>
                      <w:color w:val="000000"/>
                    </w:rPr>
                    <w:t>4. 安装牢固可靠；</w:t>
                  </w:r>
                  <w:r>
                    <w:br/>
                  </w:r>
                  <w:r>
                    <w:rPr>
                      <w:rFonts w:ascii="仿宋_GB2312" w:hAnsi="仿宋_GB2312" w:cs="仿宋_GB2312" w:eastAsia="仿宋_GB2312"/>
                      <w:sz w:val="20"/>
                      <w:color w:val="000000"/>
                    </w:rPr>
                    <w:t>5. 验收：表面平整、无缝隙、无变形翘边。</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背景墙广告</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按现场尺寸定制背景墙发光广告</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面板：高透亚克力≥8mm，透光率≥90%；</w:t>
                  </w:r>
                  <w:r>
                    <w:br/>
                  </w:r>
                  <w:r>
                    <w:rPr>
                      <w:rFonts w:ascii="仿宋_GB2312" w:hAnsi="仿宋_GB2312" w:cs="仿宋_GB2312" w:eastAsia="仿宋_GB2312"/>
                      <w:sz w:val="20"/>
                      <w:color w:val="000000"/>
                    </w:rPr>
                    <w:t>2. 光源：LED 背发光，DC12V/24V，亮度≥300cd/㎡，IP54；</w:t>
                  </w:r>
                  <w:r>
                    <w:br/>
                  </w:r>
                  <w:r>
                    <w:rPr>
                      <w:rFonts w:ascii="仿宋_GB2312" w:hAnsi="仿宋_GB2312" w:cs="仿宋_GB2312" w:eastAsia="仿宋_GB2312"/>
                      <w:sz w:val="20"/>
                      <w:color w:val="000000"/>
                    </w:rPr>
                    <w:t>3. 色温 3000K 暖白，寿命≥50000 小时，配 3C 认证电源；</w:t>
                  </w:r>
                  <w:r>
                    <w:br/>
                  </w:r>
                  <w:r>
                    <w:rPr>
                      <w:rFonts w:ascii="仿宋_GB2312" w:hAnsi="仿宋_GB2312" w:cs="仿宋_GB2312" w:eastAsia="仿宋_GB2312"/>
                      <w:sz w:val="20"/>
                      <w:color w:val="000000"/>
                    </w:rPr>
                    <w:t>4. 安装稳固无变形；</w:t>
                  </w:r>
                  <w:r>
                    <w:br/>
                  </w:r>
                  <w:r>
                    <w:rPr>
                      <w:rFonts w:ascii="仿宋_GB2312" w:hAnsi="仿宋_GB2312" w:cs="仿宋_GB2312" w:eastAsia="仿宋_GB2312"/>
                      <w:sz w:val="20"/>
                      <w:color w:val="000000"/>
                    </w:rPr>
                    <w:t>5. 外观：切割光滑、发光均匀、无漏光无频闪。</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定制柜体（饮水区</w:t>
                  </w:r>
                  <w:r>
                    <w:rPr>
                      <w:rFonts w:ascii="仿宋_GB2312" w:hAnsi="仿宋_GB2312" w:cs="仿宋_GB2312" w:eastAsia="仿宋_GB2312"/>
                      <w:sz w:val="20"/>
                      <w:color w:val="000000"/>
                    </w:rPr>
                    <w:t>+文件柜+消防器材+打印区）</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按现场定制多功能柜体</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板材：E1 级及以上，符合 GB 18580；</w:t>
                  </w:r>
                  <w:r>
                    <w:br/>
                  </w:r>
                  <w:r>
                    <w:rPr>
                      <w:rFonts w:ascii="仿宋_GB2312" w:hAnsi="仿宋_GB2312" w:cs="仿宋_GB2312" w:eastAsia="仿宋_GB2312"/>
                      <w:sz w:val="20"/>
                      <w:color w:val="000000"/>
                    </w:rPr>
                    <w:t>2. 板材厚度≥18mm，背板≥5mm；</w:t>
                  </w:r>
                  <w:r>
                    <w:br/>
                  </w:r>
                  <w:r>
                    <w:rPr>
                      <w:rFonts w:ascii="仿宋_GB2312" w:hAnsi="仿宋_GB2312" w:cs="仿宋_GB2312" w:eastAsia="仿宋_GB2312"/>
                      <w:sz w:val="20"/>
                      <w:color w:val="000000"/>
                    </w:rPr>
                    <w:t>3. 五金：国标优质五金，开合次数≥5 万次；</w:t>
                  </w:r>
                  <w:r>
                    <w:br/>
                  </w:r>
                  <w:r>
                    <w:rPr>
                      <w:rFonts w:ascii="仿宋_GB2312" w:hAnsi="仿宋_GB2312" w:cs="仿宋_GB2312" w:eastAsia="仿宋_GB2312"/>
                      <w:sz w:val="20"/>
                      <w:color w:val="000000"/>
                    </w:rPr>
                    <w:t>4. 层板承重≥50kg/㎡；</w:t>
                  </w:r>
                  <w:r>
                    <w:br/>
                  </w:r>
                  <w:r>
                    <w:rPr>
                      <w:rFonts w:ascii="仿宋_GB2312" w:hAnsi="仿宋_GB2312" w:cs="仿宋_GB2312" w:eastAsia="仿宋_GB2312"/>
                      <w:sz w:val="20"/>
                      <w:color w:val="000000"/>
                    </w:rPr>
                    <w:t>5. 工艺：封边平整，缝隙≤0.5mm；</w:t>
                  </w:r>
                  <w:r>
                    <w:br/>
                  </w:r>
                  <w:r>
                    <w:rPr>
                      <w:rFonts w:ascii="仿宋_GB2312" w:hAnsi="仿宋_GB2312" w:cs="仿宋_GB2312" w:eastAsia="仿宋_GB2312"/>
                      <w:sz w:val="20"/>
                      <w:color w:val="000000"/>
                    </w:rPr>
                    <w:t>6. 含饮水、文件、消防、打印区分隔；</w:t>
                  </w:r>
                  <w:r>
                    <w:br/>
                  </w:r>
                  <w:r>
                    <w:rPr>
                      <w:rFonts w:ascii="仿宋_GB2312" w:hAnsi="仿宋_GB2312" w:cs="仿宋_GB2312" w:eastAsia="仿宋_GB2312"/>
                      <w:sz w:val="20"/>
                      <w:color w:val="000000"/>
                    </w:rPr>
                    <w:t>7. 安装牢固，水平度偏差≤2mm/2m。</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窗帘</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按实际尺寸定制窗帘</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面料：涤纶 / 棉麻混纺，克重≥280g/㎡；</w:t>
                  </w:r>
                  <w:r>
                    <w:br/>
                  </w:r>
                  <w:r>
                    <w:rPr>
                      <w:rFonts w:ascii="仿宋_GB2312" w:hAnsi="仿宋_GB2312" w:cs="仿宋_GB2312" w:eastAsia="仿宋_GB2312"/>
                      <w:sz w:val="20"/>
                      <w:color w:val="000000"/>
                    </w:rPr>
                    <w:t>2. 遮光率≥90%；</w:t>
                  </w:r>
                  <w:r>
                    <w:br/>
                  </w:r>
                  <w:r>
                    <w:rPr>
                      <w:rFonts w:ascii="仿宋_GB2312" w:hAnsi="仿宋_GB2312" w:cs="仿宋_GB2312" w:eastAsia="仿宋_GB2312"/>
                      <w:sz w:val="20"/>
                      <w:color w:val="000000"/>
                    </w:rPr>
                    <w:t>3. 阻燃等级 B1 级；</w:t>
                  </w:r>
                  <w:r>
                    <w:br/>
                  </w:r>
                  <w:r>
                    <w:rPr>
                      <w:rFonts w:ascii="仿宋_GB2312" w:hAnsi="仿宋_GB2312" w:cs="仿宋_GB2312" w:eastAsia="仿宋_GB2312"/>
                      <w:sz w:val="20"/>
                      <w:color w:val="000000"/>
                    </w:rPr>
                    <w:t>4. 环保符合 GB 18401；</w:t>
                  </w:r>
                  <w:r>
                    <w:br/>
                  </w:r>
                  <w:r>
                    <w:rPr>
                      <w:rFonts w:ascii="仿宋_GB2312" w:hAnsi="仿宋_GB2312" w:cs="仿宋_GB2312" w:eastAsia="仿宋_GB2312"/>
                      <w:sz w:val="20"/>
                      <w:color w:val="000000"/>
                    </w:rPr>
                    <w:t>5. 工艺精细、走线平整；</w:t>
                  </w:r>
                  <w:r>
                    <w:br/>
                  </w:r>
                  <w:r>
                    <w:rPr>
                      <w:rFonts w:ascii="仿宋_GB2312" w:hAnsi="仿宋_GB2312" w:cs="仿宋_GB2312" w:eastAsia="仿宋_GB2312"/>
                      <w:sz w:val="20"/>
                      <w:color w:val="000000"/>
                    </w:rPr>
                    <w:t>6. 安装垂挂平整无歪斜。</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电机</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窗帘专用电机</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扭矩≥1.2N・m，承重≥30kg；</w:t>
                  </w:r>
                  <w:r>
                    <w:br/>
                  </w:r>
                  <w:r>
                    <w:rPr>
                      <w:rFonts w:ascii="仿宋_GB2312" w:hAnsi="仿宋_GB2312" w:cs="仿宋_GB2312" w:eastAsia="仿宋_GB2312"/>
                      <w:sz w:val="20"/>
                      <w:color w:val="000000"/>
                    </w:rPr>
                    <w:t>2.DC12V/24V 低压供电；</w:t>
                  </w:r>
                  <w:r>
                    <w:br/>
                  </w:r>
                  <w:r>
                    <w:rPr>
                      <w:rFonts w:ascii="仿宋_GB2312" w:hAnsi="仿宋_GB2312" w:cs="仿宋_GB2312" w:eastAsia="仿宋_GB2312"/>
                      <w:sz w:val="20"/>
                      <w:color w:val="000000"/>
                    </w:rPr>
                    <w:t>3. 运行噪音≤40dB；</w:t>
                  </w:r>
                  <w:r>
                    <w:br/>
                  </w:r>
                  <w:r>
                    <w:rPr>
                      <w:rFonts w:ascii="仿宋_GB2312" w:hAnsi="仿宋_GB2312" w:cs="仿宋_GB2312" w:eastAsia="仿宋_GB2312"/>
                      <w:sz w:val="20"/>
                      <w:color w:val="000000"/>
                    </w:rPr>
                    <w:t>4. 支持遥控 / 智能控制，运行平稳；</w:t>
                  </w:r>
                  <w:r>
                    <w:br/>
                  </w:r>
                  <w:r>
                    <w:rPr>
                      <w:rFonts w:ascii="仿宋_GB2312" w:hAnsi="仿宋_GB2312" w:cs="仿宋_GB2312" w:eastAsia="仿宋_GB2312"/>
                      <w:sz w:val="20"/>
                      <w:color w:val="000000"/>
                    </w:rPr>
                    <w:t>5. 质保≥3 年，使用寿命≥10000 小时。</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灯具开关插座</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标准开关插座套装</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规格：86/118 型通用，适配底盒；</w:t>
                  </w:r>
                  <w:r>
                    <w:br/>
                  </w:r>
                  <w:r>
                    <w:rPr>
                      <w:rFonts w:ascii="仿宋_GB2312" w:hAnsi="仿宋_GB2312" w:cs="仿宋_GB2312" w:eastAsia="仿宋_GB2312"/>
                      <w:sz w:val="20"/>
                      <w:color w:val="000000"/>
                    </w:rPr>
                    <w:t>2.PC 阻燃面板，阻燃 V0 级；</w:t>
                  </w:r>
                  <w:r>
                    <w:br/>
                  </w:r>
                  <w:r>
                    <w:rPr>
                      <w:rFonts w:ascii="仿宋_GB2312" w:hAnsi="仿宋_GB2312" w:cs="仿宋_GB2312" w:eastAsia="仿宋_GB2312"/>
                      <w:sz w:val="20"/>
                      <w:color w:val="000000"/>
                    </w:rPr>
                    <w:t>3.220V，10A/16A，3C 认证；</w:t>
                  </w:r>
                  <w:r>
                    <w:br/>
                  </w:r>
                  <w:r>
                    <w:rPr>
                      <w:rFonts w:ascii="仿宋_GB2312" w:hAnsi="仿宋_GB2312" w:cs="仿宋_GB2312" w:eastAsia="仿宋_GB2312"/>
                      <w:sz w:val="20"/>
                      <w:color w:val="000000"/>
                    </w:rPr>
                    <w:t>4. 开关通断顺畅，寿命≥10000 次；</w:t>
                  </w:r>
                  <w:r>
                    <w:br/>
                  </w:r>
                  <w:r>
                    <w:rPr>
                      <w:rFonts w:ascii="仿宋_GB2312" w:hAnsi="仿宋_GB2312" w:cs="仿宋_GB2312" w:eastAsia="仿宋_GB2312"/>
                      <w:sz w:val="20"/>
                      <w:color w:val="000000"/>
                    </w:rPr>
                    <w:t>5. 插座带保护门，接触良好；</w:t>
                  </w:r>
                  <w:r>
                    <w:br/>
                  </w:r>
                  <w:r>
                    <w:rPr>
                      <w:rFonts w:ascii="仿宋_GB2312" w:hAnsi="仿宋_GB2312" w:cs="仿宋_GB2312" w:eastAsia="仿宋_GB2312"/>
                      <w:sz w:val="20"/>
                      <w:color w:val="000000"/>
                    </w:rPr>
                    <w:t>6. 安装牢固、面板平整。</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过道电子指示牌</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按现场定制电子指示牌</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金属边框 + 钢化玻璃 / 亚克力面板，阻燃 V0 级；</w:t>
                  </w:r>
                  <w:r>
                    <w:br/>
                  </w:r>
                  <w:r>
                    <w:rPr>
                      <w:rFonts w:ascii="仿宋_GB2312" w:hAnsi="仿宋_GB2312" w:cs="仿宋_GB2312" w:eastAsia="仿宋_GB2312"/>
                      <w:sz w:val="20"/>
                      <w:color w:val="000000"/>
                    </w:rPr>
                    <w:t>2.LED 光源，无频闪，寿命≥50000 小时；</w:t>
                  </w:r>
                  <w:r>
                    <w:br/>
                  </w:r>
                  <w:r>
                    <w:rPr>
                      <w:rFonts w:ascii="仿宋_GB2312" w:hAnsi="仿宋_GB2312" w:cs="仿宋_GB2312" w:eastAsia="仿宋_GB2312"/>
                      <w:sz w:val="20"/>
                      <w:color w:val="000000"/>
                    </w:rPr>
                    <w:t>3.220V，3C 认证，应急 / 常亮双模式；</w:t>
                  </w:r>
                  <w:r>
                    <w:br/>
                  </w:r>
                  <w:r>
                    <w:rPr>
                      <w:rFonts w:ascii="仿宋_GB2312" w:hAnsi="仿宋_GB2312" w:cs="仿宋_GB2312" w:eastAsia="仿宋_GB2312"/>
                      <w:sz w:val="20"/>
                      <w:color w:val="000000"/>
                    </w:rPr>
                    <w:t>4.IP40 防护，防潮防尘；</w:t>
                  </w:r>
                  <w:r>
                    <w:br/>
                  </w:r>
                  <w:r>
                    <w:rPr>
                      <w:rFonts w:ascii="仿宋_GB2312" w:hAnsi="仿宋_GB2312" w:cs="仿宋_GB2312" w:eastAsia="仿宋_GB2312"/>
                      <w:sz w:val="20"/>
                      <w:color w:val="000000"/>
                    </w:rPr>
                    <w:t>5. 安装牢固、标识清晰。</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电路改造</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室内电路改造</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国标铜芯线≥2.5/4㎡，阻燃穿线管，符合 GB 5023；</w:t>
                  </w:r>
                  <w:r>
                    <w:br/>
                  </w:r>
                  <w:r>
                    <w:rPr>
                      <w:rFonts w:ascii="仿宋_GB2312" w:hAnsi="仿宋_GB2312" w:cs="仿宋_GB2312" w:eastAsia="仿宋_GB2312"/>
                      <w:sz w:val="20"/>
                      <w:color w:val="000000"/>
                    </w:rPr>
                    <w:t>2. 强弱电分离≥300mm，布线规范；</w:t>
                  </w:r>
                  <w:r>
                    <w:br/>
                  </w:r>
                  <w:r>
                    <w:rPr>
                      <w:rFonts w:ascii="仿宋_GB2312" w:hAnsi="仿宋_GB2312" w:cs="仿宋_GB2312" w:eastAsia="仿宋_GB2312"/>
                      <w:sz w:val="20"/>
                      <w:color w:val="000000"/>
                    </w:rPr>
                    <w:t>3. 绝缘电阻≥0.5MΩ，接地可靠；</w:t>
                  </w:r>
                  <w:r>
                    <w:br/>
                  </w:r>
                  <w:r>
                    <w:rPr>
                      <w:rFonts w:ascii="仿宋_GB2312" w:hAnsi="仿宋_GB2312" w:cs="仿宋_GB2312" w:eastAsia="仿宋_GB2312"/>
                      <w:sz w:val="20"/>
                      <w:color w:val="000000"/>
                    </w:rPr>
                    <w:t>4. 线路分色、接头牢固；</w:t>
                  </w:r>
                  <w:r>
                    <w:br/>
                  </w:r>
                  <w:r>
                    <w:rPr>
                      <w:rFonts w:ascii="仿宋_GB2312" w:hAnsi="仿宋_GB2312" w:cs="仿宋_GB2312" w:eastAsia="仿宋_GB2312"/>
                      <w:sz w:val="20"/>
                      <w:color w:val="000000"/>
                    </w:rPr>
                    <w:t>5. 验收无短路漏电；</w:t>
                  </w:r>
                  <w:r>
                    <w:br/>
                  </w:r>
                  <w:r>
                    <w:rPr>
                      <w:rFonts w:ascii="仿宋_GB2312" w:hAnsi="仿宋_GB2312" w:cs="仿宋_GB2312" w:eastAsia="仿宋_GB2312"/>
                      <w:sz w:val="20"/>
                      <w:color w:val="000000"/>
                    </w:rPr>
                    <w:t>6. 隐蔽工程质保≥3 年，附电路走向图。</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顶面封石膏板</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顶面轻钢龙骨石膏板吊顶</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石膏板≥9.5/12mm，符合 GB/T 9775；</w:t>
                  </w:r>
                  <w:r>
                    <w:br/>
                  </w:r>
                  <w:r>
                    <w:rPr>
                      <w:rFonts w:ascii="仿宋_GB2312" w:hAnsi="仿宋_GB2312" w:cs="仿宋_GB2312" w:eastAsia="仿宋_GB2312"/>
                      <w:sz w:val="20"/>
                      <w:color w:val="000000"/>
                    </w:rPr>
                    <w:t>2. 轻钢龙骨防锈，间距符合规范；</w:t>
                  </w:r>
                  <w:r>
                    <w:br/>
                  </w:r>
                  <w:r>
                    <w:rPr>
                      <w:rFonts w:ascii="仿宋_GB2312" w:hAnsi="仿宋_GB2312" w:cs="仿宋_GB2312" w:eastAsia="仿宋_GB2312"/>
                      <w:sz w:val="20"/>
                      <w:color w:val="000000"/>
                    </w:rPr>
                    <w:t>3. 自攻螺丝防锈固定；</w:t>
                  </w:r>
                  <w:r>
                    <w:br/>
                  </w:r>
                  <w:r>
                    <w:rPr>
                      <w:rFonts w:ascii="仿宋_GB2312" w:hAnsi="仿宋_GB2312" w:cs="仿宋_GB2312" w:eastAsia="仿宋_GB2312"/>
                      <w:sz w:val="20"/>
                      <w:color w:val="000000"/>
                    </w:rPr>
                    <w:t>4. 嵌缝 + 防裂处理，无开裂起翘；</w:t>
                  </w:r>
                  <w:r>
                    <w:br/>
                  </w:r>
                  <w:r>
                    <w:rPr>
                      <w:rFonts w:ascii="仿宋_GB2312" w:hAnsi="仿宋_GB2312" w:cs="仿宋_GB2312" w:eastAsia="仿宋_GB2312"/>
                      <w:sz w:val="20"/>
                      <w:color w:val="000000"/>
                    </w:rPr>
                    <w:t>5. 平整度偏差≤3mm/2m；</w:t>
                  </w:r>
                  <w:r>
                    <w:br/>
                  </w:r>
                  <w:r>
                    <w:rPr>
                      <w:rFonts w:ascii="仿宋_GB2312" w:hAnsi="仿宋_GB2312" w:cs="仿宋_GB2312" w:eastAsia="仿宋_GB2312"/>
                      <w:sz w:val="20"/>
                      <w:color w:val="000000"/>
                    </w:rPr>
                    <w:t>6. 耐火符合室内防火规范。</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顶面基层处理</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顶面基层找平处理</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基层清理干净，无空鼓开裂；2. 找平偏差≤3mm/2m，阴阳角顺直；3. 接缝防裂处理；4. 批刮腻子 2-3 遍，打磨光滑；5. 按需做防潮底漆；6. 基层坚实无粉化起皮。</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顶面刷漆</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内墙乳胶漆涂刷</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环保达标，甲醛、VOC 符合国标；2. 防霉防潮，耐擦洗≥10000 次；3. 底漆 1 遍 + 面漆 2 遍；4. 颜色均匀、无透底流挂；5. 漆膜饱满，平整度偏差≤3mm/2m。</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排查线路</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强弱电线路全面排查</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排查全线路通断、绝缘、接地；2. 排查老化、虚接、短路隐患；3. 通电与信号测试；4. 出具排查报告；5. 验收无故障、功能正常。</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拆除</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原有装饰面层拆除</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拆除地面、墙面原有面层；</w:t>
                  </w:r>
                  <w:r>
                    <w:br/>
                  </w:r>
                  <w:r>
                    <w:rPr>
                      <w:rFonts w:ascii="仿宋_GB2312" w:hAnsi="仿宋_GB2312" w:cs="仿宋_GB2312" w:eastAsia="仿宋_GB2312"/>
                      <w:sz w:val="20"/>
                      <w:color w:val="000000"/>
                    </w:rPr>
                    <w:t>2. 人工无尘作业，不破坏结构与管线；</w:t>
                  </w:r>
                  <w:r>
                    <w:br/>
                  </w:r>
                  <w:r>
                    <w:rPr>
                      <w:rFonts w:ascii="仿宋_GB2312" w:hAnsi="仿宋_GB2312" w:cs="仿宋_GB2312" w:eastAsia="仿宋_GB2312"/>
                      <w:sz w:val="20"/>
                      <w:color w:val="000000"/>
                    </w:rPr>
                    <w:t>3. 做好成品保护；</w:t>
                  </w:r>
                  <w:r>
                    <w:br/>
                  </w:r>
                  <w:r>
                    <w:rPr>
                      <w:rFonts w:ascii="仿宋_GB2312" w:hAnsi="仿宋_GB2312" w:cs="仿宋_GB2312" w:eastAsia="仿宋_GB2312"/>
                      <w:sz w:val="20"/>
                      <w:color w:val="000000"/>
                    </w:rPr>
                    <w:t>4. 及时清理垃圾；</w:t>
                  </w:r>
                  <w:r>
                    <w:br/>
                  </w:r>
                  <w:r>
                    <w:rPr>
                      <w:rFonts w:ascii="仿宋_GB2312" w:hAnsi="仿宋_GB2312" w:cs="仿宋_GB2312" w:eastAsia="仿宋_GB2312"/>
                      <w:sz w:val="20"/>
                      <w:color w:val="000000"/>
                    </w:rPr>
                    <w:t>5. 拆除彻底、无安全隐患。</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垃圾外运</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施工垃圾清运处置</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分类装袋、密闭车辆外运；</w:t>
                  </w:r>
                  <w:r>
                    <w:br/>
                  </w:r>
                  <w:r>
                    <w:rPr>
                      <w:rFonts w:ascii="仿宋_GB2312" w:hAnsi="仿宋_GB2312" w:cs="仿宋_GB2312" w:eastAsia="仿宋_GB2312"/>
                      <w:sz w:val="20"/>
                      <w:color w:val="000000"/>
                    </w:rPr>
                    <w:t>2. 无滴漏遗撒，符合城市管理规定；</w:t>
                  </w:r>
                  <w:r>
                    <w:br/>
                  </w:r>
                  <w:r>
                    <w:rPr>
                      <w:rFonts w:ascii="仿宋_GB2312" w:hAnsi="仿宋_GB2312" w:cs="仿宋_GB2312" w:eastAsia="仿宋_GB2312"/>
                      <w:sz w:val="20"/>
                      <w:color w:val="000000"/>
                    </w:rPr>
                    <w:t>3. 合规消纳处置；</w:t>
                  </w:r>
                  <w:r>
                    <w:br/>
                  </w:r>
                  <w:r>
                    <w:rPr>
                      <w:rFonts w:ascii="仿宋_GB2312" w:hAnsi="仿宋_GB2312" w:cs="仿宋_GB2312" w:eastAsia="仿宋_GB2312"/>
                      <w:sz w:val="20"/>
                      <w:color w:val="000000"/>
                    </w:rPr>
                    <w:t>4. 现场清理整洁；</w:t>
                  </w:r>
                  <w:r>
                    <w:br/>
                  </w:r>
                  <w:r>
                    <w:rPr>
                      <w:rFonts w:ascii="仿宋_GB2312" w:hAnsi="仿宋_GB2312" w:cs="仿宋_GB2312" w:eastAsia="仿宋_GB2312"/>
                      <w:sz w:val="20"/>
                      <w:color w:val="000000"/>
                    </w:rPr>
                    <w:t>5. 运输抑尘、环保合规。</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开荒保洁</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竣工验收开荒保洁</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全面清洁地面、墙面、玻璃、柜体等；</w:t>
                  </w:r>
                  <w:r>
                    <w:br/>
                  </w:r>
                  <w:r>
                    <w:rPr>
                      <w:rFonts w:ascii="仿宋_GB2312" w:hAnsi="仿宋_GB2312" w:cs="仿宋_GB2312" w:eastAsia="仿宋_GB2312"/>
                      <w:sz w:val="20"/>
                      <w:color w:val="000000"/>
                    </w:rPr>
                    <w:t>2. 清除污渍、水泥点、胶渍；</w:t>
                  </w:r>
                  <w:r>
                    <w:br/>
                  </w:r>
                  <w:r>
                    <w:rPr>
                      <w:rFonts w:ascii="仿宋_GB2312" w:hAnsi="仿宋_GB2312" w:cs="仿宋_GB2312" w:eastAsia="仿宋_GB2312"/>
                      <w:sz w:val="20"/>
                      <w:color w:val="000000"/>
                    </w:rPr>
                    <w:t>3. 无死角、符合竣工资检标准；</w:t>
                  </w:r>
                  <w:r>
                    <w:br/>
                  </w:r>
                  <w:r>
                    <w:rPr>
                      <w:rFonts w:ascii="仿宋_GB2312" w:hAnsi="仿宋_GB2312" w:cs="仿宋_GB2312" w:eastAsia="仿宋_GB2312"/>
                      <w:sz w:val="20"/>
                      <w:color w:val="000000"/>
                    </w:rPr>
                    <w:t>4. 不腐蚀损伤成品。</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办公桌</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办公用桌，满足常规使用</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桌面厚度≥30mm，环保 E1 级；</w:t>
                  </w:r>
                  <w:r>
                    <w:br/>
                  </w:r>
                  <w:r>
                    <w:rPr>
                      <w:rFonts w:ascii="仿宋_GB2312" w:hAnsi="仿宋_GB2312" w:cs="仿宋_GB2312" w:eastAsia="仿宋_GB2312"/>
                      <w:sz w:val="20"/>
                      <w:color w:val="000000"/>
                    </w:rPr>
                    <w:t>2. 材质稳定，无开裂变形；</w:t>
                  </w:r>
                  <w:r>
                    <w:br/>
                  </w:r>
                  <w:r>
                    <w:rPr>
                      <w:rFonts w:ascii="仿宋_GB2312" w:hAnsi="仿宋_GB2312" w:cs="仿宋_GB2312" w:eastAsia="仿宋_GB2312"/>
                      <w:sz w:val="20"/>
                      <w:color w:val="000000"/>
                    </w:rPr>
                    <w:t>3. 桌架稳固，整体承重≥100kg；</w:t>
                  </w:r>
                  <w:r>
                    <w:br/>
                  </w:r>
                  <w:r>
                    <w:rPr>
                      <w:rFonts w:ascii="仿宋_GB2312" w:hAnsi="仿宋_GB2312" w:cs="仿宋_GB2312" w:eastAsia="仿宋_GB2312"/>
                      <w:sz w:val="20"/>
                      <w:color w:val="000000"/>
                    </w:rPr>
                    <w:t>4. 表面光滑、防潮耐用；</w:t>
                  </w:r>
                  <w:r>
                    <w:br/>
                  </w:r>
                  <w:r>
                    <w:rPr>
                      <w:rFonts w:ascii="仿宋_GB2312" w:hAnsi="仿宋_GB2312" w:cs="仿宋_GB2312" w:eastAsia="仿宋_GB2312"/>
                      <w:sz w:val="20"/>
                      <w:color w:val="000000"/>
                    </w:rPr>
                    <w:t>5. 安装牢固，水平度偏差≤2mm/2m。</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办公椅</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人体工学办公椅</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人体工学设计，带靠背、扶手、五星脚；</w:t>
                  </w:r>
                  <w:r>
                    <w:br/>
                  </w:r>
                  <w:r>
                    <w:rPr>
                      <w:rFonts w:ascii="仿宋_GB2312" w:hAnsi="仿宋_GB2312" w:cs="仿宋_GB2312" w:eastAsia="仿宋_GB2312"/>
                      <w:sz w:val="20"/>
                      <w:color w:val="000000"/>
                    </w:rPr>
                    <w:t>2. 透气耐磨面料，高密度海绵；</w:t>
                  </w:r>
                  <w:r>
                    <w:br/>
                  </w:r>
                  <w:r>
                    <w:rPr>
                      <w:rFonts w:ascii="仿宋_GB2312" w:hAnsi="仿宋_GB2312" w:cs="仿宋_GB2312" w:eastAsia="仿宋_GB2312"/>
                      <w:sz w:val="20"/>
                      <w:color w:val="000000"/>
                    </w:rPr>
                    <w:t>3. 可升降、可后仰锁定，滚轮静音顺滑；</w:t>
                  </w:r>
                  <w:r>
                    <w:br/>
                  </w:r>
                  <w:r>
                    <w:rPr>
                      <w:rFonts w:ascii="仿宋_GB2312" w:hAnsi="仿宋_GB2312" w:cs="仿宋_GB2312" w:eastAsia="仿宋_GB2312"/>
                      <w:sz w:val="20"/>
                      <w:color w:val="000000"/>
                    </w:rPr>
                    <w:t>4. 承重≥150kg，稳固安全；</w:t>
                  </w:r>
                  <w:r>
                    <w:br/>
                  </w:r>
                  <w:r>
                    <w:rPr>
                      <w:rFonts w:ascii="仿宋_GB2312" w:hAnsi="仿宋_GB2312" w:cs="仿宋_GB2312" w:eastAsia="仿宋_GB2312"/>
                      <w:sz w:val="20"/>
                      <w:color w:val="000000"/>
                    </w:rPr>
                    <w:t>5. 配件牢固，使用寿命≥5 年。</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水电人工</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水电专业施工服务</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施工人员持有效电工证；</w:t>
                  </w:r>
                  <w:r>
                    <w:br/>
                  </w:r>
                  <w:r>
                    <w:rPr>
                      <w:rFonts w:ascii="仿宋_GB2312" w:hAnsi="仿宋_GB2312" w:cs="仿宋_GB2312" w:eastAsia="仿宋_GB2312"/>
                      <w:sz w:val="20"/>
                      <w:color w:val="000000"/>
                    </w:rPr>
                    <w:t>2. 按 GB 50303 规范施工；</w:t>
                  </w:r>
                  <w:r>
                    <w:br/>
                  </w:r>
                  <w:r>
                    <w:rPr>
                      <w:rFonts w:ascii="仿宋_GB2312" w:hAnsi="仿宋_GB2312" w:cs="仿宋_GB2312" w:eastAsia="仿宋_GB2312"/>
                      <w:sz w:val="20"/>
                      <w:color w:val="000000"/>
                    </w:rPr>
                    <w:t>3. 测试合格并出具隐蔽工程记录；</w:t>
                  </w:r>
                  <w:r>
                    <w:br/>
                  </w:r>
                  <w:r>
                    <w:rPr>
                      <w:rFonts w:ascii="仿宋_GB2312" w:hAnsi="仿宋_GB2312" w:cs="仿宋_GB2312" w:eastAsia="仿宋_GB2312"/>
                      <w:sz w:val="20"/>
                      <w:color w:val="000000"/>
                    </w:rPr>
                    <w:t>4. 施工安全规范；</w:t>
                  </w:r>
                  <w:r>
                    <w:br/>
                  </w:r>
                  <w:r>
                    <w:rPr>
                      <w:rFonts w:ascii="仿宋_GB2312" w:hAnsi="仿宋_GB2312" w:cs="仿宋_GB2312" w:eastAsia="仿宋_GB2312"/>
                      <w:sz w:val="20"/>
                      <w:color w:val="000000"/>
                    </w:rPr>
                    <w:t>5. 隐蔽工程质保≥3 年。</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木工人工</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木工专业施工服务</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具备两年以上施工经验；</w:t>
                  </w:r>
                  <w:r>
                    <w:br/>
                  </w:r>
                  <w:r>
                    <w:rPr>
                      <w:rFonts w:ascii="仿宋_GB2312" w:hAnsi="仿宋_GB2312" w:cs="仿宋_GB2312" w:eastAsia="仿宋_GB2312"/>
                      <w:sz w:val="20"/>
                      <w:color w:val="000000"/>
                    </w:rPr>
                    <w:t>2. 按图纸与规范施工；</w:t>
                  </w:r>
                  <w:r>
                    <w:br/>
                  </w:r>
                  <w:r>
                    <w:rPr>
                      <w:rFonts w:ascii="仿宋_GB2312" w:hAnsi="仿宋_GB2312" w:cs="仿宋_GB2312" w:eastAsia="仿宋_GB2312"/>
                      <w:sz w:val="20"/>
                      <w:color w:val="000000"/>
                    </w:rPr>
                    <w:t>3. 平整度、垂直度偏差≤3mm/2m；</w:t>
                  </w:r>
                  <w:r>
                    <w:br/>
                  </w:r>
                  <w:r>
                    <w:rPr>
                      <w:rFonts w:ascii="仿宋_GB2312" w:hAnsi="仿宋_GB2312" w:cs="仿宋_GB2312" w:eastAsia="仿宋_GB2312"/>
                      <w:sz w:val="20"/>
                      <w:color w:val="000000"/>
                    </w:rPr>
                    <w:t>4. 现场防火安全；</w:t>
                  </w:r>
                  <w:r>
                    <w:br/>
                  </w:r>
                  <w:r>
                    <w:rPr>
                      <w:rFonts w:ascii="仿宋_GB2312" w:hAnsi="仿宋_GB2312" w:cs="仿宋_GB2312" w:eastAsia="仿宋_GB2312"/>
                      <w:sz w:val="20"/>
                      <w:color w:val="000000"/>
                    </w:rPr>
                    <w:t>5. 质保≥3 年。</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油漆人工</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涂装专业施工服务</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具备两年以上施工经验；</w:t>
                  </w:r>
                  <w:r>
                    <w:br/>
                  </w:r>
                  <w:r>
                    <w:rPr>
                      <w:rFonts w:ascii="仿宋_GB2312" w:hAnsi="仿宋_GB2312" w:cs="仿宋_GB2312" w:eastAsia="仿宋_GB2312"/>
                      <w:sz w:val="20"/>
                      <w:color w:val="000000"/>
                    </w:rPr>
                    <w:t>2. 按涂装工艺规范施工；</w:t>
                  </w:r>
                  <w:r>
                    <w:br/>
                  </w:r>
                  <w:r>
                    <w:rPr>
                      <w:rFonts w:ascii="仿宋_GB2312" w:hAnsi="仿宋_GB2312" w:cs="仿宋_GB2312" w:eastAsia="仿宋_GB2312"/>
                      <w:sz w:val="20"/>
                      <w:color w:val="000000"/>
                    </w:rPr>
                    <w:t>3. 漆膜均匀无瑕疵；</w:t>
                  </w:r>
                  <w:r>
                    <w:br/>
                  </w:r>
                  <w:r>
                    <w:rPr>
                      <w:rFonts w:ascii="仿宋_GB2312" w:hAnsi="仿宋_GB2312" w:cs="仿宋_GB2312" w:eastAsia="仿宋_GB2312"/>
                      <w:sz w:val="20"/>
                      <w:color w:val="000000"/>
                    </w:rPr>
                    <w:t>4. 现场防尘防火；</w:t>
                  </w:r>
                  <w:r>
                    <w:br/>
                  </w:r>
                  <w:r>
                    <w:rPr>
                      <w:rFonts w:ascii="仿宋_GB2312" w:hAnsi="仿宋_GB2312" w:cs="仿宋_GB2312" w:eastAsia="仿宋_GB2312"/>
                      <w:sz w:val="20"/>
                      <w:color w:val="000000"/>
                    </w:rPr>
                    <w:t>5. 质保≥2 年。</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广告人工</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广告标识安装服务</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具备两年以上安装经验；</w:t>
                  </w:r>
                  <w:r>
                    <w:br/>
                  </w:r>
                  <w:r>
                    <w:rPr>
                      <w:rFonts w:ascii="仿宋_GB2312" w:hAnsi="仿宋_GB2312" w:cs="仿宋_GB2312" w:eastAsia="仿宋_GB2312"/>
                      <w:sz w:val="20"/>
                      <w:color w:val="000000"/>
                    </w:rPr>
                    <w:t>2. 安装规范、牢固平整；</w:t>
                  </w:r>
                  <w:r>
                    <w:br/>
                  </w:r>
                  <w:r>
                    <w:rPr>
                      <w:rFonts w:ascii="仿宋_GB2312" w:hAnsi="仿宋_GB2312" w:cs="仿宋_GB2312" w:eastAsia="仿宋_GB2312"/>
                      <w:sz w:val="20"/>
                      <w:color w:val="000000"/>
                    </w:rPr>
                    <w:t>3. 通电发光正常；</w:t>
                  </w:r>
                  <w:r>
                    <w:br/>
                  </w:r>
                  <w:r>
                    <w:rPr>
                      <w:rFonts w:ascii="仿宋_GB2312" w:hAnsi="仿宋_GB2312" w:cs="仿宋_GB2312" w:eastAsia="仿宋_GB2312"/>
                      <w:sz w:val="20"/>
                      <w:color w:val="000000"/>
                    </w:rPr>
                    <w:t>4. 高空作业安全规范；</w:t>
                  </w:r>
                  <w:r>
                    <w:br/>
                  </w:r>
                  <w:r>
                    <w:rPr>
                      <w:rFonts w:ascii="仿宋_GB2312" w:hAnsi="仿宋_GB2312" w:cs="仿宋_GB2312" w:eastAsia="仿宋_GB2312"/>
                      <w:sz w:val="20"/>
                      <w:color w:val="000000"/>
                    </w:rPr>
                    <w:t>5. 质保≥3 年。</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墙板人工</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墙板安装施工服务</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具备两年以上安装经验；</w:t>
                  </w:r>
                  <w:r>
                    <w:br/>
                  </w:r>
                  <w:r>
                    <w:rPr>
                      <w:rFonts w:ascii="仿宋_GB2312" w:hAnsi="仿宋_GB2312" w:cs="仿宋_GB2312" w:eastAsia="仿宋_GB2312"/>
                      <w:sz w:val="20"/>
                      <w:color w:val="000000"/>
                    </w:rPr>
                    <w:t>2. 按工艺规范施工；</w:t>
                  </w:r>
                  <w:r>
                    <w:br/>
                  </w:r>
                  <w:r>
                    <w:rPr>
                      <w:rFonts w:ascii="仿宋_GB2312" w:hAnsi="仿宋_GB2312" w:cs="仿宋_GB2312" w:eastAsia="仿宋_GB2312"/>
                      <w:sz w:val="20"/>
                      <w:color w:val="000000"/>
                    </w:rPr>
                    <w:t>3. 平整度偏差≤2mm/2m；</w:t>
                  </w:r>
                  <w:r>
                    <w:br/>
                  </w:r>
                  <w:r>
                    <w:rPr>
                      <w:rFonts w:ascii="仿宋_GB2312" w:hAnsi="仿宋_GB2312" w:cs="仿宋_GB2312" w:eastAsia="仿宋_GB2312"/>
                      <w:sz w:val="20"/>
                      <w:color w:val="000000"/>
                    </w:rPr>
                    <w:t>4. 现场防潮防变形；</w:t>
                  </w:r>
                  <w:r>
                    <w:br/>
                  </w:r>
                  <w:r>
                    <w:rPr>
                      <w:rFonts w:ascii="仿宋_GB2312" w:hAnsi="仿宋_GB2312" w:cs="仿宋_GB2312" w:eastAsia="仿宋_GB2312"/>
                      <w:sz w:val="20"/>
                      <w:color w:val="000000"/>
                    </w:rPr>
                    <w:t>5. 质保≥3 年。</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木地板人工</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木地板安装施工服务</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人</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具备两年以上安装经验；</w:t>
                  </w:r>
                  <w:r>
                    <w:br/>
                  </w:r>
                  <w:r>
                    <w:rPr>
                      <w:rFonts w:ascii="仿宋_GB2312" w:hAnsi="仿宋_GB2312" w:cs="仿宋_GB2312" w:eastAsia="仿宋_GB2312"/>
                      <w:sz w:val="20"/>
                      <w:color w:val="000000"/>
                    </w:rPr>
                    <w:t>2. 按规范铺设，预留伸缩缝；</w:t>
                  </w:r>
                  <w:r>
                    <w:br/>
                  </w:r>
                  <w:r>
                    <w:rPr>
                      <w:rFonts w:ascii="仿宋_GB2312" w:hAnsi="仿宋_GB2312" w:cs="仿宋_GB2312" w:eastAsia="仿宋_GB2312"/>
                      <w:sz w:val="20"/>
                      <w:color w:val="000000"/>
                    </w:rPr>
                    <w:t>3. 行走无松动异响；</w:t>
                  </w:r>
                  <w:r>
                    <w:br/>
                  </w:r>
                  <w:r>
                    <w:rPr>
                      <w:rFonts w:ascii="仿宋_GB2312" w:hAnsi="仿宋_GB2312" w:cs="仿宋_GB2312" w:eastAsia="仿宋_GB2312"/>
                      <w:sz w:val="20"/>
                      <w:color w:val="000000"/>
                    </w:rPr>
                    <w:t>4. 做好成品保护；</w:t>
                  </w:r>
                  <w:r>
                    <w:br/>
                  </w:r>
                  <w:r>
                    <w:rPr>
                      <w:rFonts w:ascii="仿宋_GB2312" w:hAnsi="仿宋_GB2312" w:cs="仿宋_GB2312" w:eastAsia="仿宋_GB2312"/>
                      <w:sz w:val="20"/>
                      <w:color w:val="000000"/>
                    </w:rPr>
                    <w:t>5. 质保≥3 年。</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电子设备</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电子设备安装调试服务</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负责设备安装、接线、调试；</w:t>
                  </w:r>
                  <w:r>
                    <w:br/>
                  </w:r>
                  <w:r>
                    <w:rPr>
                      <w:rFonts w:ascii="仿宋_GB2312" w:hAnsi="仿宋_GB2312" w:cs="仿宋_GB2312" w:eastAsia="仿宋_GB2312"/>
                      <w:sz w:val="20"/>
                      <w:color w:val="000000"/>
                    </w:rPr>
                    <w:t>2. 布线整齐、连接牢固；</w:t>
                  </w:r>
                  <w:r>
                    <w:br/>
                  </w:r>
                  <w:r>
                    <w:rPr>
                      <w:rFonts w:ascii="仿宋_GB2312" w:hAnsi="仿宋_GB2312" w:cs="仿宋_GB2312" w:eastAsia="仿宋_GB2312"/>
                      <w:sz w:val="20"/>
                      <w:color w:val="000000"/>
                    </w:rPr>
                    <w:t>3. 联调确保运行稳定；</w:t>
                  </w:r>
                  <w:r>
                    <w:br/>
                  </w:r>
                  <w:r>
                    <w:rPr>
                      <w:rFonts w:ascii="仿宋_GB2312" w:hAnsi="仿宋_GB2312" w:cs="仿宋_GB2312" w:eastAsia="仿宋_GB2312"/>
                      <w:sz w:val="20"/>
                      <w:color w:val="000000"/>
                    </w:rPr>
                    <w:t>4. 配合验收并提供记录；</w:t>
                  </w:r>
                  <w:r>
                    <w:br/>
                  </w:r>
                  <w:r>
                    <w:rPr>
                      <w:rFonts w:ascii="仿宋_GB2312" w:hAnsi="仿宋_GB2312" w:cs="仿宋_GB2312" w:eastAsia="仿宋_GB2312"/>
                      <w:sz w:val="20"/>
                      <w:color w:val="000000"/>
                    </w:rPr>
                    <w:t>5. 施工符合用电安全。</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成品保护</w:t>
                  </w:r>
                </w:p>
              </w:tc>
              <w:tc>
                <w:tcPr>
                  <w:tcW w:type="dxa" w:w="4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施工现场成品保护服务</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保护门窗、墙面、地面、家具等；</w:t>
                  </w:r>
                  <w:r>
                    <w:br/>
                  </w:r>
                  <w:r>
                    <w:rPr>
                      <w:rFonts w:ascii="仿宋_GB2312" w:hAnsi="仿宋_GB2312" w:cs="仿宋_GB2312" w:eastAsia="仿宋_GB2312"/>
                      <w:sz w:val="20"/>
                      <w:color w:val="000000"/>
                    </w:rPr>
                    <w:t>2. 使用专用保护材料；</w:t>
                  </w:r>
                  <w:r>
                    <w:br/>
                  </w:r>
                  <w:r>
                    <w:rPr>
                      <w:rFonts w:ascii="仿宋_GB2312" w:hAnsi="仿宋_GB2312" w:cs="仿宋_GB2312" w:eastAsia="仿宋_GB2312"/>
                      <w:sz w:val="20"/>
                      <w:color w:val="000000"/>
                    </w:rPr>
                    <w:t>3. 包裹覆盖到位，防刮碰污染；</w:t>
                  </w:r>
                  <w:r>
                    <w:br/>
                  </w:r>
                  <w:r>
                    <w:rPr>
                      <w:rFonts w:ascii="仿宋_GB2312" w:hAnsi="仿宋_GB2312" w:cs="仿宋_GB2312" w:eastAsia="仿宋_GB2312"/>
                      <w:sz w:val="20"/>
                      <w:color w:val="000000"/>
                    </w:rPr>
                    <w:t>4. 竣工完好移交；</w:t>
                  </w:r>
                  <w:r>
                    <w:br/>
                  </w:r>
                  <w:r>
                    <w:rPr>
                      <w:rFonts w:ascii="仿宋_GB2312" w:hAnsi="仿宋_GB2312" w:cs="仿宋_GB2312" w:eastAsia="仿宋_GB2312"/>
                      <w:sz w:val="20"/>
                      <w:color w:val="000000"/>
                    </w:rPr>
                    <w:t>5. 因保护不当损坏由供方负责。</w:t>
                  </w:r>
                </w:p>
              </w:tc>
            </w:tr>
          </w:tbl>
          <w:p>
            <w:pPr>
              <w:pStyle w:val="null3"/>
            </w:pPr>
            <w:r>
              <w:rPr>
                <w:rFonts w:ascii="仿宋_GB2312" w:hAnsi="仿宋_GB2312" w:cs="仿宋_GB2312" w:eastAsia="仿宋_GB2312"/>
                <w:sz w:val="24"/>
              </w:rPr>
              <w:t>三、质量标准</w:t>
            </w:r>
            <w:r>
              <w:rPr>
                <w:rFonts w:ascii="仿宋_GB2312" w:hAnsi="仿宋_GB2312" w:cs="仿宋_GB2312" w:eastAsia="仿宋_GB2312"/>
                <w:sz w:val="24"/>
              </w:rPr>
              <w:t>：</w:t>
            </w:r>
            <w:r>
              <w:rPr>
                <w:rFonts w:ascii="仿宋_GB2312" w:hAnsi="仿宋_GB2312" w:cs="仿宋_GB2312" w:eastAsia="仿宋_GB2312"/>
                <w:sz w:val="24"/>
              </w:rPr>
              <w:t>符合国家现行装修工程质量验收规范</w:t>
            </w:r>
          </w:p>
          <w:p>
            <w:pPr>
              <w:pStyle w:val="null3"/>
              <w:jc w:val="left"/>
            </w:pPr>
            <w:r>
              <w:rPr>
                <w:rFonts w:ascii="仿宋_GB2312" w:hAnsi="仿宋_GB2312" w:cs="仿宋_GB2312" w:eastAsia="仿宋_GB2312"/>
                <w:sz w:val="24"/>
              </w:rPr>
              <w:t>四、工期：自合同签订之日起</w:t>
            </w:r>
            <w:r>
              <w:rPr>
                <w:rFonts w:ascii="仿宋_GB2312" w:hAnsi="仿宋_GB2312" w:cs="仿宋_GB2312" w:eastAsia="仿宋_GB2312"/>
                <w:sz w:val="24"/>
              </w:rPr>
              <w:t>60日历日</w:t>
            </w:r>
          </w:p>
          <w:p>
            <w:pPr>
              <w:pStyle w:val="null3"/>
              <w:jc w:val="left"/>
            </w:pPr>
            <w:r>
              <w:rPr>
                <w:rFonts w:ascii="仿宋_GB2312" w:hAnsi="仿宋_GB2312" w:cs="仿宋_GB2312" w:eastAsia="仿宋_GB2312"/>
                <w:sz w:val="24"/>
              </w:rPr>
              <w:t>五、付款方式：合同签订进场施工后付</w:t>
            </w:r>
            <w:r>
              <w:rPr>
                <w:rFonts w:ascii="仿宋_GB2312" w:hAnsi="仿宋_GB2312" w:cs="仿宋_GB2312" w:eastAsia="仿宋_GB2312"/>
                <w:sz w:val="24"/>
              </w:rPr>
              <w:t>40%；全部竣工、验收合格交付后付60%</w:t>
            </w:r>
          </w:p>
          <w:p>
            <w:pPr>
              <w:pStyle w:val="null3"/>
              <w:jc w:val="left"/>
            </w:pPr>
            <w:r>
              <w:rPr>
                <w:rFonts w:ascii="仿宋_GB2312" w:hAnsi="仿宋_GB2312" w:cs="仿宋_GB2312" w:eastAsia="仿宋_GB2312"/>
                <w:sz w:val="24"/>
              </w:rPr>
              <w:t>六、本项目整体质保期为</w:t>
            </w:r>
            <w:r>
              <w:rPr>
                <w:rFonts w:ascii="仿宋_GB2312" w:hAnsi="仿宋_GB2312" w:cs="仿宋_GB2312" w:eastAsia="仿宋_GB2312"/>
                <w:sz w:val="24"/>
              </w:rPr>
              <w:t>3 年，各分项另有质保要求的，按照各分项技术要求执行。</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标的名称：数字秦岭大厅硬件升级项目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44"/>
                <w:color w:val="000000"/>
              </w:rPr>
              <w:t>技术要求</w:t>
            </w:r>
          </w:p>
          <w:p>
            <w:pPr>
              <w:pStyle w:val="null3"/>
              <w:ind w:firstLine="480"/>
            </w:pPr>
            <w:r>
              <w:rPr>
                <w:rFonts w:ascii="仿宋_GB2312" w:hAnsi="仿宋_GB2312" w:cs="仿宋_GB2312" w:eastAsia="仿宋_GB2312"/>
                <w:sz w:val="24"/>
              </w:rPr>
              <w:t>项目概况：数字秦岭大厅承担指挥调度、业务协同、观摩演示等核心职能，因长期高频运行，装修老化、设备损坏、安防存在隐患，现实施整体升级改造。</w:t>
            </w:r>
          </w:p>
          <w:p>
            <w:pPr>
              <w:pStyle w:val="null3"/>
              <w:ind w:firstLine="480"/>
            </w:pPr>
            <w:r>
              <w:rPr>
                <w:rFonts w:ascii="仿宋_GB2312" w:hAnsi="仿宋_GB2312" w:cs="仿宋_GB2312" w:eastAsia="仿宋_GB2312"/>
                <w:sz w:val="24"/>
              </w:rPr>
              <w:t>项目预算：人民币</w:t>
            </w:r>
            <w:r>
              <w:rPr>
                <w:rFonts w:ascii="仿宋_GB2312" w:hAnsi="仿宋_GB2312" w:cs="仿宋_GB2312" w:eastAsia="仿宋_GB2312"/>
                <w:sz w:val="24"/>
              </w:rPr>
              <w:t>400000.00 元（大写：肆拾万元整）</w:t>
            </w:r>
          </w:p>
          <w:p>
            <w:pPr>
              <w:pStyle w:val="null3"/>
              <w:ind w:firstLine="480"/>
            </w:pPr>
            <w:r>
              <w:rPr>
                <w:rFonts w:ascii="仿宋_GB2312" w:hAnsi="仿宋_GB2312" w:cs="仿宋_GB2312" w:eastAsia="仿宋_GB2312"/>
                <w:sz w:val="24"/>
              </w:rPr>
              <w:t>标段划分：</w:t>
            </w:r>
          </w:p>
          <w:p>
            <w:pPr>
              <w:pStyle w:val="null3"/>
              <w:jc w:val="center"/>
            </w:pPr>
            <w:r>
              <w:rPr>
                <w:rFonts w:ascii="仿宋_GB2312" w:hAnsi="仿宋_GB2312" w:cs="仿宋_GB2312" w:eastAsia="仿宋_GB2312"/>
                <w:sz w:val="24"/>
              </w:rPr>
              <w:t>二标段：分包名称：特殊功能应用电视设备</w:t>
            </w:r>
            <w:r>
              <w:rPr>
                <w:rFonts w:ascii="仿宋_GB2312" w:hAnsi="仿宋_GB2312" w:cs="仿宋_GB2312" w:eastAsia="仿宋_GB2312"/>
                <w:sz w:val="24"/>
              </w:rPr>
              <w:t>（</w:t>
            </w:r>
            <w:r>
              <w:rPr>
                <w:rFonts w:ascii="仿宋_GB2312" w:hAnsi="仿宋_GB2312" w:cs="仿宋_GB2312" w:eastAsia="仿宋_GB2312"/>
                <w:sz w:val="24"/>
              </w:rPr>
              <w:t>预算金额</w:t>
            </w:r>
            <w:r>
              <w:rPr>
                <w:rFonts w:ascii="仿宋_GB2312" w:hAnsi="仿宋_GB2312" w:cs="仿宋_GB2312" w:eastAsia="仿宋_GB2312"/>
                <w:sz w:val="24"/>
              </w:rPr>
              <w:t>60000.00元）</w:t>
            </w:r>
          </w:p>
          <w:p>
            <w:pPr>
              <w:pStyle w:val="null3"/>
              <w:jc w:val="center"/>
            </w:pPr>
            <w:r>
              <w:rPr>
                <w:rFonts w:ascii="仿宋_GB2312" w:hAnsi="仿宋_GB2312" w:cs="仿宋_GB2312" w:eastAsia="仿宋_GB2312"/>
                <w:sz w:val="24"/>
                <w:b/>
              </w:rPr>
              <w:t>二标段</w:t>
            </w:r>
            <w:r>
              <w:rPr>
                <w:rFonts w:ascii="仿宋_GB2312" w:hAnsi="仿宋_GB2312" w:cs="仿宋_GB2312" w:eastAsia="仿宋_GB2312"/>
                <w:sz w:val="24"/>
                <w:b/>
              </w:rPr>
              <w:t>：</w:t>
            </w:r>
            <w:r>
              <w:rPr>
                <w:rFonts w:ascii="仿宋_GB2312" w:hAnsi="仿宋_GB2312" w:cs="仿宋_GB2312" w:eastAsia="仿宋_GB2312"/>
                <w:sz w:val="24"/>
                <w:b/>
              </w:rPr>
              <w:t>分包名称：特殊功能应用电视设备</w:t>
            </w:r>
          </w:p>
          <w:p>
            <w:pPr>
              <w:pStyle w:val="null3"/>
              <w:ind w:firstLine="480"/>
            </w:pPr>
            <w:r>
              <w:rPr>
                <w:rFonts w:ascii="仿宋_GB2312" w:hAnsi="仿宋_GB2312" w:cs="仿宋_GB2312" w:eastAsia="仿宋_GB2312"/>
                <w:sz w:val="24"/>
              </w:rPr>
              <w:t>一、供货范围</w:t>
            </w:r>
          </w:p>
          <w:p>
            <w:pPr>
              <w:pStyle w:val="null3"/>
              <w:ind w:firstLine="480"/>
            </w:pPr>
            <w:r>
              <w:rPr>
                <w:rFonts w:ascii="仿宋_GB2312" w:hAnsi="仿宋_GB2312" w:cs="仿宋_GB2312" w:eastAsia="仿宋_GB2312"/>
                <w:sz w:val="24"/>
              </w:rPr>
              <w:t>密码指纹锁、电子桌签、上墙显示屏、</w:t>
            </w:r>
            <w:r>
              <w:rPr>
                <w:rFonts w:ascii="仿宋_GB2312" w:hAnsi="仿宋_GB2312" w:cs="仿宋_GB2312" w:eastAsia="仿宋_GB2312"/>
                <w:sz w:val="24"/>
              </w:rPr>
              <w:t>LED 屏、管线机等设备的采购、运输、安装、调试</w:t>
            </w:r>
            <w:r>
              <w:rPr>
                <w:rFonts w:ascii="仿宋_GB2312" w:hAnsi="仿宋_GB2312" w:cs="仿宋_GB2312" w:eastAsia="仿宋_GB2312"/>
                <w:sz w:val="24"/>
              </w:rPr>
              <w:t>等</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二、主要设备技术参数</w:t>
            </w:r>
          </w:p>
          <w:tbl>
            <w:tblPr>
              <w:tblBorders>
                <w:top w:val="none" w:color="000000" w:sz="4"/>
                <w:left w:val="none" w:color="000000" w:sz="4"/>
                <w:bottom w:val="none" w:color="000000" w:sz="4"/>
                <w:right w:val="none" w:color="000000" w:sz="4"/>
                <w:insideH w:val="none"/>
                <w:insideV w:val="none"/>
              </w:tblBorders>
            </w:tblPr>
            <w:tblGrid>
              <w:gridCol w:w="162"/>
              <w:gridCol w:w="302"/>
              <w:gridCol w:w="470"/>
              <w:gridCol w:w="165"/>
              <w:gridCol w:w="162"/>
              <w:gridCol w:w="1291"/>
            </w:tblGrid>
            <w:tr>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3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项目内容</w:t>
                  </w:r>
                </w:p>
              </w:tc>
              <w:tc>
                <w:tcPr>
                  <w:tcW w:type="dxa" w:w="4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配置要求</w:t>
                  </w:r>
                </w:p>
              </w:tc>
              <w:tc>
                <w:tcPr>
                  <w:tcW w:type="dxa" w:w="1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c>
                <w:tcPr>
                  <w:tcW w:type="dxa" w:w="1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c>
                <w:tcPr>
                  <w:tcW w:type="dxa" w:w="12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技术参数</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密码指纹锁</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智能指纹密码锁，适配常规标准门体安装</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1.识别方式：支持指纹、密码、机械钥匙多种解锁方式，识别响应快；</w:t>
                  </w:r>
                  <w:r>
                    <w:br/>
                  </w:r>
                  <w:r>
                    <w:rPr>
                      <w:rFonts w:ascii="仿宋_GB2312" w:hAnsi="仿宋_GB2312" w:cs="仿宋_GB2312" w:eastAsia="仿宋_GB2312"/>
                      <w:sz w:val="20"/>
                      <w:color w:val="000000"/>
                    </w:rPr>
                    <w:t>2.安全性能：配置 C 级锁芯，具备防撬报警、防猫眼开启功能，符合国家安防相关标准；</w:t>
                  </w:r>
                  <w:r>
                    <w:br/>
                  </w:r>
                  <w:r>
                    <w:rPr>
                      <w:rFonts w:ascii="仿宋_GB2312" w:hAnsi="仿宋_GB2312" w:cs="仿宋_GB2312" w:eastAsia="仿宋_GB2312"/>
                      <w:sz w:val="20"/>
                      <w:color w:val="000000"/>
                    </w:rPr>
                    <w:t>3.供电方式：可充电电池供电，具备低电量提醒功能与应急供电能力；</w:t>
                  </w:r>
                  <w:r>
                    <w:br/>
                  </w:r>
                  <w:r>
                    <w:rPr>
                      <w:rFonts w:ascii="仿宋_GB2312" w:hAnsi="仿宋_GB2312" w:cs="仿宋_GB2312" w:eastAsia="仿宋_GB2312"/>
                      <w:sz w:val="20"/>
                      <w:color w:val="000000"/>
                    </w:rPr>
                    <w:t>4.功能：具备防试开锁定、操作日志查询功能，适配现场门体安装。</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电子桌签</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桌面式电子桌签，满足会议信息显示需求</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1.显示性能：高清显示，可视角度≥170°，支持多语言显示与内容更新；</w:t>
                  </w:r>
                  <w:r>
                    <w:br/>
                  </w:r>
                  <w:r>
                    <w:rPr>
                      <w:rFonts w:ascii="仿宋_GB2312" w:hAnsi="仿宋_GB2312" w:cs="仿宋_GB2312" w:eastAsia="仿宋_GB2312"/>
                      <w:sz w:val="20"/>
                      <w:color w:val="000000"/>
                    </w:rPr>
                    <w:t>2.供电方式：电池供电，单次续航时间满足长期使用需求，低功耗设计；</w:t>
                  </w:r>
                  <w:r>
                    <w:br/>
                  </w:r>
                  <w:r>
                    <w:rPr>
                      <w:rFonts w:ascii="仿宋_GB2312" w:hAnsi="仿宋_GB2312" w:cs="仿宋_GB2312" w:eastAsia="仿宋_GB2312"/>
                      <w:sz w:val="20"/>
                      <w:color w:val="000000"/>
                    </w:rPr>
                    <w:t>3.控制方式：支持无线方式批量更新内容，便于集中管理；</w:t>
                  </w:r>
                  <w:r>
                    <w:br/>
                  </w:r>
                  <w:r>
                    <w:rPr>
                      <w:rFonts w:ascii="仿宋_GB2312" w:hAnsi="仿宋_GB2312" w:cs="仿宋_GB2312" w:eastAsia="仿宋_GB2312"/>
                      <w:sz w:val="20"/>
                      <w:color w:val="000000"/>
                    </w:rPr>
                    <w:t>4.外观与安装：桌面摆放式，无频闪、低蓝光，适配办公场景使用。</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LED屏（核心产品）</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室内高清</w:t>
                  </w:r>
                  <w:r>
                    <w:rPr>
                      <w:rFonts w:ascii="仿宋_GB2312" w:hAnsi="仿宋_GB2312" w:cs="仿宋_GB2312" w:eastAsia="仿宋_GB2312"/>
                      <w:sz w:val="20"/>
                      <w:color w:val="000000"/>
                    </w:rPr>
                    <w:t>LED 显示屏，按现场实际尺寸定制，像素间距≤1.5mm</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1.显示性能：亮度≥500cd/㎡，对比度≥3000:1，刷新率≥3840Hz，屏幕无坏点；</w:t>
                  </w:r>
                  <w:r>
                    <w:br/>
                  </w:r>
                  <w:r>
                    <w:rPr>
                      <w:rFonts w:ascii="仿宋_GB2312" w:hAnsi="仿宋_GB2312" w:cs="仿宋_GB2312" w:eastAsia="仿宋_GB2312"/>
                      <w:sz w:val="20"/>
                      <w:color w:val="000000"/>
                    </w:rPr>
                    <w:t>2.分辨率：支持 1920×1080 及以上高清信号输入；</w:t>
                  </w:r>
                  <w:r>
                    <w:br/>
                  </w:r>
                  <w:r>
                    <w:rPr>
                      <w:rFonts w:ascii="仿宋_GB2312" w:hAnsi="仿宋_GB2312" w:cs="仿宋_GB2312" w:eastAsia="仿宋_GB2312"/>
                      <w:sz w:val="20"/>
                      <w:color w:val="000000"/>
                    </w:rPr>
                    <w:t>3.安装辅材：含钢结构、电源、控制系统、线材等全套安装辅材；</w:t>
                  </w:r>
                  <w:r>
                    <w:br/>
                  </w:r>
                  <w:r>
                    <w:rPr>
                      <w:rFonts w:ascii="仿宋_GB2312" w:hAnsi="仿宋_GB2312" w:cs="仿宋_GB2312" w:eastAsia="仿宋_GB2312"/>
                      <w:sz w:val="20"/>
                      <w:color w:val="000000"/>
                    </w:rPr>
                    <w:t>4.验收标准：画面显示均匀、无马赛克，安装牢固可靠，满足现场使用要求。</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管线机</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壁挂式管线直饮机，适配常规饮用水管路连接</w:t>
                  </w:r>
                </w:p>
              </w:tc>
              <w:tc>
                <w:tcPr>
                  <w:tcW w:type="dxa" w:w="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1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1.出水模式：支持多档水温调节，至少包含常温、热水模式，满足日常饮用；</w:t>
                  </w:r>
                  <w:r>
                    <w:br/>
                  </w:r>
                  <w:r>
                    <w:rPr>
                      <w:rFonts w:ascii="仿宋_GB2312" w:hAnsi="仿宋_GB2312" w:cs="仿宋_GB2312" w:eastAsia="仿宋_GB2312"/>
                      <w:sz w:val="20"/>
                      <w:color w:val="000000"/>
                    </w:rPr>
                    <w:t>2.安全保护：具备防干烧、防漏水、童锁功能，采用水电分离设计；</w:t>
                  </w:r>
                  <w:r>
                    <w:br/>
                  </w:r>
                  <w:r>
                    <w:rPr>
                      <w:rFonts w:ascii="仿宋_GB2312" w:hAnsi="仿宋_GB2312" w:cs="仿宋_GB2312" w:eastAsia="仿宋_GB2312"/>
                      <w:sz w:val="20"/>
                      <w:color w:val="000000"/>
                    </w:rPr>
                    <w:t>3.材质要求：水接触部件采用食品级材质，符合国家饮用水卫生相关标准；</w:t>
                  </w:r>
                  <w:r>
                    <w:br/>
                  </w:r>
                  <w:r>
                    <w:rPr>
                      <w:rFonts w:ascii="仿宋_GB2312" w:hAnsi="仿宋_GB2312" w:cs="仿宋_GB2312" w:eastAsia="仿宋_GB2312"/>
                      <w:sz w:val="20"/>
                      <w:color w:val="000000"/>
                    </w:rPr>
                    <w:t>4.安装：壁挂式安装，适配现场墙面，安装后无漏水隐患。</w:t>
                  </w:r>
                </w:p>
              </w:tc>
            </w:tr>
          </w:tbl>
          <w:p>
            <w:pPr>
              <w:pStyle w:val="null3"/>
            </w:pPr>
            <w:r>
              <w:rPr>
                <w:rFonts w:ascii="仿宋_GB2312" w:hAnsi="仿宋_GB2312" w:cs="仿宋_GB2312" w:eastAsia="仿宋_GB2312"/>
                <w:sz w:val="24"/>
              </w:rPr>
              <w:t>三、质量标准</w:t>
            </w:r>
            <w:r>
              <w:rPr>
                <w:rFonts w:ascii="仿宋_GB2312" w:hAnsi="仿宋_GB2312" w:cs="仿宋_GB2312" w:eastAsia="仿宋_GB2312"/>
                <w:sz w:val="24"/>
              </w:rPr>
              <w:t>：</w:t>
            </w:r>
            <w:r>
              <w:rPr>
                <w:rFonts w:ascii="仿宋_GB2312" w:hAnsi="仿宋_GB2312" w:cs="仿宋_GB2312" w:eastAsia="仿宋_GB2312"/>
                <w:sz w:val="24"/>
              </w:rPr>
              <w:t>合格</w:t>
            </w:r>
          </w:p>
          <w:p>
            <w:pPr>
              <w:pStyle w:val="null3"/>
              <w:jc w:val="left"/>
            </w:pPr>
            <w:r>
              <w:rPr>
                <w:rFonts w:ascii="仿宋_GB2312" w:hAnsi="仿宋_GB2312" w:cs="仿宋_GB2312" w:eastAsia="仿宋_GB2312"/>
                <w:sz w:val="24"/>
              </w:rPr>
              <w:t>四、交货期：</w:t>
            </w:r>
            <w:r>
              <w:rPr>
                <w:rFonts w:ascii="仿宋_GB2312" w:hAnsi="仿宋_GB2312" w:cs="仿宋_GB2312" w:eastAsia="仿宋_GB2312"/>
                <w:sz w:val="24"/>
              </w:rPr>
              <w:t>60 日历日，自采购人发出交货通知之日起计算，供货工作须待本项目前期施工全部竣工完成后方可启动。</w:t>
            </w:r>
          </w:p>
          <w:p>
            <w:pPr>
              <w:pStyle w:val="null3"/>
              <w:jc w:val="left"/>
            </w:pPr>
            <w:r>
              <w:rPr>
                <w:rFonts w:ascii="仿宋_GB2312" w:hAnsi="仿宋_GB2312" w:cs="仿宋_GB2312" w:eastAsia="仿宋_GB2312"/>
                <w:sz w:val="24"/>
              </w:rPr>
              <w:t>五、付款方式：</w:t>
            </w:r>
            <w:r>
              <w:rPr>
                <w:rFonts w:ascii="仿宋_GB2312" w:hAnsi="仿宋_GB2312" w:cs="仿宋_GB2312" w:eastAsia="仿宋_GB2312"/>
                <w:sz w:val="24"/>
              </w:rPr>
              <w:t>货物安装、调试完成后，经采购人检验合格后一次性付清</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六、本项目整体质保期为</w:t>
            </w:r>
            <w:r>
              <w:rPr>
                <w:rFonts w:ascii="仿宋_GB2312" w:hAnsi="仿宋_GB2312" w:cs="仿宋_GB2312" w:eastAsia="仿宋_GB2312"/>
                <w:sz w:val="24"/>
              </w:rPr>
              <w:t>3 年，各分项另有质保要求的，按照各分项技术要求执行。</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符合国家现行装修工程质量验收规范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详见技术要求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详见技术要求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中小企业声明函.docx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1、资格要求-秦岭合同包1.docx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提供法定代表人授权书（附法定代表人、被授权人身份证复印件），法定代表人直接参加投标，须提供法定代表人身份证明（附法定代表人身份证复印件）；</w:t>
            </w:r>
          </w:p>
        </w:tc>
        <w:tc>
          <w:tcPr>
            <w:tcW w:type="dxa" w:w="1661"/>
          </w:tcPr>
          <w:p>
            <w:pPr>
              <w:pStyle w:val="null3"/>
            </w:pPr>
            <w:r>
              <w:rPr>
                <w:rFonts w:ascii="仿宋_GB2312" w:hAnsi="仿宋_GB2312" w:cs="仿宋_GB2312" w:eastAsia="仿宋_GB2312"/>
              </w:rPr>
              <w:t>1、资格要求-秦岭合同包1.docx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1、资格要求-秦岭合同包1.docx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提供磋商截止日前近一年内至少一个月的纳税证明或完税证明，依法免税的单位应提供相关证明材料</w:t>
            </w:r>
          </w:p>
        </w:tc>
        <w:tc>
          <w:tcPr>
            <w:tcW w:type="dxa" w:w="1661"/>
          </w:tcPr>
          <w:p>
            <w:pPr>
              <w:pStyle w:val="null3"/>
            </w:pPr>
            <w:r>
              <w:rPr>
                <w:rFonts w:ascii="仿宋_GB2312" w:hAnsi="仿宋_GB2312" w:cs="仿宋_GB2312" w:eastAsia="仿宋_GB2312"/>
              </w:rPr>
              <w:t>1、资格要求-秦岭合同包1.docx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提供磋商截止日前近一年内至少一个月的社会保障资金缴存单据或社保机构开具的社会保险 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1、资格要求-秦岭合同包1.docx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履行本合同所必需的设备和专业技术能力的说明及承诺书</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1、资格要求-秦岭合同包1.docx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1、资格要求-秦岭合同包1.docx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1、资格要求-秦岭合同包1.docx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具备建设行政主管部门核发的建筑工程施工总承包三级及以上或建筑装饰装修工程专业承包二级及以上资质，并在人员、设备、资金等方面具备相应的能力，且具备合法有效的安全生产许可证；</w:t>
            </w:r>
          </w:p>
        </w:tc>
        <w:tc>
          <w:tcPr>
            <w:tcW w:type="dxa" w:w="1661"/>
          </w:tcPr>
          <w:p>
            <w:pPr>
              <w:pStyle w:val="null3"/>
            </w:pPr>
            <w:r>
              <w:rPr>
                <w:rFonts w:ascii="仿宋_GB2312" w:hAnsi="仿宋_GB2312" w:cs="仿宋_GB2312" w:eastAsia="仿宋_GB2312"/>
              </w:rPr>
              <w:t>1、资格要求-秦岭合同包1.docx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拟投入的项目经理须提供在本单位注册的建筑工程专业贰级（含贰级）及以上注册建造师及有效的安全生产考核合格证；（提供无在建承诺）</w:t>
            </w:r>
          </w:p>
        </w:tc>
        <w:tc>
          <w:tcPr>
            <w:tcW w:type="dxa" w:w="1661"/>
          </w:tcPr>
          <w:p>
            <w:pPr>
              <w:pStyle w:val="null3"/>
            </w:pPr>
            <w:r>
              <w:rPr>
                <w:rFonts w:ascii="仿宋_GB2312" w:hAnsi="仿宋_GB2312" w:cs="仿宋_GB2312" w:eastAsia="仿宋_GB2312"/>
              </w:rPr>
              <w:t>1、资格要求-秦岭合同包1.docx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1、资格要求-秦岭合同包1.docx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本项目专门面向中小企业采购，提供中小企业声明函；</w:t>
            </w:r>
          </w:p>
        </w:tc>
        <w:tc>
          <w:tcPr>
            <w:tcW w:type="dxa" w:w="1661"/>
          </w:tcPr>
          <w:p>
            <w:pPr>
              <w:pStyle w:val="null3"/>
            </w:pPr>
            <w:r>
              <w:rPr>
                <w:rFonts w:ascii="仿宋_GB2312" w:hAnsi="仿宋_GB2312" w:cs="仿宋_GB2312" w:eastAsia="仿宋_GB2312"/>
              </w:rPr>
              <w:t>1、资格要求-秦岭合同包1.docx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本项目不接受联合体磋商（需提供承诺书）。</w:t>
            </w:r>
          </w:p>
        </w:tc>
        <w:tc>
          <w:tcPr>
            <w:tcW w:type="dxa" w:w="1661"/>
          </w:tcPr>
          <w:p>
            <w:pPr>
              <w:pStyle w:val="null3"/>
            </w:pPr>
            <w:r>
              <w:rPr>
                <w:rFonts w:ascii="仿宋_GB2312" w:hAnsi="仿宋_GB2312" w:cs="仿宋_GB2312" w:eastAsia="仿宋_GB2312"/>
              </w:rPr>
              <w:t>1、资格要求-秦岭合同包1.docx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1、资格要求-秦岭合同包2.docx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提供法定代表人授权书（附法定代表人、被授权人身份证复印件），法定代表人直接参加投标，须提供法定代表人身份证明（附法定代表人身份证复印件）；</w:t>
            </w:r>
          </w:p>
        </w:tc>
        <w:tc>
          <w:tcPr>
            <w:tcW w:type="dxa" w:w="1661"/>
          </w:tcPr>
          <w:p>
            <w:pPr>
              <w:pStyle w:val="null3"/>
            </w:pPr>
            <w:r>
              <w:rPr>
                <w:rFonts w:ascii="仿宋_GB2312" w:hAnsi="仿宋_GB2312" w:cs="仿宋_GB2312" w:eastAsia="仿宋_GB2312"/>
              </w:rPr>
              <w:t>1、资格要求-秦岭合同包2.docx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1、资格要求-秦岭合同包2.docx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提供磋商截止日前近一年内至少一个月的纳税证明或完税证明，依法免税的单位应提供相关证明材料</w:t>
            </w:r>
          </w:p>
        </w:tc>
        <w:tc>
          <w:tcPr>
            <w:tcW w:type="dxa" w:w="1661"/>
          </w:tcPr>
          <w:p>
            <w:pPr>
              <w:pStyle w:val="null3"/>
            </w:pPr>
            <w:r>
              <w:rPr>
                <w:rFonts w:ascii="仿宋_GB2312" w:hAnsi="仿宋_GB2312" w:cs="仿宋_GB2312" w:eastAsia="仿宋_GB2312"/>
              </w:rPr>
              <w:t>1、资格要求-秦岭合同包2.docx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提供磋商截止日前近一年内至少一个月的社会保障资金缴存单据或社保机构开具的社会保险 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1、资格要求-秦岭合同包2.docx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履行本合同所必需的设备和专业技术能力的说明及承诺书</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1、资格要求-秦岭合同包2.docx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1、资格要求-秦岭合同包2.docx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1、资格要求-秦岭合同包2.docx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1、资格要求-秦岭合同包2.docx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本项目专门面向中小企业采购，提供中小企业声明函；</w:t>
            </w:r>
          </w:p>
        </w:tc>
        <w:tc>
          <w:tcPr>
            <w:tcW w:type="dxa" w:w="1661"/>
          </w:tcPr>
          <w:p>
            <w:pPr>
              <w:pStyle w:val="null3"/>
            </w:pPr>
            <w:r>
              <w:rPr>
                <w:rFonts w:ascii="仿宋_GB2312" w:hAnsi="仿宋_GB2312" w:cs="仿宋_GB2312" w:eastAsia="仿宋_GB2312"/>
              </w:rPr>
              <w:t>1、资格要求-秦岭合同包2.docx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本项目不接受联合体磋商（需提供承诺书）。</w:t>
            </w:r>
          </w:p>
        </w:tc>
        <w:tc>
          <w:tcPr>
            <w:tcW w:type="dxa" w:w="1661"/>
          </w:tcPr>
          <w:p>
            <w:pPr>
              <w:pStyle w:val="null3"/>
            </w:pPr>
            <w:r>
              <w:rPr>
                <w:rFonts w:ascii="仿宋_GB2312" w:hAnsi="仿宋_GB2312" w:cs="仿宋_GB2312" w:eastAsia="仿宋_GB2312"/>
              </w:rPr>
              <w:t>1、资格要求-秦岭合同包2.docx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中小企业声明函 2陕西省政府采购供应商拒绝政府采购领域商业贿赂承诺书.docx 供应商应提交的相关资格证明材料 强制优先采购产品承诺函 响应文件封面 6、分项报价表-合同包1.docx 项目管理机构组成表 残疾人福利性单位声明函 报价函 4服务要求及商务要求偏离表.docx 标的清单 1、资格要求-秦岭合同包1.docx 5其他.docx 响应函 主要人员简历表 监狱企业的证明文件 3磋商服务方案.docx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 xml:space="preserve"> 磋商响应文件格式</w:t>
            </w:r>
          </w:p>
        </w:tc>
        <w:tc>
          <w:tcPr>
            <w:tcW w:type="dxa" w:w="3322"/>
          </w:tcPr>
          <w:p>
            <w:pPr>
              <w:pStyle w:val="null3"/>
            </w:pPr>
            <w:r>
              <w:rPr>
                <w:rFonts w:ascii="仿宋_GB2312" w:hAnsi="仿宋_GB2312" w:cs="仿宋_GB2312" w:eastAsia="仿宋_GB2312"/>
              </w:rPr>
              <w:t>符合“磋商响应文件格式” 的规定</w:t>
            </w:r>
          </w:p>
        </w:tc>
        <w:tc>
          <w:tcPr>
            <w:tcW w:type="dxa" w:w="1661"/>
          </w:tcPr>
          <w:p>
            <w:pPr>
              <w:pStyle w:val="null3"/>
            </w:pPr>
            <w:r>
              <w:rPr>
                <w:rFonts w:ascii="仿宋_GB2312" w:hAnsi="仿宋_GB2312" w:cs="仿宋_GB2312" w:eastAsia="仿宋_GB2312"/>
              </w:rPr>
              <w:t>已标价工程量清单 中小企业声明函 2陕西省政府采购供应商拒绝政府采购领域商业贿赂承诺书.docx 供应商应提交的相关资格证明材料 强制优先采购产品承诺函 响应文件封面 6、分项报价表-合同包1.docx 项目管理机构组成表 残疾人福利性单位声明函 4服务要求及商务要求偏离表.docx 1、资格要求-秦岭合同包1.docx 5其他.docx 响应函 主要人员简历表 监狱企业的证明文件 3磋商服务方案.docx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 xml:space="preserve"> 按照磋商文件格式要求进行签署盖章</w:t>
            </w:r>
          </w:p>
        </w:tc>
        <w:tc>
          <w:tcPr>
            <w:tcW w:type="dxa" w:w="1661"/>
          </w:tcPr>
          <w:p>
            <w:pPr>
              <w:pStyle w:val="null3"/>
            </w:pPr>
            <w:r>
              <w:rPr>
                <w:rFonts w:ascii="仿宋_GB2312" w:hAnsi="仿宋_GB2312" w:cs="仿宋_GB2312" w:eastAsia="仿宋_GB2312"/>
              </w:rPr>
              <w:t>已标价工程量清单 中小企业声明函 2陕西省政府采购供应商拒绝政府采购领域商业贿赂承诺书.docx 供应商应提交的相关资格证明材料 强制优先采购产品承诺函 响应文件封面 6、分项报价表-合同包1.docx 项目管理机构组成表 残疾人福利性单位声明函 4服务要求及商务要求偏离表.docx 1、资格要求-秦岭合同包1.docx 5其他.docx 响应函 主要人员简历表 监狱企业的证明文件 3磋商服务方案.docx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 xml:space="preserve"> 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已标价工程量清单 中小企业声明函 2陕西省政府采购供应商拒绝政府采购领域商业贿赂承诺书.docx 供应商应提交的相关资格证明材料 强制优先采购产品承诺函 响应文件封面 6、分项报价表-合同包1.docx 项目管理机构组成表 残疾人福利性单位声明函 4服务要求及商务要求偏离表.docx 1、资格要求-秦岭合同包1.docx 5其他.docx 响应函 主要人员简历表 监狱企业的证明文件 3磋商服务方案.docx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 xml:space="preserve"> 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已标价工程量清单 中小企业声明函 2陕西省政府采购供应商拒绝政府采购领域商业贿赂承诺书.docx 供应商应提交的相关资格证明材料 强制优先采购产品承诺函 响应文件封面 6、分项报价表-合同包1.docx 项目管理机构组成表 残疾人福利性单位声明函 4服务要求及商务要求偏离表.docx 1、资格要求-秦岭合同包1.docx 5其他.docx 响应函 主要人员简历表 监狱企业的证明文件 3磋商服务方案.docx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中小企业声明函.docx 2陕西省政府采购供应商拒绝政府采购领域商业贿赂承诺书.docx 供应商应提交的相关资格证明材料 强制优先采购产品承诺函 1、资格要求-秦岭合同包2.docx 响应文件封面 残疾人福利性单位声明函 报价函 4服务要求及商务要求偏离表.docx 6、分项报价表-合同包2.docx 标的清单 5其他.docx 产品技术参数表.docx 响应函 监狱企业的证明文件 3磋商服务方案.docx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 xml:space="preserve"> 有效性审查</w:t>
            </w:r>
          </w:p>
        </w:tc>
        <w:tc>
          <w:tcPr>
            <w:tcW w:type="dxa" w:w="3322"/>
          </w:tcPr>
          <w:p>
            <w:pPr>
              <w:pStyle w:val="null3"/>
            </w:pPr>
            <w:r>
              <w:rPr>
                <w:rFonts w:ascii="仿宋_GB2312" w:hAnsi="仿宋_GB2312" w:cs="仿宋_GB2312" w:eastAsia="仿宋_GB2312"/>
              </w:rPr>
              <w:t>1.磋商响应文件上法定代表人或其授权代表人的 签字齐全并加盖公章；2.应符合“磋商响应文件格式”要求；3.只能有一个有效报价，不得提交 选择性报价，且报价不超过采购预算金额或最高限价。</w:t>
            </w:r>
          </w:p>
        </w:tc>
        <w:tc>
          <w:tcPr>
            <w:tcW w:type="dxa" w:w="1661"/>
          </w:tcPr>
          <w:p>
            <w:pPr>
              <w:pStyle w:val="null3"/>
            </w:pPr>
            <w:r>
              <w:rPr>
                <w:rFonts w:ascii="仿宋_GB2312" w:hAnsi="仿宋_GB2312" w:cs="仿宋_GB2312" w:eastAsia="仿宋_GB2312"/>
              </w:rPr>
              <w:t>中小企业声明函.docx 2陕西省政府采购供应商拒绝政府采购领域商业贿赂承诺书.docx 供应商应提交的相关资格证明材料 强制优先采购产品承诺函 1、资格要求-秦岭合同包2.docx 响应文件封面 残疾人福利性单位声明函 报价函 6、分项报价表-合同包2.docx 4服务要求及商务要求偏离表.docx 标的清单 产品技术参数表.docx 5其他.docx 响应函 监狱企业的证明文件 3磋商服务方案.docx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 xml:space="preserve"> 完整性审查</w:t>
            </w:r>
          </w:p>
        </w:tc>
        <w:tc>
          <w:tcPr>
            <w:tcW w:type="dxa" w:w="3322"/>
          </w:tcPr>
          <w:p>
            <w:pPr>
              <w:pStyle w:val="null3"/>
            </w:pPr>
            <w:r>
              <w:rPr>
                <w:rFonts w:ascii="仿宋_GB2312" w:hAnsi="仿宋_GB2312" w:cs="仿宋_GB2312" w:eastAsia="仿宋_GB2312"/>
              </w:rPr>
              <w:t>磋商响应文件内容齐全、无遗漏 (除评标因素外)</w:t>
            </w:r>
          </w:p>
        </w:tc>
        <w:tc>
          <w:tcPr>
            <w:tcW w:type="dxa" w:w="1661"/>
          </w:tcPr>
          <w:p>
            <w:pPr>
              <w:pStyle w:val="null3"/>
            </w:pPr>
            <w:r>
              <w:rPr>
                <w:rFonts w:ascii="仿宋_GB2312" w:hAnsi="仿宋_GB2312" w:cs="仿宋_GB2312" w:eastAsia="仿宋_GB2312"/>
              </w:rPr>
              <w:t>中小企业声明函.docx 2陕西省政府采购供应商拒绝政府采购领域商业贿赂承诺书.docx 供应商应提交的相关资格证明材料 强制优先采购产品承诺函 1、资格要求-秦岭合同包2.docx 响应文件封面 残疾人福利性单位声明函 4服务要求及商务要求偏离表.docx 6、分项报价表-合同包2.docx 产品技术参数表.docx 5其他.docx 响应函 监狱企业的证明文件 3磋商服务方案.docx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 xml:space="preserve"> 响应性审查</w:t>
            </w:r>
          </w:p>
        </w:tc>
        <w:tc>
          <w:tcPr>
            <w:tcW w:type="dxa" w:w="3322"/>
          </w:tcPr>
          <w:p>
            <w:pPr>
              <w:pStyle w:val="null3"/>
            </w:pPr>
            <w:r>
              <w:rPr>
                <w:rFonts w:ascii="仿宋_GB2312" w:hAnsi="仿宋_GB2312" w:cs="仿宋_GB2312" w:eastAsia="仿宋_GB2312"/>
              </w:rPr>
              <w:t>1.要求全面响应，不能有任何采购人不能接受的附加条件；2.响应文件中供货期及质保期应满足磋商文件中要求； 3.磋商有效期应满足磋商文件中的规定</w:t>
            </w:r>
          </w:p>
        </w:tc>
        <w:tc>
          <w:tcPr>
            <w:tcW w:type="dxa" w:w="1661"/>
          </w:tcPr>
          <w:p>
            <w:pPr>
              <w:pStyle w:val="null3"/>
            </w:pPr>
            <w:r>
              <w:rPr>
                <w:rFonts w:ascii="仿宋_GB2312" w:hAnsi="仿宋_GB2312" w:cs="仿宋_GB2312" w:eastAsia="仿宋_GB2312"/>
              </w:rPr>
              <w:t>中小企业声明函.docx 2陕西省政府采购供应商拒绝政府采购领域商业贿赂承诺书.docx 供应商应提交的相关资格证明材料 强制优先采购产品承诺函 1、资格要求-秦岭合同包2.docx 响应文件封面 残疾人福利性单位声明函 4服务要求及商务要求偏离表.docx 6、分项报价表-合同包2.docx 产品技术参数表.docx 5其他.docx 响应函 监狱企业的证明文件 3磋商服务方案.docx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②施工准备：技术准备、材料准备③施工平面布置与安排：现场围挡及收入口管理、交通组织安排、消防及道路安排。 二、评审标准 1、完整性：方案必须全面，对评审内容中的各项要求有详细描述；2、可实施性：切合本项目实际情况，提出步骤清晰、合理的方案；3、针对性：方案能够紧扣项目实际情况，内容科学合理。 三、赋分标准（满分9分） ①施工目标：每完全满足一个评审标准得1分，满分3分；②施工准备：每完全满足一个评审标准得1分，满分3分；③施工平面布置与安排：每完全满足一个评审标准得1分，满分3分。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供应商针对本项目编制完善的施工进度计划，内容包含：①施工进度计划横道图②进度计划保证措施③工期保证措施。 二、二、评审标准 1、完整性：方案必须全面，对评审内容中的各项要求有详细描述；2、可实施性：切合本项目实际情况，提出步骤清晰、合理的方案；3、针对性：方案能够紧扣项目实际情况，内容科学合理。 三、赋分标准（满分9分） ①施工进度计划图：每完全满足一个评审标准得1分，满分3分； ②进度计划保证措施：每完全满足一个评审标准得1分，满分3分；③工期保证措施：每完全满足一个评审标准得1分，满分3分。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供应商针对本项目编制完善的施工方案内容包含：①工程重难点及解决措施②工程施工方法③施工质量通病防治措施。 二、评审标准 1、完整性：方案必须全面，对评审内容中的各项要求有详细描述；2、可实施性：切合本项目实际情况，提出步骤清晰、合理的方案； 3、针对性：方案能够紧扣项目实际情况，内容科学合理。 三、赋分标准（15分） ①工程重难点及解决措施：每完全满足一个评审标准得2分，满分6分；②工程施工方法：每完全满足一个评审标准得2分，满分6分； ③施工质量通病防治措施：每完全满足一个评审标准得1分，满分3分。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供应商针对本项目编制完善的质量保证措施，内容包含：①质量目标管理体系②施工质量的检验制度③确保质量的技术组织措施④施工质量控制措施。 二、评审标准 1、完整性：方案必须全面，对评审内容中的各项要求有详细描述； 2、可实施性：切合本项目实际情况，提出步骤清晰、合理的方案； 3、针对性：方案能够紧扣项目实际情况，内容科学合理。 三、赋分标准（满分6分） ①质量目标管理体系：每完全满足一个评审标准得0.5分，满分1.5分； ②施工质量检验制度：每完全满足一个评审标准得0.5分，满分1.5分； ③确保质量的技术组织措施：每完全满足一个评审标准得0.5分，满分1.5分； ④施工质量控制措施：每完全满足一个评审标准得0.5分，满分1.5分。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 供应商针对本项目编制完整的安全施工措施，内容包含：①安全生产管理制度②安全施工措施③安全应急预案④安全生产教育。 二、评审标准 1、完整性：方案必须全面，对评审内容中的各项要求有详细描述； 2、可实施性：切合本项目实际情况，提出步骤清晰、合理的方案； 3、针对性：方案能够紧扣项目实际情况，内容科学合理。 三、赋分标准（满分6分） ①安全生产管理制度：每完全满足一个评审标准得0.5分，满分1.5分； ②安全施工措施：每完全满足一个评审标准得0.5分，满分1.5分； ③安全应急预案：每完全满足一个评审标准得0.5分，满分1.5分；④安全生产教育：每完全满足一个评审标准得0.5分，满分1.5分。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供应商针对本项目编制科学的项目管理机构，内容包含：①管理机构的配备计划及管理人员证书②组织机构的岗位职责。 二、评审标准 1、完整性：方案必须全面，对评审内容中的各项要求有详细描述； 2、可实施性：切合本项目实际情况，提出步骤清晰、合理的方案； 3、针对性：方案能够紧扣项目实际情况，内容科学合理。 三、赋分标准（满分12分） ①管理机构的配备计划：每完全满足一个评审标准得2分，满分6分； ②组织机构的岗位职责：每完全满足一个评审标准得2分，满分6分。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一、评审内容 针对本项目具有①新材料②新技术和新工艺的应用情况。 二、评审标准 1、完整性：方案必须全面，对评审内容中的各项要求有详细描述； 2、可实施性：切合本项目实际情况，提出步骤清晰、合理的方案；3、针对性：方案能够紧扣项目实际情况，内容科学合理。 三、赋分标准（满分3分）①新材料：每完全满足一个评审标准得0.5分，满分1.5分； ②新技术和新工艺：每完全满足一个评审标准得0.5分，满分1.5分。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针对本项目作出合理有效的工程施工承诺（主要体现不得拖欠施工人员工资、给施工人员缴纳保险、降低工程造价等），每提供1条得2分，满分4分；不提供不得分。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起至今的类似业绩证明材料，时间以合同签订日期为准，（文件中附合同复印件），每提供一项上述业绩的得2分，最高得6分。不提供或缺项不得分。（合同至少包括首页、采购内容页、金额页、甲乙双方签字盖章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满足磋商文件要求且最后报价最低的供应商的价格为磋商基准价得30分，其他各供应商的最后报价得分按下列公式计算：（磋商基准价/最后磋商报价）×30％×100。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6、分项报价表-合同包1.docx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产品参数</w:t>
            </w:r>
          </w:p>
        </w:tc>
        <w:tc>
          <w:tcPr>
            <w:tcW w:type="dxa" w:w="2492"/>
          </w:tcPr>
          <w:p>
            <w:pPr>
              <w:pStyle w:val="null3"/>
            </w:pPr>
            <w:r>
              <w:rPr>
                <w:rFonts w:ascii="仿宋_GB2312" w:hAnsi="仿宋_GB2312" w:cs="仿宋_GB2312" w:eastAsia="仿宋_GB2312"/>
              </w:rPr>
              <w:t>根据磋商文件要求认真审核磋商响应文件中技术参数响应和提供的佐证材料，每有一项负偏离的扣1.5分；每扣完为止。本项最高20分，最低得0分。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一、供应商提供具体完善的实施方案，包括但不限于：①供货方案；②运输、包装方案；③安装、调试方案；④质量保障方案；⑤进度保障方案；并按照以下标准评审： 二、评审标准 1、完整性：方案必须全面，对评审内容中的各项要求有详细描述； 2、可实施性：切合本项目实际情况，提出步骤清晰、合理的方案； 3、针对性：方案能够紧扣项目实际情况，内容科学合理。 三、赋分标准（满分15分） ①供货方案：每满足一个评审标准得1分，不满足得0分，满分3分； ②运输、包装方案：每满足一个评审标准得1分，不满足得0分，满分3分； ③安装、调试方案：每满足一个评审标准得1分，不满足得0分，满分3分； ④质量保障方案：每满足一个评审标准得1分，不满足得0分，满分3分； ⑤进度保障方案：每满足一个评审标准得1分，不满足得0分，满分3分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针对本项目配备的人员团队，包括但不限于人员配备、团队组织机构、职能分工、专业经验等。（1）人员配备数量满足本项目要求或能够保障本项目的实施的得2分，基本满足得1分，未提供或不满足不得分。（2）提供团队人员详细信息（清单内容应包含：人员姓名、年龄、学历、专业技能、工作经验等）得1分，不提供或缺项不得分； （3）团队组织架构及职能分工科学合理得1分；团队组织架构及职能分工不够合理清晰得0.5分，不提供或缺项不得分。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应急保障方案及措施</w:t>
            </w:r>
          </w:p>
        </w:tc>
        <w:tc>
          <w:tcPr>
            <w:tcW w:type="dxa" w:w="2492"/>
          </w:tcPr>
          <w:p>
            <w:pPr>
              <w:pStyle w:val="null3"/>
            </w:pPr>
            <w:r>
              <w:rPr>
                <w:rFonts w:ascii="仿宋_GB2312" w:hAnsi="仿宋_GB2312" w:cs="仿宋_GB2312" w:eastAsia="仿宋_GB2312"/>
              </w:rPr>
              <w:t>一、评审内容：供应商结合本货物类政府采购项目实际，提供应急保障方案及措施，至少包含：①应急保障总则（含应急目标、适用范围、应急原则）；②应急组织架构及职责（含应急专项小组组成、应急联络机制）；③各类突发事件应急保障措施（至少覆盖供货类、运输类、安装调试类、售后类突发事件）；④应急保障长效机制（含风险排查、应急演练、台账管理）。 二、分项评审标准：1. 完整性：方案内容完整、要素齐全，无遗漏评审内容中要求的核心模块；2. 可实施性：方案逻辑清晰、措施具体合理，贴合本项目货物供货、运输、安装、售后全流程特点，便于落地执行；3. 针对性：紧密结合本货物类政府采购项目实际需求与履约目标，能有效应对项目全过程可能出现的各类突发风险。 三、赋分标准（满分12分）：①应急保障总则：每满足一个分项评审标准得1分，满分3分；②应急组织架构及职责：每满足一个分项评审标准得1分，满分3分；③各类突发事件应急保障措施：每满足一个分项评审标准得1分，满分3分；④应急保障长效机制：每满足一个分项评审标准得1分，满分3分；未提供该项内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一、供应商针对本项目提供详细售后服务方案，包括但不限于①售后服务范围及保障措施②售后服务流程③售后服务响应时间及响应方式；并按以下标准评审： 二、评审标准 1、完整性：方案必须全面，对评审内容中的各项要求有详细描述； 2、可实施性：切合本项目实际情况，提出步骤清晰、合理的方案； 3、针对性：方案能够紧扣项目实际情况，内容科学合理。 三、赋分标准（满分9分） ①售后服务范围及保障措施：每满足一个评审标准得1分，不满足得0分，满分3分； ②售后服务流程：每满足一个评审标准得1分，不满足得0分，满分3分； ③售后服务响应时间及响应方式：每满足一个评审标准得1分，不满足得0分，满分3分。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投标人 2022 年 1 月至今同类项目合同业绩（以合同签订日期为准，业绩合同中至少包含 1 项与本次采购内容相关的产品），每提供 1 个得 2分，最高得 10 分。注：同类项目业绩由供货合同、联系方式、联系人及结算的发票复印件组成，未提供或不全的不得分。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价为评标基准价，其价格分为满分。其他投标人的价格分统一按照下列公式计算：价格分=(评标基准价／投标价)×报价分值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详见附件：1、资格要求-秦岭合同包1.docx</w:t>
      </w:r>
    </w:p>
    <w:p>
      <w:pPr>
        <w:pStyle w:val="null3"/>
        <w:ind w:firstLine="960"/>
      </w:pPr>
      <w:r>
        <w:rPr>
          <w:rFonts w:ascii="仿宋_GB2312" w:hAnsi="仿宋_GB2312" w:cs="仿宋_GB2312" w:eastAsia="仿宋_GB2312"/>
        </w:rPr>
        <w:t>详见附件：2陕西省政府采购供应商拒绝政府采购领域商业贿赂承诺书.docx</w:t>
      </w:r>
    </w:p>
    <w:p>
      <w:pPr>
        <w:pStyle w:val="null3"/>
        <w:ind w:firstLine="960"/>
      </w:pPr>
      <w:r>
        <w:rPr>
          <w:rFonts w:ascii="仿宋_GB2312" w:hAnsi="仿宋_GB2312" w:cs="仿宋_GB2312" w:eastAsia="仿宋_GB2312"/>
        </w:rPr>
        <w:t>详见附件：3磋商服务方案.docx</w:t>
      </w:r>
    </w:p>
    <w:p>
      <w:pPr>
        <w:pStyle w:val="null3"/>
        <w:ind w:firstLine="960"/>
      </w:pPr>
      <w:r>
        <w:rPr>
          <w:rFonts w:ascii="仿宋_GB2312" w:hAnsi="仿宋_GB2312" w:cs="仿宋_GB2312" w:eastAsia="仿宋_GB2312"/>
        </w:rPr>
        <w:t>详见附件：4服务要求及商务要求偏离表.docx</w:t>
      </w:r>
    </w:p>
    <w:p>
      <w:pPr>
        <w:pStyle w:val="null3"/>
        <w:ind w:firstLine="960"/>
      </w:pPr>
      <w:r>
        <w:rPr>
          <w:rFonts w:ascii="仿宋_GB2312" w:hAnsi="仿宋_GB2312" w:cs="仿宋_GB2312" w:eastAsia="仿宋_GB2312"/>
        </w:rPr>
        <w:t>详见附件：5其他.docx</w:t>
      </w:r>
    </w:p>
    <w:p>
      <w:pPr>
        <w:pStyle w:val="null3"/>
        <w:ind w:firstLine="960"/>
      </w:pPr>
      <w:r>
        <w:rPr>
          <w:rFonts w:ascii="仿宋_GB2312" w:hAnsi="仿宋_GB2312" w:cs="仿宋_GB2312" w:eastAsia="仿宋_GB2312"/>
        </w:rPr>
        <w:t>详见附件：6、分项报价表-合同包1.docx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详见附件：1、资格要求-秦岭合同包2.docx</w:t>
      </w:r>
    </w:p>
    <w:p>
      <w:pPr>
        <w:pStyle w:val="null3"/>
        <w:ind w:firstLine="960"/>
      </w:pPr>
      <w:r>
        <w:rPr>
          <w:rFonts w:ascii="仿宋_GB2312" w:hAnsi="仿宋_GB2312" w:cs="仿宋_GB2312" w:eastAsia="仿宋_GB2312"/>
        </w:rPr>
        <w:t>详见附件：2陕西省政府采购供应商拒绝政府采购领域商业贿赂承诺书.docx</w:t>
      </w:r>
    </w:p>
    <w:p>
      <w:pPr>
        <w:pStyle w:val="null3"/>
        <w:ind w:firstLine="960"/>
      </w:pPr>
      <w:r>
        <w:rPr>
          <w:rFonts w:ascii="仿宋_GB2312" w:hAnsi="仿宋_GB2312" w:cs="仿宋_GB2312" w:eastAsia="仿宋_GB2312"/>
        </w:rPr>
        <w:t>详见附件：3磋商服务方案.docx</w:t>
      </w:r>
    </w:p>
    <w:p>
      <w:pPr>
        <w:pStyle w:val="null3"/>
        <w:ind w:firstLine="960"/>
      </w:pPr>
      <w:r>
        <w:rPr>
          <w:rFonts w:ascii="仿宋_GB2312" w:hAnsi="仿宋_GB2312" w:cs="仿宋_GB2312" w:eastAsia="仿宋_GB2312"/>
        </w:rPr>
        <w:t>详见附件：4服务要求及商务要求偏离表.docx</w:t>
      </w:r>
    </w:p>
    <w:p>
      <w:pPr>
        <w:pStyle w:val="null3"/>
        <w:ind w:firstLine="960"/>
      </w:pPr>
      <w:r>
        <w:rPr>
          <w:rFonts w:ascii="仿宋_GB2312" w:hAnsi="仿宋_GB2312" w:cs="仿宋_GB2312" w:eastAsia="仿宋_GB2312"/>
        </w:rPr>
        <w:t>详见附件：5其他.docx</w:t>
      </w:r>
    </w:p>
    <w:p>
      <w:pPr>
        <w:pStyle w:val="null3"/>
        <w:ind w:firstLine="960"/>
      </w:pPr>
      <w:r>
        <w:rPr>
          <w:rFonts w:ascii="仿宋_GB2312" w:hAnsi="仿宋_GB2312" w:cs="仿宋_GB2312" w:eastAsia="仿宋_GB2312"/>
        </w:rPr>
        <w:t>详见附件：6、分项报价表-合同包2.docx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详见附件：中小企业声明函.docx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