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FD4FC">
      <w:pPr>
        <w:jc w:val="center"/>
        <w:rPr>
          <w:color w:val="auto"/>
          <w:highlight w:val="none"/>
        </w:rPr>
      </w:pPr>
      <w:r>
        <w:rPr>
          <w:rFonts w:hint="eastAsia" w:ascii="宋体" w:hAnsi="宋体"/>
          <w:b/>
          <w:color w:val="auto"/>
          <w:sz w:val="32"/>
          <w:highlight w:val="none"/>
        </w:rPr>
        <w:t>分项报价</w:t>
      </w:r>
      <w:r>
        <w:rPr>
          <w:rFonts w:hint="eastAsia" w:ascii="宋体" w:hAnsi="宋体"/>
          <w:b/>
          <w:color w:val="auto"/>
          <w:sz w:val="32"/>
          <w:highlight w:val="none"/>
          <w:lang w:val="en-US" w:eastAsia="zh-CN"/>
        </w:rPr>
        <w:t>明细</w:t>
      </w:r>
      <w:r>
        <w:rPr>
          <w:rFonts w:hint="eastAsia" w:ascii="宋体" w:hAnsi="宋体"/>
          <w:b/>
          <w:color w:val="auto"/>
          <w:sz w:val="32"/>
          <w:highlight w:val="none"/>
        </w:rPr>
        <w:t>表</w:t>
      </w:r>
    </w:p>
    <w:p w14:paraId="3617B654">
      <w:pPr>
        <w:rPr>
          <w:rFonts w:hint="eastAsia"/>
          <w:color w:val="auto"/>
          <w:highlight w:val="none"/>
          <w:lang w:val="en-US" w:eastAsia="zh-CN"/>
        </w:rPr>
      </w:pPr>
    </w:p>
    <w:p w14:paraId="28FA454F">
      <w:pPr>
        <w:rPr>
          <w:rFonts w:hint="eastAsia"/>
          <w:color w:val="auto"/>
          <w:highlight w:val="none"/>
          <w:lang w:val="en-US" w:eastAsia="zh-CN"/>
        </w:rPr>
      </w:pPr>
      <w:r>
        <w:rPr>
          <w:rFonts w:hint="eastAsia"/>
          <w:color w:val="auto"/>
          <w:highlight w:val="none"/>
          <w:lang w:val="en-US" w:eastAsia="zh-CN"/>
        </w:rPr>
        <w:t>采购项目名称：</w:t>
      </w:r>
    </w:p>
    <w:p w14:paraId="272EEC7A">
      <w:pPr>
        <w:rPr>
          <w:rFonts w:hint="default"/>
          <w:color w:val="auto"/>
          <w:highlight w:val="none"/>
          <w:lang w:val="en-US" w:eastAsia="zh-CN"/>
        </w:rPr>
      </w:pPr>
      <w:r>
        <w:rPr>
          <w:rFonts w:hint="eastAsia"/>
          <w:color w:val="auto"/>
          <w:highlight w:val="none"/>
          <w:lang w:val="en-US" w:eastAsia="zh-CN"/>
        </w:rPr>
        <w:t>采购项目编号：                                                         单位：元</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
        <w:gridCol w:w="2313"/>
        <w:gridCol w:w="2820"/>
        <w:gridCol w:w="2498"/>
      </w:tblGrid>
      <w:tr w14:paraId="5C746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891" w:type="dxa"/>
            <w:vAlign w:val="center"/>
          </w:tcPr>
          <w:p w14:paraId="30AF5108">
            <w:pPr>
              <w:jc w:val="center"/>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序号</w:t>
            </w:r>
          </w:p>
        </w:tc>
        <w:tc>
          <w:tcPr>
            <w:tcW w:w="2313" w:type="dxa"/>
            <w:vAlign w:val="center"/>
          </w:tcPr>
          <w:p w14:paraId="74D32CF0">
            <w:pPr>
              <w:jc w:val="center"/>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服务内容</w:t>
            </w:r>
          </w:p>
        </w:tc>
        <w:tc>
          <w:tcPr>
            <w:tcW w:w="2820" w:type="dxa"/>
            <w:vAlign w:val="center"/>
          </w:tcPr>
          <w:p w14:paraId="5A81F5C9">
            <w:pPr>
              <w:jc w:val="center"/>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单项报价</w:t>
            </w:r>
          </w:p>
        </w:tc>
        <w:tc>
          <w:tcPr>
            <w:tcW w:w="2498" w:type="dxa"/>
            <w:vAlign w:val="center"/>
          </w:tcPr>
          <w:p w14:paraId="7C60C15B">
            <w:pPr>
              <w:jc w:val="center"/>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备注</w:t>
            </w:r>
          </w:p>
        </w:tc>
      </w:tr>
      <w:tr w14:paraId="5DFFF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891" w:type="dxa"/>
            <w:vAlign w:val="center"/>
          </w:tcPr>
          <w:p w14:paraId="119188E2">
            <w:pPr>
              <w:jc w:val="center"/>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1</w:t>
            </w:r>
          </w:p>
        </w:tc>
        <w:tc>
          <w:tcPr>
            <w:tcW w:w="2313" w:type="dxa"/>
            <w:vAlign w:val="center"/>
          </w:tcPr>
          <w:p w14:paraId="1FC836D5">
            <w:pPr>
              <w:jc w:val="center"/>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公有云资源租赁及租用专用网络</w:t>
            </w:r>
          </w:p>
        </w:tc>
        <w:tc>
          <w:tcPr>
            <w:tcW w:w="2820" w:type="dxa"/>
          </w:tcPr>
          <w:p w14:paraId="32ABDBD4">
            <w:pPr>
              <w:rPr>
                <w:rFonts w:hint="default"/>
                <w:color w:val="auto"/>
                <w:sz w:val="21"/>
                <w:szCs w:val="21"/>
                <w:highlight w:val="none"/>
                <w:vertAlign w:val="baseline"/>
                <w:lang w:val="en-US" w:eastAsia="zh-CN"/>
              </w:rPr>
            </w:pPr>
          </w:p>
        </w:tc>
        <w:tc>
          <w:tcPr>
            <w:tcW w:w="2498" w:type="dxa"/>
            <w:vAlign w:val="center"/>
          </w:tcPr>
          <w:p w14:paraId="2E264586">
            <w:pPr>
              <w:jc w:val="center"/>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服务期不少于12个月，服务期起始时间为2026年7月10日。</w:t>
            </w:r>
          </w:p>
        </w:tc>
      </w:tr>
      <w:tr w14:paraId="1A686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891" w:type="dxa"/>
            <w:vMerge w:val="restart"/>
            <w:vAlign w:val="center"/>
          </w:tcPr>
          <w:p w14:paraId="31560F28">
            <w:pPr>
              <w:jc w:val="center"/>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2</w:t>
            </w:r>
          </w:p>
        </w:tc>
        <w:tc>
          <w:tcPr>
            <w:tcW w:w="2313" w:type="dxa"/>
            <w:vAlign w:val="center"/>
          </w:tcPr>
          <w:p w14:paraId="3F36087E">
            <w:pPr>
              <w:jc w:val="center"/>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部署测试迁移</w:t>
            </w:r>
          </w:p>
        </w:tc>
        <w:tc>
          <w:tcPr>
            <w:tcW w:w="2820" w:type="dxa"/>
          </w:tcPr>
          <w:p w14:paraId="57B9B82B">
            <w:pPr>
              <w:rPr>
                <w:rFonts w:hint="default"/>
                <w:color w:val="auto"/>
                <w:sz w:val="21"/>
                <w:szCs w:val="21"/>
                <w:highlight w:val="none"/>
                <w:vertAlign w:val="baseline"/>
                <w:lang w:val="en-US" w:eastAsia="zh-CN"/>
              </w:rPr>
            </w:pPr>
          </w:p>
        </w:tc>
        <w:tc>
          <w:tcPr>
            <w:tcW w:w="2498" w:type="dxa"/>
            <w:vMerge w:val="restart"/>
            <w:vAlign w:val="center"/>
          </w:tcPr>
          <w:p w14:paraId="6C25BB1E">
            <w:pPr>
              <w:jc w:val="center"/>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此项如未发生部署测试迁移费用，则应填写延期公有云资源租赁及租用专用网络费用。</w:t>
            </w:r>
          </w:p>
        </w:tc>
      </w:tr>
      <w:tr w14:paraId="0C047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891" w:type="dxa"/>
            <w:vMerge w:val="continue"/>
            <w:vAlign w:val="center"/>
          </w:tcPr>
          <w:p w14:paraId="66E74D1F">
            <w:pPr>
              <w:jc w:val="center"/>
              <w:rPr>
                <w:rFonts w:hint="eastAsia"/>
                <w:color w:val="auto"/>
                <w:sz w:val="21"/>
                <w:szCs w:val="21"/>
                <w:highlight w:val="none"/>
                <w:vertAlign w:val="baseline"/>
                <w:lang w:val="en-US" w:eastAsia="zh-CN"/>
              </w:rPr>
            </w:pPr>
          </w:p>
        </w:tc>
        <w:tc>
          <w:tcPr>
            <w:tcW w:w="2313" w:type="dxa"/>
            <w:vAlign w:val="center"/>
          </w:tcPr>
          <w:p w14:paraId="3DF2D2D3">
            <w:pPr>
              <w:jc w:val="center"/>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延期公有云资源租赁及租用专用网络</w:t>
            </w:r>
          </w:p>
        </w:tc>
        <w:tc>
          <w:tcPr>
            <w:tcW w:w="2820" w:type="dxa"/>
          </w:tcPr>
          <w:p w14:paraId="2CDC3197">
            <w:pPr>
              <w:rPr>
                <w:rFonts w:hint="default"/>
                <w:color w:val="auto"/>
                <w:sz w:val="21"/>
                <w:szCs w:val="21"/>
                <w:highlight w:val="none"/>
                <w:vertAlign w:val="baseline"/>
                <w:lang w:val="en-US" w:eastAsia="zh-CN"/>
              </w:rPr>
            </w:pPr>
          </w:p>
        </w:tc>
        <w:tc>
          <w:tcPr>
            <w:tcW w:w="2498" w:type="dxa"/>
            <w:vMerge w:val="continue"/>
          </w:tcPr>
          <w:p w14:paraId="6DE8C17C">
            <w:pPr>
              <w:rPr>
                <w:rFonts w:hint="default"/>
                <w:color w:val="auto"/>
                <w:sz w:val="21"/>
                <w:szCs w:val="21"/>
                <w:highlight w:val="none"/>
                <w:vertAlign w:val="baseline"/>
                <w:lang w:val="en-US" w:eastAsia="zh-CN"/>
              </w:rPr>
            </w:pPr>
          </w:p>
        </w:tc>
      </w:tr>
      <w:tr w14:paraId="74F4B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3204" w:type="dxa"/>
            <w:gridSpan w:val="2"/>
            <w:vAlign w:val="center"/>
          </w:tcPr>
          <w:p w14:paraId="6375DCEC">
            <w:pPr>
              <w:jc w:val="center"/>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总报价</w:t>
            </w:r>
          </w:p>
        </w:tc>
        <w:tc>
          <w:tcPr>
            <w:tcW w:w="5318" w:type="dxa"/>
            <w:gridSpan w:val="2"/>
            <w:vAlign w:val="center"/>
          </w:tcPr>
          <w:p w14:paraId="4957C80F">
            <w:pPr>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大写：</w:t>
            </w:r>
          </w:p>
          <w:p w14:paraId="08E80195">
            <w:pPr>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小写：</w:t>
            </w:r>
          </w:p>
        </w:tc>
      </w:tr>
    </w:tbl>
    <w:p w14:paraId="5E7475F0">
      <w:pPr>
        <w:keepNext w:val="0"/>
        <w:keepLines w:val="0"/>
        <w:pageBreakBefore w:val="0"/>
        <w:widowControl w:val="0"/>
        <w:kinsoku/>
        <w:wordWrap/>
        <w:overflowPunct/>
        <w:topLinePunct w:val="0"/>
        <w:autoSpaceDE/>
        <w:autoSpaceDN/>
        <w:bidi w:val="0"/>
        <w:adjustRightInd/>
        <w:snapToGrid/>
        <w:spacing w:line="240" w:lineRule="exact"/>
        <w:textAlignment w:val="auto"/>
        <w:rPr>
          <w:color w:val="auto"/>
          <w:sz w:val="10"/>
          <w:szCs w:val="10"/>
          <w:highlight w:val="none"/>
        </w:rPr>
      </w:pPr>
    </w:p>
    <w:p w14:paraId="781D0EF8">
      <w:pPr>
        <w:keepNext w:val="0"/>
        <w:keepLines w:val="0"/>
        <w:pageBreakBefore w:val="0"/>
        <w:widowControl w:val="0"/>
        <w:kinsoku/>
        <w:wordWrap/>
        <w:overflowPunct/>
        <w:topLinePunct w:val="0"/>
        <w:autoSpaceDE/>
        <w:autoSpaceDN/>
        <w:bidi w:val="0"/>
        <w:adjustRightInd/>
        <w:snapToGrid/>
        <w:spacing w:line="312" w:lineRule="auto"/>
        <w:textAlignment w:val="auto"/>
        <w:rPr>
          <w:rFonts w:hint="default"/>
          <w:color w:val="auto"/>
          <w:sz w:val="20"/>
          <w:szCs w:val="20"/>
          <w:highlight w:val="none"/>
          <w:lang w:val="en-US" w:eastAsia="zh-CN"/>
        </w:rPr>
      </w:pPr>
      <w:r>
        <w:rPr>
          <w:rFonts w:hint="eastAsia"/>
          <w:color w:val="auto"/>
          <w:sz w:val="20"/>
          <w:szCs w:val="20"/>
          <w:highlight w:val="none"/>
          <w:lang w:val="en-US" w:eastAsia="zh-CN"/>
        </w:rPr>
        <w:t>说明：1.本项目磋商总报价不能超过采购包最高总限价为2,982,300.00元，各分项报价不能超过分项采购最高限价：公有云资源租赁及租用专用网络最高限价为2,782,300.00元；部署测试迁移最高限价为200,000.00元。</w:t>
      </w:r>
    </w:p>
    <w:p w14:paraId="2D9CE7BB">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600" w:firstLineChars="300"/>
        <w:textAlignment w:val="auto"/>
        <w:rPr>
          <w:rFonts w:hint="eastAsia"/>
          <w:color w:val="auto"/>
          <w:sz w:val="20"/>
          <w:szCs w:val="20"/>
          <w:highlight w:val="none"/>
          <w:lang w:val="en-US" w:eastAsia="zh-CN"/>
        </w:rPr>
      </w:pPr>
      <w:r>
        <w:rPr>
          <w:rFonts w:hint="eastAsia"/>
          <w:color w:val="auto"/>
          <w:sz w:val="20"/>
          <w:szCs w:val="20"/>
          <w:highlight w:val="none"/>
          <w:lang w:val="en-US" w:eastAsia="zh-CN"/>
        </w:rPr>
        <w:t>2.供应商如未发生部署测试迁移费用，则应填写延期公有云资源租赁及租用专用网络费用，延期公有云资源租赁及租用专用网络费用不应超过部署测试迁移费用的采购最高限价；</w:t>
      </w:r>
    </w:p>
    <w:p w14:paraId="010C7142">
      <w:pPr>
        <w:keepNext w:val="0"/>
        <w:keepLines w:val="0"/>
        <w:pageBreakBefore w:val="0"/>
        <w:widowControl w:val="0"/>
        <w:numPr>
          <w:ilvl w:val="0"/>
          <w:numId w:val="0"/>
        </w:numPr>
        <w:kinsoku/>
        <w:wordWrap/>
        <w:overflowPunct/>
        <w:topLinePunct w:val="0"/>
        <w:autoSpaceDE/>
        <w:autoSpaceDN/>
        <w:bidi w:val="0"/>
        <w:adjustRightInd/>
        <w:snapToGrid/>
        <w:spacing w:line="312" w:lineRule="auto"/>
        <w:ind w:left="630" w:leftChars="0" w:firstLine="0" w:firstLineChars="0"/>
        <w:textAlignment w:val="auto"/>
        <w:rPr>
          <w:rFonts w:hint="default"/>
          <w:color w:val="auto"/>
          <w:sz w:val="20"/>
          <w:szCs w:val="20"/>
          <w:highlight w:val="none"/>
          <w:lang w:val="en-US" w:eastAsia="zh-CN"/>
        </w:rPr>
      </w:pPr>
      <w:r>
        <w:rPr>
          <w:rFonts w:hint="eastAsia" w:cstheme="minorBidi"/>
          <w:color w:val="auto"/>
          <w:kern w:val="2"/>
          <w:sz w:val="20"/>
          <w:szCs w:val="20"/>
          <w:highlight w:val="none"/>
          <w:lang w:val="en-US" w:eastAsia="zh-CN" w:bidi="ar-SA"/>
        </w:rPr>
        <w:t>3</w:t>
      </w:r>
      <w:r>
        <w:rPr>
          <w:rFonts w:hint="default" w:asciiTheme="minorHAnsi" w:hAnsiTheme="minorHAnsi" w:eastAsiaTheme="minorEastAsia" w:cstheme="minorBidi"/>
          <w:color w:val="auto"/>
          <w:kern w:val="2"/>
          <w:sz w:val="20"/>
          <w:szCs w:val="20"/>
          <w:highlight w:val="none"/>
          <w:lang w:val="en-US" w:eastAsia="zh-CN" w:bidi="ar-SA"/>
        </w:rPr>
        <w:t>.</w:t>
      </w:r>
      <w:r>
        <w:rPr>
          <w:rFonts w:hint="default"/>
          <w:color w:val="auto"/>
          <w:sz w:val="20"/>
          <w:szCs w:val="20"/>
          <w:highlight w:val="none"/>
          <w:lang w:val="en-US" w:eastAsia="zh-CN"/>
        </w:rPr>
        <w:t>延期公有云资源租赁及租用专用网络</w:t>
      </w:r>
      <w:r>
        <w:rPr>
          <w:rFonts w:hint="eastAsia"/>
          <w:color w:val="auto"/>
          <w:sz w:val="20"/>
          <w:szCs w:val="20"/>
          <w:highlight w:val="none"/>
          <w:lang w:val="en-US" w:eastAsia="zh-CN"/>
        </w:rPr>
        <w:t>时间</w:t>
      </w:r>
      <w:r>
        <w:rPr>
          <w:rFonts w:hint="default"/>
          <w:color w:val="auto"/>
          <w:sz w:val="20"/>
          <w:szCs w:val="20"/>
          <w:highlight w:val="none"/>
          <w:lang w:val="en-US" w:eastAsia="zh-CN"/>
        </w:rPr>
        <w:t>计算方式为：</w:t>
      </w:r>
    </w:p>
    <w:p w14:paraId="4DF83662">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600" w:firstLineChars="300"/>
        <w:textAlignment w:val="auto"/>
        <w:rPr>
          <w:rFonts w:hint="eastAsia"/>
          <w:color w:val="auto"/>
          <w:sz w:val="20"/>
          <w:szCs w:val="20"/>
          <w:highlight w:val="none"/>
          <w:lang w:val="en-US" w:eastAsia="zh-CN"/>
        </w:rPr>
      </w:pPr>
      <w:r>
        <w:rPr>
          <w:rFonts w:hint="eastAsia" w:asciiTheme="minorHAnsi" w:hAnsiTheme="minorHAnsi" w:eastAsiaTheme="minorEastAsia" w:cstheme="minorBidi"/>
          <w:color w:val="auto"/>
          <w:kern w:val="2"/>
          <w:sz w:val="20"/>
          <w:szCs w:val="20"/>
          <w:highlight w:val="none"/>
          <w:lang w:val="en-US" w:eastAsia="zh-CN" w:bidi="ar-SA"/>
        </w:rPr>
        <w:t>（1）</w:t>
      </w:r>
      <w:r>
        <w:rPr>
          <w:rFonts w:hint="eastAsia"/>
          <w:color w:val="auto"/>
          <w:sz w:val="20"/>
          <w:szCs w:val="20"/>
          <w:highlight w:val="none"/>
          <w:lang w:val="en-US" w:eastAsia="zh-CN"/>
        </w:rPr>
        <w:t>公有云资源租赁及租用专用网络费用/月=公有云资源租赁及租用专用网络费用÷12个月；</w:t>
      </w:r>
    </w:p>
    <w:p w14:paraId="5E2D7D4B">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600" w:firstLineChars="300"/>
        <w:textAlignment w:val="auto"/>
        <w:rPr>
          <w:rFonts w:hint="default"/>
          <w:color w:val="auto"/>
          <w:sz w:val="20"/>
          <w:szCs w:val="20"/>
          <w:highlight w:val="none"/>
          <w:lang w:val="en-US" w:eastAsia="zh-CN"/>
        </w:rPr>
      </w:pPr>
      <w:r>
        <w:rPr>
          <w:rFonts w:hint="default" w:asciiTheme="minorHAnsi" w:hAnsiTheme="minorHAnsi" w:eastAsiaTheme="minorEastAsia" w:cstheme="minorBidi"/>
          <w:color w:val="auto"/>
          <w:kern w:val="2"/>
          <w:sz w:val="20"/>
          <w:szCs w:val="20"/>
          <w:highlight w:val="none"/>
          <w:lang w:val="en-US" w:eastAsia="zh-CN" w:bidi="ar-SA"/>
        </w:rPr>
        <w:t>（2）</w:t>
      </w:r>
      <w:r>
        <w:rPr>
          <w:rFonts w:hint="default"/>
          <w:color w:val="auto"/>
          <w:sz w:val="20"/>
          <w:szCs w:val="20"/>
          <w:highlight w:val="none"/>
          <w:lang w:val="en-US" w:eastAsia="zh-CN"/>
        </w:rPr>
        <w:t>延期公有云资源租赁及租用专用网络</w:t>
      </w:r>
      <w:r>
        <w:rPr>
          <w:rFonts w:hint="eastAsia"/>
          <w:color w:val="auto"/>
          <w:sz w:val="20"/>
          <w:szCs w:val="20"/>
          <w:highlight w:val="none"/>
          <w:lang w:val="en-US" w:eastAsia="zh-CN"/>
        </w:rPr>
        <w:t>时间=</w:t>
      </w:r>
      <w:r>
        <w:rPr>
          <w:rFonts w:hint="default"/>
          <w:color w:val="auto"/>
          <w:sz w:val="20"/>
          <w:szCs w:val="20"/>
          <w:highlight w:val="none"/>
          <w:lang w:val="en-US" w:eastAsia="zh-CN"/>
        </w:rPr>
        <w:t>延期公有云资源租赁及租用专用网络费用÷</w:t>
      </w:r>
      <w:r>
        <w:rPr>
          <w:rFonts w:hint="eastAsia"/>
          <w:color w:val="auto"/>
          <w:sz w:val="20"/>
          <w:szCs w:val="20"/>
          <w:highlight w:val="none"/>
          <w:lang w:val="en-US" w:eastAsia="zh-CN"/>
        </w:rPr>
        <w:t>每月公有云资源租赁及租用专用网络费用</w:t>
      </w:r>
      <w:r>
        <w:rPr>
          <w:rFonts w:hint="default"/>
          <w:color w:val="auto"/>
          <w:sz w:val="20"/>
          <w:szCs w:val="20"/>
          <w:highlight w:val="none"/>
          <w:lang w:val="en-US" w:eastAsia="zh-CN"/>
        </w:rPr>
        <w:t>×30天</w:t>
      </w:r>
      <w:r>
        <w:rPr>
          <w:rFonts w:hint="eastAsia"/>
          <w:color w:val="auto"/>
          <w:sz w:val="20"/>
          <w:szCs w:val="20"/>
          <w:highlight w:val="none"/>
          <w:lang w:val="en-US" w:eastAsia="zh-CN"/>
        </w:rPr>
        <w:t>。</w:t>
      </w:r>
    </w:p>
    <w:p w14:paraId="60EC5D60">
      <w:pPr>
        <w:keepNext w:val="0"/>
        <w:keepLines w:val="0"/>
        <w:pageBreakBefore w:val="0"/>
        <w:widowControl w:val="0"/>
        <w:numPr>
          <w:ilvl w:val="0"/>
          <w:numId w:val="0"/>
        </w:numPr>
        <w:kinsoku/>
        <w:wordWrap/>
        <w:overflowPunct/>
        <w:topLinePunct w:val="0"/>
        <w:autoSpaceDE/>
        <w:autoSpaceDN/>
        <w:bidi w:val="0"/>
        <w:adjustRightInd/>
        <w:snapToGrid/>
        <w:spacing w:line="312" w:lineRule="auto"/>
        <w:textAlignment w:val="auto"/>
        <w:rPr>
          <w:rFonts w:hint="eastAsia"/>
          <w:color w:val="auto"/>
          <w:sz w:val="21"/>
          <w:szCs w:val="21"/>
          <w:highlight w:val="none"/>
          <w:lang w:val="en-US" w:eastAsia="zh-CN"/>
        </w:rPr>
      </w:pPr>
      <w:r>
        <w:rPr>
          <w:rFonts w:hint="eastAsia"/>
          <w:color w:val="auto"/>
          <w:sz w:val="20"/>
          <w:szCs w:val="20"/>
          <w:highlight w:val="none"/>
          <w:lang w:val="en-US" w:eastAsia="zh-CN"/>
        </w:rPr>
        <w:t xml:space="preserve">      4.本表中的“总报价”应与“分项报价表”中的金额一致。</w:t>
      </w:r>
      <w:bookmarkStart w:id="0" w:name="_GoBack"/>
      <w:bookmarkEnd w:id="0"/>
    </w:p>
    <w:p w14:paraId="1E94EA6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color w:val="auto"/>
          <w:sz w:val="21"/>
          <w:szCs w:val="21"/>
          <w:highlight w:val="none"/>
          <w:lang w:val="en-US" w:eastAsia="zh-CN"/>
        </w:rPr>
      </w:pPr>
    </w:p>
    <w:p w14:paraId="0490C85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color w:val="auto"/>
          <w:sz w:val="21"/>
          <w:szCs w:val="21"/>
          <w:highlight w:val="none"/>
          <w:lang w:val="en-US" w:eastAsia="zh-CN"/>
        </w:rPr>
      </w:pPr>
    </w:p>
    <w:p w14:paraId="76FC6C3F">
      <w:pPr>
        <w:spacing w:line="360" w:lineRule="auto"/>
        <w:ind w:firstLine="3520" w:firstLineChars="1600"/>
        <w:rPr>
          <w:rFonts w:hint="eastAsia" w:ascii="宋体" w:hAnsi="宋体"/>
          <w:color w:val="auto"/>
          <w:sz w:val="22"/>
          <w:szCs w:val="22"/>
          <w:highlight w:val="none"/>
        </w:rPr>
      </w:pPr>
      <w:r>
        <w:rPr>
          <w:rFonts w:hint="eastAsia" w:ascii="宋体" w:hAnsi="宋体"/>
          <w:color w:val="auto"/>
          <w:sz w:val="22"/>
          <w:szCs w:val="22"/>
          <w:highlight w:val="none"/>
        </w:rPr>
        <w:t>供应商名称：</w:t>
      </w:r>
      <w:r>
        <w:rPr>
          <w:rFonts w:hint="eastAsia" w:ascii="宋体" w:hAnsi="宋体"/>
          <w:color w:val="auto"/>
          <w:sz w:val="22"/>
          <w:szCs w:val="22"/>
          <w:highlight w:val="none"/>
          <w:u w:val="single"/>
          <w:lang w:val="en-US" w:eastAsia="zh-CN"/>
        </w:rPr>
        <w:t xml:space="preserve">                       </w:t>
      </w:r>
      <w:r>
        <w:rPr>
          <w:rFonts w:hint="eastAsia" w:ascii="宋体" w:hAnsi="宋体"/>
          <w:color w:val="auto"/>
          <w:sz w:val="22"/>
          <w:szCs w:val="22"/>
          <w:highlight w:val="none"/>
        </w:rPr>
        <w:t>（</w:t>
      </w:r>
      <w:r>
        <w:rPr>
          <w:rFonts w:hint="eastAsia" w:ascii="宋体" w:hAnsi="宋体"/>
          <w:color w:val="auto"/>
          <w:sz w:val="22"/>
          <w:szCs w:val="22"/>
          <w:highlight w:val="none"/>
          <w:lang w:val="en-US" w:eastAsia="zh-CN"/>
        </w:rPr>
        <w:t>盖</w:t>
      </w:r>
      <w:r>
        <w:rPr>
          <w:rFonts w:hint="eastAsia" w:ascii="宋体" w:hAnsi="宋体"/>
          <w:color w:val="auto"/>
          <w:sz w:val="22"/>
          <w:szCs w:val="22"/>
          <w:highlight w:val="none"/>
        </w:rPr>
        <w:t>章）</w:t>
      </w:r>
    </w:p>
    <w:p w14:paraId="71BDB1C2">
      <w:pPr>
        <w:spacing w:line="360" w:lineRule="auto"/>
        <w:rPr>
          <w:rFonts w:hint="eastAsia" w:ascii="宋体" w:hAnsi="宋体"/>
          <w:color w:val="auto"/>
          <w:sz w:val="22"/>
          <w:szCs w:val="22"/>
          <w:highlight w:val="none"/>
        </w:rPr>
      </w:pPr>
    </w:p>
    <w:p w14:paraId="7DE841FD">
      <w:pPr>
        <w:spacing w:line="360" w:lineRule="auto"/>
        <w:ind w:firstLine="3487" w:firstLineChars="1585"/>
        <w:rPr>
          <w:rFonts w:hint="default" w:ascii="宋体" w:hAnsi="宋体" w:eastAsia="宋体"/>
          <w:color w:val="auto"/>
          <w:sz w:val="22"/>
          <w:szCs w:val="22"/>
          <w:highlight w:val="none"/>
          <w:u w:val="none"/>
          <w:lang w:val="en-US" w:eastAsia="zh-CN"/>
        </w:rPr>
      </w:pPr>
      <w:r>
        <w:rPr>
          <w:rFonts w:hint="eastAsia" w:ascii="宋体" w:hAnsi="宋体"/>
          <w:color w:val="auto"/>
          <w:sz w:val="22"/>
          <w:szCs w:val="22"/>
          <w:highlight w:val="none"/>
        </w:rPr>
        <w:t>法定代表人或授权代表：</w:t>
      </w:r>
      <w:r>
        <w:rPr>
          <w:rFonts w:hint="eastAsia" w:ascii="宋体" w:hAnsi="宋体"/>
          <w:color w:val="auto"/>
          <w:sz w:val="22"/>
          <w:szCs w:val="22"/>
          <w:highlight w:val="none"/>
          <w:u w:val="single"/>
          <w:lang w:val="en-US" w:eastAsia="zh-CN"/>
        </w:rPr>
        <w:t xml:space="preserve">        </w:t>
      </w:r>
      <w:r>
        <w:rPr>
          <w:rFonts w:hint="eastAsia" w:ascii="宋体" w:hAnsi="宋体"/>
          <w:color w:val="auto"/>
          <w:sz w:val="22"/>
          <w:szCs w:val="22"/>
          <w:highlight w:val="none"/>
          <w:u w:val="none"/>
          <w:lang w:val="en-US" w:eastAsia="zh-CN"/>
        </w:rPr>
        <w:t>（签字或盖章）</w:t>
      </w:r>
    </w:p>
    <w:p w14:paraId="216A0335">
      <w:pPr>
        <w:spacing w:line="360" w:lineRule="auto"/>
        <w:ind w:firstLine="4840" w:firstLineChars="2200"/>
        <w:rPr>
          <w:rFonts w:hint="eastAsia" w:ascii="宋体" w:hAnsi="宋体"/>
          <w:color w:val="auto"/>
          <w:sz w:val="22"/>
          <w:szCs w:val="22"/>
          <w:highlight w:val="none"/>
        </w:rPr>
      </w:pPr>
    </w:p>
    <w:p w14:paraId="55A2F664">
      <w:pPr>
        <w:ind w:firstLine="5060" w:firstLineChars="2300"/>
      </w:pPr>
      <w:r>
        <w:rPr>
          <w:rFonts w:hint="eastAsia" w:ascii="宋体" w:hAnsi="宋体"/>
          <w:color w:val="auto"/>
          <w:sz w:val="22"/>
          <w:szCs w:val="22"/>
          <w:highlight w:val="none"/>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681710"/>
    <w:rsid w:val="23681710"/>
    <w:rsid w:val="24702A4B"/>
    <w:rsid w:val="39FD62B7"/>
    <w:rsid w:val="53BF4E90"/>
    <w:rsid w:val="582B0B94"/>
    <w:rsid w:val="7C375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8"/>
      <w:szCs w:val="18"/>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102</Words>
  <Characters>105</Characters>
  <Lines>0</Lines>
  <Paragraphs>0</Paragraphs>
  <TotalTime>0</TotalTime>
  <ScaleCrop>false</ScaleCrop>
  <LinksUpToDate>false</LinksUpToDate>
  <CharactersWithSpaces>140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2026-04-09T07:58:00Z</dcterms:created>
  <dc:creator>知子</dc:creator>
  <cp:lastModifiedBy>知子</cp:lastModifiedBy>
  <dcterms:modified xsi:type="dcterms:W3CDTF">2026-05-07T00:16:02Z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00C13CEA66DA47DDA7BE5811DD46F4A0_11</vt:lpwstr>
  </property>
  <property fmtid="{D5CDD505-2E9C-101B-9397-08002B2CF9AE}" pid="4" name="KSOTemplateDocerSaveRecord">
    <vt:lpwstr>eyJoZGlkIjoiMmQyYzYzYTI2MjQ2OGY1N2ZmZWYxOGNiNTQwMjNiYmYiLCJ1c2VySWQiOiI0ODM2OTkwMzcifQ==</vt:lpwstr>
  </property>
</Properties>
</file>