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32FB7">
      <w:pPr>
        <w:pStyle w:val="8"/>
        <w:spacing w:line="360" w:lineRule="auto"/>
        <w:jc w:val="center"/>
        <w:outlineLvl w:val="1"/>
        <w:rPr>
          <w:sz w:val="28"/>
          <w:szCs w:val="28"/>
        </w:rPr>
      </w:pPr>
      <w:r>
        <w:rPr>
          <w:rFonts w:ascii="仿宋_GB2312" w:hAnsi="仿宋_GB2312" w:eastAsia="仿宋_GB2312" w:cs="仿宋_GB2312"/>
          <w:b/>
          <w:sz w:val="28"/>
          <w:szCs w:val="28"/>
        </w:rPr>
        <w:t>第七章 拟签订合同文本</w:t>
      </w:r>
    </w:p>
    <w:p w14:paraId="46DFC921">
      <w:pPr>
        <w:keepNext/>
        <w:keepLines/>
        <w:wordWrap w:val="0"/>
        <w:spacing w:before="120" w:after="120"/>
        <w:jc w:val="right"/>
        <w:rPr>
          <w:b/>
          <w:bCs/>
          <w:sz w:val="36"/>
          <w:szCs w:val="36"/>
        </w:rPr>
      </w:pPr>
    </w:p>
    <w:p w14:paraId="13CABC22">
      <w:pPr>
        <w:keepNext/>
        <w:keepLines/>
        <w:wordWrap w:val="0"/>
        <w:spacing w:before="120" w:after="120"/>
        <w:jc w:val="right"/>
        <w:rPr>
          <w:b/>
          <w:bCs/>
          <w:sz w:val="36"/>
          <w:szCs w:val="36"/>
        </w:rPr>
      </w:pPr>
    </w:p>
    <w:p w14:paraId="06CBF1D7">
      <w:pPr>
        <w:keepNext/>
        <w:keepLines/>
        <w:spacing w:before="120" w:after="120"/>
        <w:jc w:val="left"/>
        <w:rPr>
          <w:b/>
          <w:bCs/>
          <w:sz w:val="36"/>
          <w:szCs w:val="36"/>
        </w:rPr>
      </w:pPr>
    </w:p>
    <w:p w14:paraId="7B590840">
      <w:pPr>
        <w:keepNext/>
        <w:keepLines/>
        <w:spacing w:before="120" w:after="120"/>
        <w:jc w:val="left"/>
        <w:rPr>
          <w:b/>
          <w:bCs/>
          <w:sz w:val="36"/>
          <w:szCs w:val="36"/>
        </w:rPr>
      </w:pPr>
    </w:p>
    <w:p w14:paraId="2F08B5E8">
      <w:pPr>
        <w:spacing w:line="360" w:lineRule="auto"/>
        <w:jc w:val="center"/>
        <w:rPr>
          <w:rFonts w:ascii="仿宋" w:hAnsi="仿宋" w:eastAsia="仿宋" w:cs="宋体"/>
          <w:b/>
          <w:bCs/>
          <w:sz w:val="30"/>
          <w:szCs w:val="30"/>
        </w:rPr>
      </w:pPr>
      <w:r>
        <w:rPr>
          <w:rFonts w:hint="eastAsia" w:ascii="仿宋" w:hAnsi="仿宋" w:eastAsia="仿宋" w:cs="宋体"/>
          <w:b/>
          <w:bCs/>
          <w:sz w:val="30"/>
          <w:szCs w:val="30"/>
        </w:rPr>
        <w:t>货物类采购合同（模板）</w:t>
      </w:r>
    </w:p>
    <w:p w14:paraId="7B98C6A1">
      <w:pPr>
        <w:keepNext/>
        <w:keepLines/>
        <w:spacing w:before="120" w:after="120"/>
        <w:jc w:val="left"/>
        <w:rPr>
          <w:b/>
          <w:bCs/>
          <w:sz w:val="36"/>
          <w:szCs w:val="36"/>
        </w:rPr>
      </w:pPr>
    </w:p>
    <w:p w14:paraId="2897F788">
      <w:pPr>
        <w:rPr>
          <w:b/>
          <w:bCs/>
          <w:sz w:val="36"/>
          <w:szCs w:val="36"/>
        </w:rPr>
      </w:pPr>
    </w:p>
    <w:p w14:paraId="2125BEA2">
      <w:pPr>
        <w:widowControl/>
        <w:shd w:val="clear" w:color="auto" w:fill="auto"/>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rPr>
      </w:pPr>
      <w:r>
        <w:rPr>
          <w:rFonts w:ascii="仿宋" w:hAnsi="仿宋" w:eastAsia="仿宋" w:cs="方正仿宋_GB2312"/>
          <w:bCs/>
          <w:color w:val="auto"/>
          <w:kern w:val="0"/>
          <w:sz w:val="28"/>
          <w:szCs w:val="28"/>
          <w:u w:val="none"/>
          <w:shd w:val="clear" w:color="auto" w:fill="FFFFFF"/>
        </w:rPr>
        <w:t>甲方</w:t>
      </w:r>
      <w:r>
        <w:rPr>
          <w:rFonts w:hint="eastAsia" w:ascii="仿宋" w:hAnsi="仿宋" w:eastAsia="仿宋" w:cs="方正仿宋_GB2312"/>
          <w:bCs/>
          <w:color w:val="auto"/>
          <w:kern w:val="0"/>
          <w:sz w:val="28"/>
          <w:szCs w:val="28"/>
          <w:u w:val="none"/>
          <w:shd w:val="clear" w:color="auto" w:fill="FFFFFF"/>
          <w:lang w:eastAsia="zh-CN"/>
        </w:rPr>
        <w:t>（</w:t>
      </w:r>
      <w:r>
        <w:rPr>
          <w:rFonts w:hint="eastAsia" w:ascii="仿宋" w:hAnsi="仿宋" w:eastAsia="仿宋" w:cs="方正仿宋_GB2312"/>
          <w:bCs/>
          <w:color w:val="auto"/>
          <w:kern w:val="0"/>
          <w:sz w:val="28"/>
          <w:szCs w:val="28"/>
          <w:u w:val="none"/>
          <w:shd w:val="clear" w:color="auto" w:fill="FFFFFF"/>
          <w:lang w:val="en-US" w:eastAsia="zh-CN"/>
        </w:rPr>
        <w:t>采购人</w:t>
      </w:r>
      <w:r>
        <w:rPr>
          <w:rFonts w:hint="eastAsia" w:ascii="仿宋" w:hAnsi="仿宋" w:eastAsia="仿宋" w:cs="方正仿宋_GB2312"/>
          <w:bCs/>
          <w:color w:val="auto"/>
          <w:kern w:val="0"/>
          <w:sz w:val="28"/>
          <w:szCs w:val="28"/>
          <w:u w:val="none"/>
          <w:shd w:val="clear" w:color="auto" w:fill="FFFFFF"/>
          <w:lang w:eastAsia="zh-CN"/>
        </w:rPr>
        <w:t>）</w:t>
      </w:r>
      <w:r>
        <w:rPr>
          <w:rFonts w:ascii="仿宋" w:hAnsi="仿宋" w:eastAsia="仿宋" w:cs="方正仿宋_GB2312"/>
          <w:bCs/>
          <w:color w:val="auto"/>
          <w:kern w:val="0"/>
          <w:sz w:val="28"/>
          <w:szCs w:val="28"/>
          <w:u w:val="none"/>
          <w:shd w:val="clear" w:color="auto" w:fill="FFFFFF"/>
        </w:rPr>
        <w:t>：</w:t>
      </w:r>
      <w:r>
        <w:rPr>
          <w:rFonts w:ascii="仿宋" w:hAnsi="仿宋" w:eastAsia="仿宋" w:cs="Times New Roman"/>
          <w:bCs/>
          <w:color w:val="auto"/>
          <w:kern w:val="0"/>
          <w:sz w:val="28"/>
          <w:szCs w:val="28"/>
          <w:u w:val="single"/>
          <w:shd w:val="clear" w:color="auto" w:fill="FFFFFF"/>
        </w:rPr>
        <w:t xml:space="preserve">        </w:t>
      </w:r>
      <w:r>
        <w:rPr>
          <w:rFonts w:ascii="仿宋" w:hAnsi="仿宋" w:eastAsia="仿宋" w:cs="Times New Roman"/>
          <w:bCs/>
          <w:color w:val="auto"/>
          <w:kern w:val="0"/>
          <w:sz w:val="28"/>
          <w:szCs w:val="28"/>
          <w:u w:val="single"/>
          <w:shd w:val="clear" w:color="auto" w:fill="FFFFFF"/>
        </w:rPr>
        <w:tab/>
      </w:r>
      <w:r>
        <w:rPr>
          <w:rFonts w:ascii="仿宋" w:hAnsi="仿宋" w:eastAsia="仿宋" w:cs="Times New Roman"/>
          <w:bCs/>
          <w:color w:val="auto"/>
          <w:kern w:val="0"/>
          <w:sz w:val="28"/>
          <w:szCs w:val="28"/>
          <w:u w:val="single"/>
          <w:shd w:val="clear" w:color="auto" w:fill="FFFFFF"/>
        </w:rPr>
        <w:t xml:space="preserve">           </w:t>
      </w:r>
    </w:p>
    <w:p w14:paraId="768D536C">
      <w:pPr>
        <w:widowControl/>
        <w:shd w:val="clear" w:color="auto" w:fill="auto"/>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ascii="仿宋" w:hAnsi="仿宋" w:eastAsia="仿宋" w:cs="方正仿宋_GB2312"/>
          <w:bCs/>
          <w:color w:val="auto"/>
          <w:kern w:val="0"/>
          <w:sz w:val="28"/>
          <w:szCs w:val="28"/>
          <w:u w:val="none"/>
          <w:shd w:val="clear" w:color="auto" w:fill="FFFFFF"/>
        </w:rPr>
        <w:t>乙方</w:t>
      </w:r>
      <w:r>
        <w:rPr>
          <w:rFonts w:hint="eastAsia" w:ascii="仿宋" w:hAnsi="仿宋" w:eastAsia="仿宋" w:cs="方正仿宋_GB2312"/>
          <w:bCs/>
          <w:color w:val="auto"/>
          <w:kern w:val="0"/>
          <w:sz w:val="28"/>
          <w:szCs w:val="28"/>
          <w:u w:val="none"/>
          <w:shd w:val="clear" w:color="auto" w:fill="FFFFFF"/>
          <w:lang w:eastAsia="zh-CN"/>
        </w:rPr>
        <w:t>（</w:t>
      </w:r>
      <w:r>
        <w:rPr>
          <w:rFonts w:hint="eastAsia" w:ascii="仿宋" w:hAnsi="仿宋" w:eastAsia="仿宋" w:cs="方正仿宋_GB2312"/>
          <w:bCs/>
          <w:color w:val="auto"/>
          <w:kern w:val="0"/>
          <w:sz w:val="28"/>
          <w:szCs w:val="28"/>
          <w:u w:val="none"/>
          <w:shd w:val="clear" w:color="auto" w:fill="FFFFFF"/>
          <w:lang w:val="en-US" w:eastAsia="zh-CN"/>
        </w:rPr>
        <w:t>供应商</w:t>
      </w:r>
      <w:r>
        <w:rPr>
          <w:rFonts w:hint="eastAsia" w:ascii="仿宋" w:hAnsi="仿宋" w:eastAsia="仿宋" w:cs="方正仿宋_GB2312"/>
          <w:bCs/>
          <w:color w:val="auto"/>
          <w:kern w:val="0"/>
          <w:sz w:val="28"/>
          <w:szCs w:val="28"/>
          <w:u w:val="none"/>
          <w:shd w:val="clear" w:color="auto" w:fill="FFFFFF"/>
          <w:lang w:eastAsia="zh-CN"/>
        </w:rPr>
        <w:t>）</w:t>
      </w:r>
      <w:r>
        <w:rPr>
          <w:rFonts w:ascii="仿宋" w:hAnsi="仿宋" w:eastAsia="仿宋" w:cs="方正仿宋_GB2312"/>
          <w:bCs/>
          <w:color w:val="auto"/>
          <w:kern w:val="0"/>
          <w:sz w:val="28"/>
          <w:szCs w:val="28"/>
          <w:u w:val="none"/>
          <w:shd w:val="clear" w:color="auto" w:fill="FFFFFF"/>
        </w:rPr>
        <w:t>：</w:t>
      </w:r>
      <w:r>
        <w:rPr>
          <w:rFonts w:ascii="仿宋" w:hAnsi="仿宋" w:eastAsia="仿宋" w:cs="Times New Roman"/>
          <w:bCs/>
          <w:color w:val="auto"/>
          <w:kern w:val="0"/>
          <w:sz w:val="28"/>
          <w:szCs w:val="28"/>
          <w:u w:val="single"/>
          <w:shd w:val="clear" w:color="auto" w:fill="FFFFFF"/>
        </w:rPr>
        <w:t xml:space="preserve">                    </w:t>
      </w:r>
      <w:r>
        <w:rPr>
          <w:rFonts w:hint="eastAsia" w:ascii="仿宋" w:hAnsi="仿宋" w:eastAsia="仿宋" w:cs="Times New Roman"/>
          <w:bCs/>
          <w:color w:val="auto"/>
          <w:kern w:val="0"/>
          <w:sz w:val="28"/>
          <w:szCs w:val="28"/>
          <w:u w:val="single"/>
          <w:shd w:val="clear" w:color="auto" w:fill="FFFFFF"/>
          <w:lang w:val="en-US" w:eastAsia="zh-CN"/>
        </w:rPr>
        <w:t xml:space="preserve">  </w:t>
      </w:r>
    </w:p>
    <w:p w14:paraId="2BB991A8">
      <w:pPr>
        <w:keepNext w:val="0"/>
        <w:keepLines w:val="0"/>
        <w:pageBreakBefore w:val="0"/>
        <w:widowControl/>
        <w:shd w:val="clear" w:color="auto" w:fill="auto"/>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231558171"/>
        </w:rPr>
        <w:t>合同编号</w:t>
      </w:r>
      <w:r>
        <w:rPr>
          <w:rFonts w:ascii="仿宋" w:hAnsi="仿宋" w:eastAsia="仿宋" w:cs="方正仿宋_GB2312"/>
          <w:bCs/>
          <w:i w:val="0"/>
          <w:iCs w:val="0"/>
          <w:color w:val="auto"/>
          <w:spacing w:val="0"/>
          <w:kern w:val="0"/>
          <w:sz w:val="28"/>
          <w:szCs w:val="28"/>
          <w:u w:val="none"/>
          <w:shd w:val="clear" w:color="auto" w:fill="FFFFFF"/>
          <w:fitText w:val="2240" w:id="1231558171"/>
        </w:rPr>
        <w:t>：</w:t>
      </w:r>
      <w:r>
        <w:rPr>
          <w:rFonts w:ascii="仿宋" w:hAnsi="仿宋" w:eastAsia="仿宋" w:cs="Times New Roman"/>
          <w:bCs/>
          <w:color w:val="auto"/>
          <w:kern w:val="0"/>
          <w:sz w:val="28"/>
          <w:szCs w:val="28"/>
          <w:u w:val="single"/>
          <w:shd w:val="clear" w:color="auto" w:fill="FFFFFF"/>
        </w:rPr>
        <w:t xml:space="preserve">                    </w:t>
      </w:r>
      <w:r>
        <w:rPr>
          <w:rFonts w:hint="eastAsia" w:ascii="仿宋" w:hAnsi="仿宋" w:eastAsia="仿宋" w:cs="Times New Roman"/>
          <w:bCs/>
          <w:color w:val="auto"/>
          <w:kern w:val="0"/>
          <w:sz w:val="28"/>
          <w:szCs w:val="28"/>
          <w:u w:val="single"/>
          <w:shd w:val="clear" w:color="auto" w:fill="FFFFFF"/>
          <w:lang w:val="en-US" w:eastAsia="zh-CN"/>
        </w:rPr>
        <w:t xml:space="preserve">  </w:t>
      </w:r>
    </w:p>
    <w:p w14:paraId="5C67C029">
      <w:pPr>
        <w:widowControl/>
        <w:shd w:val="clear" w:color="auto" w:fill="auto"/>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rPr>
      </w:pPr>
      <w:r>
        <w:rPr>
          <w:rFonts w:hint="eastAsia" w:ascii="仿宋" w:hAnsi="仿宋" w:eastAsia="仿宋" w:cs="方正仿宋_GB2312"/>
          <w:bCs/>
          <w:color w:val="auto"/>
          <w:spacing w:val="105"/>
          <w:kern w:val="0"/>
          <w:sz w:val="28"/>
          <w:szCs w:val="28"/>
          <w:u w:val="none"/>
          <w:shd w:val="clear" w:color="auto" w:fill="FFFFFF"/>
          <w:fitText w:val="2240" w:id="1570444342"/>
        </w:rPr>
        <w:t>项目编号</w:t>
      </w:r>
      <w:r>
        <w:rPr>
          <w:rFonts w:ascii="仿宋" w:hAnsi="仿宋" w:eastAsia="仿宋" w:cs="方正仿宋_GB2312"/>
          <w:bCs/>
          <w:color w:val="auto"/>
          <w:spacing w:val="0"/>
          <w:kern w:val="0"/>
          <w:sz w:val="28"/>
          <w:szCs w:val="28"/>
          <w:u w:val="none"/>
          <w:shd w:val="clear" w:color="auto" w:fill="FFFFFF"/>
          <w:fitText w:val="2240" w:id="1570444342"/>
        </w:rPr>
        <w:t>：</w:t>
      </w:r>
      <w:r>
        <w:rPr>
          <w:rFonts w:ascii="仿宋" w:hAnsi="仿宋" w:eastAsia="仿宋" w:cs="Times New Roman"/>
          <w:bCs/>
          <w:color w:val="auto"/>
          <w:kern w:val="0"/>
          <w:sz w:val="28"/>
          <w:szCs w:val="28"/>
          <w:u w:val="single"/>
          <w:shd w:val="clear" w:color="auto" w:fill="FFFFFF"/>
        </w:rPr>
        <w:t xml:space="preserve">                  </w:t>
      </w:r>
      <w:r>
        <w:rPr>
          <w:rFonts w:hint="eastAsia" w:ascii="仿宋" w:hAnsi="仿宋" w:eastAsia="仿宋" w:cs="Times New Roman"/>
          <w:bCs/>
          <w:color w:val="auto"/>
          <w:kern w:val="0"/>
          <w:sz w:val="28"/>
          <w:szCs w:val="28"/>
          <w:u w:val="single"/>
          <w:shd w:val="clear" w:color="auto" w:fill="FFFFFF"/>
          <w:lang w:val="en-US" w:eastAsia="zh-CN"/>
        </w:rPr>
        <w:t xml:space="preserve">  </w:t>
      </w:r>
      <w:r>
        <w:rPr>
          <w:rFonts w:ascii="仿宋" w:hAnsi="仿宋" w:eastAsia="仿宋" w:cs="Times New Roman"/>
          <w:bCs/>
          <w:color w:val="auto"/>
          <w:kern w:val="0"/>
          <w:sz w:val="28"/>
          <w:szCs w:val="28"/>
          <w:u w:val="single"/>
          <w:shd w:val="clear" w:color="auto" w:fill="FFFFFF"/>
        </w:rPr>
        <w:t xml:space="preserve">  </w:t>
      </w:r>
    </w:p>
    <w:p w14:paraId="60C90EB2">
      <w:pPr>
        <w:widowControl/>
        <w:shd w:val="clear" w:color="auto" w:fill="auto"/>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rPr>
      </w:pPr>
      <w:r>
        <w:rPr>
          <w:rFonts w:ascii="仿宋" w:hAnsi="仿宋" w:eastAsia="仿宋" w:cs="方正仿宋_GB2312"/>
          <w:bCs/>
          <w:color w:val="auto"/>
          <w:spacing w:val="105"/>
          <w:kern w:val="0"/>
          <w:sz w:val="28"/>
          <w:szCs w:val="28"/>
          <w:u w:val="none"/>
          <w:shd w:val="clear" w:color="auto" w:fill="FFFFFF"/>
          <w:fitText w:val="2240" w:id="128400430"/>
        </w:rPr>
        <w:t>签订地点</w:t>
      </w:r>
      <w:r>
        <w:rPr>
          <w:rFonts w:ascii="仿宋" w:hAnsi="仿宋" w:eastAsia="仿宋" w:cs="方正仿宋_GB2312"/>
          <w:bCs/>
          <w:color w:val="auto"/>
          <w:spacing w:val="0"/>
          <w:kern w:val="0"/>
          <w:sz w:val="28"/>
          <w:szCs w:val="28"/>
          <w:u w:val="none"/>
          <w:shd w:val="clear" w:color="auto" w:fill="FFFFFF"/>
          <w:fitText w:val="2240" w:id="128400430"/>
        </w:rPr>
        <w:t>：</w:t>
      </w:r>
      <w:r>
        <w:rPr>
          <w:rFonts w:ascii="仿宋" w:hAnsi="仿宋" w:eastAsia="仿宋" w:cs="Times New Roman"/>
          <w:bCs/>
          <w:color w:val="auto"/>
          <w:kern w:val="0"/>
          <w:sz w:val="28"/>
          <w:szCs w:val="28"/>
          <w:u w:val="single"/>
          <w:shd w:val="clear" w:color="auto" w:fill="FFFFFF"/>
        </w:rPr>
        <w:t xml:space="preserve">                  </w:t>
      </w:r>
      <w:r>
        <w:rPr>
          <w:rFonts w:hint="eastAsia" w:ascii="仿宋" w:hAnsi="仿宋" w:eastAsia="仿宋" w:cs="Times New Roman"/>
          <w:bCs/>
          <w:color w:val="auto"/>
          <w:kern w:val="0"/>
          <w:sz w:val="28"/>
          <w:szCs w:val="28"/>
          <w:u w:val="single"/>
          <w:shd w:val="clear" w:color="auto" w:fill="FFFFFF"/>
          <w:lang w:val="en-US" w:eastAsia="zh-CN"/>
        </w:rPr>
        <w:t xml:space="preserve">  </w:t>
      </w:r>
      <w:r>
        <w:rPr>
          <w:rFonts w:ascii="仿宋" w:hAnsi="仿宋" w:eastAsia="仿宋" w:cs="Times New Roman"/>
          <w:bCs/>
          <w:color w:val="auto"/>
          <w:kern w:val="0"/>
          <w:sz w:val="28"/>
          <w:szCs w:val="28"/>
          <w:u w:val="single"/>
          <w:shd w:val="clear" w:color="auto" w:fill="FFFFFF"/>
        </w:rPr>
        <w:t xml:space="preserve">  </w:t>
      </w:r>
    </w:p>
    <w:p w14:paraId="4CB82C43">
      <w:pPr>
        <w:spacing w:line="360" w:lineRule="auto"/>
        <w:ind w:firstLine="480" w:firstLineChars="200"/>
        <w:jc w:val="left"/>
        <w:rPr>
          <w:rFonts w:ascii="仿宋" w:hAnsi="仿宋" w:eastAsia="仿宋"/>
          <w:sz w:val="24"/>
        </w:rPr>
      </w:pPr>
    </w:p>
    <w:p w14:paraId="76472832">
      <w:pPr>
        <w:spacing w:line="360" w:lineRule="auto"/>
        <w:ind w:firstLine="480" w:firstLineChars="200"/>
        <w:jc w:val="left"/>
        <w:rPr>
          <w:rFonts w:ascii="仿宋" w:hAnsi="仿宋" w:eastAsia="仿宋"/>
          <w:sz w:val="24"/>
        </w:rPr>
        <w:sectPr>
          <w:headerReference r:id="rId5" w:type="default"/>
          <w:pgSz w:w="11906" w:h="16838"/>
          <w:pgMar w:top="1213" w:right="1633" w:bottom="1213" w:left="1633" w:header="851" w:footer="992" w:gutter="0"/>
          <w:pgNumType w:fmt="decimal"/>
          <w:cols w:space="0" w:num="1"/>
          <w:docGrid w:type="lines" w:linePitch="312" w:charSpace="0"/>
        </w:sectPr>
      </w:pPr>
    </w:p>
    <w:p w14:paraId="4CFB3511">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中华人民共和国民法典》《中华人民共和国政府采购法》《中华人民共和国政府采购法实施条例》等法律法规，甲乙双方遵循平等、自愿、公平、诚实信用的合作原则，经充分协商，依据相关法律规定以及双方真实意思表示签订本合同。</w:t>
      </w:r>
    </w:p>
    <w:p w14:paraId="28E08505">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sz w:val="28"/>
          <w:szCs w:val="28"/>
        </w:rPr>
      </w:pPr>
      <w:r>
        <w:rPr>
          <w:rFonts w:hint="eastAsia" w:ascii="仿宋" w:hAnsi="仿宋" w:eastAsia="仿宋" w:cs="仿宋"/>
          <w:b/>
          <w:bCs/>
          <w:sz w:val="28"/>
          <w:szCs w:val="28"/>
        </w:rPr>
        <w:t>一、合同标的</w:t>
      </w:r>
      <w:r>
        <w:rPr>
          <w:rFonts w:hint="eastAsia" w:ascii="仿宋" w:hAnsi="仿宋" w:eastAsia="仿宋" w:cs="仿宋"/>
          <w:sz w:val="28"/>
          <w:szCs w:val="28"/>
        </w:rPr>
        <w:tab/>
      </w:r>
    </w:p>
    <w:p w14:paraId="7F1EF7D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1.1合同金额（大写）：</w:t>
      </w:r>
      <w:r>
        <w:rPr>
          <w:rFonts w:hint="eastAsia" w:ascii="仿宋" w:hAnsi="仿宋" w:eastAsia="仿宋" w:cs="仿宋"/>
          <w:sz w:val="28"/>
          <w:szCs w:val="28"/>
          <w:u w:val="single"/>
        </w:rPr>
        <w:t xml:space="preserve">人民币                   </w:t>
      </w:r>
      <w:r>
        <w:rPr>
          <w:rFonts w:hint="eastAsia" w:ascii="仿宋" w:hAnsi="仿宋" w:eastAsia="仿宋" w:cs="仿宋"/>
          <w:sz w:val="28"/>
          <w:szCs w:val="28"/>
        </w:rPr>
        <w:t>元（小写：¥</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9ABC3BB">
      <w:pPr>
        <w:keepNext w:val="0"/>
        <w:keepLines w:val="0"/>
        <w:pageBreakBefore w:val="0"/>
        <w:widowControl/>
        <w:kinsoku/>
        <w:overflowPunct/>
        <w:topLinePunct w:val="0"/>
        <w:bidi w:val="0"/>
        <w:snapToGrid w:val="0"/>
        <w:spacing w:line="360" w:lineRule="auto"/>
        <w:ind w:firstLine="560" w:firstLineChars="200"/>
        <w:jc w:val="left"/>
        <w:rPr>
          <w:rStyle w:val="7"/>
          <w:rFonts w:hint="eastAsia" w:ascii="仿宋" w:hAnsi="仿宋" w:eastAsia="仿宋" w:cs="仿宋"/>
          <w:sz w:val="28"/>
          <w:szCs w:val="28"/>
        </w:rPr>
      </w:pPr>
      <w:r>
        <w:rPr>
          <w:rFonts w:hint="eastAsia" w:ascii="仿宋" w:hAnsi="仿宋" w:eastAsia="仿宋" w:cs="仿宋"/>
          <w:sz w:val="28"/>
          <w:szCs w:val="28"/>
        </w:rPr>
        <w:t>1.2标的明细清单</w:t>
      </w:r>
    </w:p>
    <w:p w14:paraId="7307B5E8">
      <w:pPr>
        <w:keepNext w:val="0"/>
        <w:keepLines w:val="0"/>
        <w:pageBreakBefore w:val="0"/>
        <w:widowControl/>
        <w:kinsoku/>
        <w:overflowPunct/>
        <w:topLinePunct w:val="0"/>
        <w:bidi w:val="0"/>
        <w:snapToGrid w:val="0"/>
        <w:spacing w:line="360" w:lineRule="auto"/>
        <w:ind w:firstLine="560" w:firstLineChars="200"/>
        <w:jc w:val="left"/>
        <w:rPr>
          <w:rStyle w:val="7"/>
          <w:rFonts w:hint="eastAsia" w:ascii="仿宋" w:hAnsi="仿宋" w:eastAsia="仿宋" w:cs="仿宋"/>
          <w:sz w:val="28"/>
          <w:szCs w:val="28"/>
        </w:rPr>
      </w:pPr>
      <w:r>
        <w:rPr>
          <w:rStyle w:val="7"/>
          <w:rFonts w:hint="eastAsia" w:ascii="仿宋" w:hAnsi="仿宋" w:eastAsia="仿宋" w:cs="仿宋"/>
          <w:sz w:val="28"/>
          <w:szCs w:val="28"/>
        </w:rPr>
        <w:t>详见附件1。</w:t>
      </w:r>
    </w:p>
    <w:p w14:paraId="47F29D28">
      <w:pPr>
        <w:keepNext w:val="0"/>
        <w:keepLines w:val="0"/>
        <w:pageBreakBefore w:val="0"/>
        <w:widowControl/>
        <w:kinsoku/>
        <w:wordWrap w:val="0"/>
        <w:overflowPunct/>
        <w:topLinePunct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1.3采购项目的主要技术参数：</w:t>
      </w:r>
      <w:r>
        <w:rPr>
          <w:rFonts w:hint="eastAsia" w:ascii="仿宋" w:hAnsi="仿宋" w:eastAsia="仿宋" w:cs="仿宋"/>
          <w:i/>
          <w:iCs/>
          <w:color w:val="FF0000"/>
          <w:sz w:val="28"/>
          <w:szCs w:val="28"/>
          <w:u w:val="single" w:color="000000"/>
        </w:rPr>
        <w:t>详见附件</w:t>
      </w:r>
      <w:r>
        <w:rPr>
          <w:rFonts w:hint="eastAsia" w:ascii="仿宋" w:hAnsi="仿宋" w:eastAsia="仿宋" w:cs="仿宋"/>
          <w:sz w:val="28"/>
          <w:szCs w:val="28"/>
          <w:u w:val="single" w:color="000000"/>
        </w:rPr>
        <w:t xml:space="preserve"> </w:t>
      </w:r>
      <w:r>
        <w:rPr>
          <w:rFonts w:hint="eastAsia" w:ascii="仿宋" w:hAnsi="仿宋" w:eastAsia="仿宋" w:cs="仿宋"/>
          <w:sz w:val="28"/>
          <w:szCs w:val="28"/>
        </w:rPr>
        <w:t>。</w:t>
      </w:r>
    </w:p>
    <w:p w14:paraId="2A0F499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1.4合同标的、标的明细清单、</w:t>
      </w:r>
      <w:r>
        <w:rPr>
          <w:rFonts w:hint="eastAsia" w:ascii="仿宋" w:hAnsi="仿宋" w:eastAsia="仿宋" w:cs="仿宋"/>
          <w:color w:val="000000"/>
          <w:sz w:val="28"/>
          <w:szCs w:val="28"/>
        </w:rPr>
        <w:t>相关的其备品备件、工具、手册及其他技术资料和材料</w:t>
      </w:r>
      <w:r>
        <w:rPr>
          <w:rFonts w:hint="eastAsia" w:ascii="仿宋" w:hAnsi="仿宋" w:eastAsia="仿宋" w:cs="仿宋"/>
          <w:sz w:val="28"/>
          <w:szCs w:val="28"/>
        </w:rPr>
        <w:t>内容，以下统称“货物”。</w:t>
      </w:r>
    </w:p>
    <w:p w14:paraId="70167EB4">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二、质量标准和保证</w:t>
      </w:r>
    </w:p>
    <w:p w14:paraId="0A11AAB5">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2.1 质量标准</w:t>
      </w:r>
    </w:p>
    <w:p w14:paraId="5585D658">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2.1.1乙方提供的货物及配套产品应符合合同约定的品牌、规格型号、技术性能、配置、质量、数量等要求，确保产品技术指标使用要求。</w:t>
      </w:r>
    </w:p>
    <w:p w14:paraId="3DCBDDAB">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2.1.2采用中华人民共和国法定计量单位。</w:t>
      </w:r>
    </w:p>
    <w:p w14:paraId="13C57FF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2.1.3乙方所提供的货物应符合国家有关安全、环保、卫生的规定。</w:t>
      </w:r>
    </w:p>
    <w:p w14:paraId="082AD5D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2.1.4乙方应向甲方提交所提供货物的技术文件，包括相应的中文技术文件，如：产品目录、图纸、操作手册、使用说明、维护手册或服务指南等。上述文件应随包装好的货物一同发运。</w:t>
      </w:r>
    </w:p>
    <w:p w14:paraId="35E8F3F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2.2 质量保证</w:t>
      </w:r>
    </w:p>
    <w:p w14:paraId="5FFC1138">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2.2.1货物质保期：本合同按以下第</w:t>
      </w:r>
      <w:r>
        <w:rPr>
          <w:rFonts w:hint="eastAsia" w:ascii="仿宋" w:hAnsi="仿宋" w:eastAsia="仿宋" w:cs="仿宋"/>
          <w:sz w:val="28"/>
          <w:szCs w:val="28"/>
          <w:u w:val="single"/>
        </w:rPr>
        <w:t>（ ）</w:t>
      </w:r>
      <w:r>
        <w:rPr>
          <w:rFonts w:hint="eastAsia" w:ascii="仿宋" w:hAnsi="仿宋" w:eastAsia="仿宋" w:cs="仿宋"/>
          <w:sz w:val="28"/>
          <w:szCs w:val="28"/>
        </w:rPr>
        <w:t>种方式质保，质保期自甲方验收合格之日起计算，验收合格之日以甲方验收报告为准。</w:t>
      </w:r>
    </w:p>
    <w:p w14:paraId="15ADA66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（1）整体</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p>
    <w:p w14:paraId="7D1357C4">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（2）货物</w:t>
      </w:r>
      <w:r>
        <w:rPr>
          <w:rFonts w:hint="eastAsia" w:ascii="仿宋" w:hAnsi="仿宋" w:eastAsia="仿宋" w:cs="仿宋"/>
          <w:sz w:val="28"/>
          <w:szCs w:val="28"/>
          <w:u w:val="single"/>
        </w:rPr>
        <w:t xml:space="preserve"> </w:t>
      </w:r>
      <w:r>
        <w:rPr>
          <w:rFonts w:hint="eastAsia" w:ascii="仿宋" w:hAnsi="仿宋" w:eastAsia="仿宋" w:cs="仿宋"/>
          <w:i/>
          <w:iCs/>
          <w:color w:val="FF0000"/>
          <w:sz w:val="28"/>
          <w:szCs w:val="28"/>
          <w:u w:val="single" w:color="000000"/>
        </w:rPr>
        <w:t>填写标的清单内容</w:t>
      </w:r>
      <w:r>
        <w:rPr>
          <w:rFonts w:hint="eastAsia" w:ascii="仿宋" w:hAnsi="仿宋" w:eastAsia="仿宋" w:cs="仿宋"/>
          <w:sz w:val="28"/>
          <w:szCs w:val="28"/>
          <w:u w:val="single"/>
        </w:rPr>
        <w:t xml:space="preserve"> </w:t>
      </w:r>
      <w:r>
        <w:rPr>
          <w:rFonts w:hint="eastAsia" w:ascii="仿宋" w:hAnsi="仿宋" w:eastAsia="仿宋" w:cs="仿宋"/>
          <w:sz w:val="28"/>
          <w:szCs w:val="28"/>
        </w:rPr>
        <w:t>质保期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p>
    <w:p w14:paraId="71C1A123">
      <w:pPr>
        <w:keepNext w:val="0"/>
        <w:keepLines w:val="0"/>
        <w:pageBreakBefore w:val="0"/>
        <w:widowControl/>
        <w:kinsoku/>
        <w:overflowPunct/>
        <w:topLinePunct w:val="0"/>
        <w:bidi w:val="0"/>
        <w:snapToGrid w:val="0"/>
        <w:spacing w:line="360" w:lineRule="auto"/>
        <w:ind w:left="315" w:leftChars="150" w:firstLine="840" w:firstLineChars="300"/>
        <w:jc w:val="left"/>
        <w:rPr>
          <w:rFonts w:hint="eastAsia" w:ascii="仿宋" w:hAnsi="仿宋" w:eastAsia="仿宋" w:cs="仿宋"/>
          <w:sz w:val="28"/>
          <w:szCs w:val="28"/>
        </w:rPr>
      </w:pPr>
      <w:r>
        <w:rPr>
          <w:rFonts w:hint="eastAsia" w:ascii="仿宋" w:hAnsi="仿宋" w:eastAsia="仿宋" w:cs="仿宋"/>
          <w:sz w:val="28"/>
          <w:szCs w:val="28"/>
        </w:rPr>
        <w:t>货物</w:t>
      </w:r>
      <w:r>
        <w:rPr>
          <w:rFonts w:hint="eastAsia" w:ascii="仿宋" w:hAnsi="仿宋" w:eastAsia="仿宋" w:cs="仿宋"/>
          <w:sz w:val="28"/>
          <w:szCs w:val="28"/>
          <w:u w:val="single"/>
        </w:rPr>
        <w:t xml:space="preserve"> </w:t>
      </w:r>
      <w:r>
        <w:rPr>
          <w:rFonts w:hint="eastAsia" w:ascii="仿宋" w:hAnsi="仿宋" w:eastAsia="仿宋" w:cs="仿宋"/>
          <w:i/>
          <w:iCs/>
          <w:color w:val="FF0000"/>
          <w:sz w:val="28"/>
          <w:szCs w:val="28"/>
          <w:u w:val="single" w:color="000000"/>
        </w:rPr>
        <w:t>填写标的清单内容</w:t>
      </w:r>
      <w:r>
        <w:rPr>
          <w:rFonts w:hint="eastAsia" w:ascii="仿宋" w:hAnsi="仿宋" w:eastAsia="仿宋" w:cs="仿宋"/>
          <w:sz w:val="28"/>
          <w:szCs w:val="28"/>
          <w:u w:val="single"/>
        </w:rPr>
        <w:t xml:space="preserve"> </w:t>
      </w:r>
      <w:r>
        <w:rPr>
          <w:rFonts w:hint="eastAsia" w:ascii="仿宋" w:hAnsi="仿宋" w:eastAsia="仿宋" w:cs="仿宋"/>
          <w:sz w:val="28"/>
          <w:szCs w:val="28"/>
        </w:rPr>
        <w:t>质保期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p>
    <w:p w14:paraId="1C1DD93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2.2.2乙方应保证所供货物完全符合合同约定的质量、规格和性能要求。</w:t>
      </w:r>
    </w:p>
    <w:p w14:paraId="2AD9DCD7">
      <w:pPr>
        <w:pStyle w:val="3"/>
        <w:keepNext w:val="0"/>
        <w:keepLines w:val="0"/>
        <w:pageBreakBefore w:val="0"/>
        <w:widowControl/>
        <w:kinsoku/>
        <w:overflowPunct/>
        <w:topLinePunct w:val="0"/>
        <w:bidi w:val="0"/>
        <w:snapToGrid w:val="0"/>
        <w:spacing w:line="360" w:lineRule="auto"/>
        <w:ind w:left="420" w:leftChars="200"/>
        <w:rPr>
          <w:rFonts w:hint="eastAsia" w:ascii="仿宋" w:hAnsi="仿宋" w:eastAsia="仿宋" w:cs="仿宋"/>
          <w:sz w:val="28"/>
          <w:szCs w:val="28"/>
        </w:rPr>
      </w:pPr>
      <w:r>
        <w:rPr>
          <w:rFonts w:hint="eastAsia" w:ascii="仿宋" w:hAnsi="仿宋" w:eastAsia="仿宋" w:cs="仿宋"/>
          <w:sz w:val="28"/>
          <w:szCs w:val="28"/>
        </w:rPr>
        <w:t>2.2.3在质量保证期内所发现的缺陷，甲方应尽快通知乙方。乙方在收到通知后，应在</w:t>
      </w:r>
      <w:r>
        <w:rPr>
          <w:rFonts w:hint="eastAsia" w:ascii="仿宋" w:hAnsi="仿宋" w:eastAsia="仿宋" w:cs="仿宋"/>
          <w:sz w:val="28"/>
          <w:szCs w:val="28"/>
          <w:u w:val="single"/>
        </w:rPr>
        <w:t xml:space="preserve">      </w:t>
      </w:r>
      <w:r>
        <w:rPr>
          <w:rFonts w:hint="eastAsia" w:ascii="仿宋" w:hAnsi="仿宋" w:eastAsia="仿宋" w:cs="仿宋"/>
          <w:sz w:val="28"/>
          <w:szCs w:val="28"/>
        </w:rPr>
        <w:t>日内免费维修或更换缺陷货物或部件。</w:t>
      </w:r>
    </w:p>
    <w:p w14:paraId="595364E8">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2.2.4质量保证期内，如果货物的质量或规格与合同不符，或货物存在缺陷，包括潜在的缺陷或使用不符合要求的材料等，甲方有权根据本合同第12.3条规定以书面形式追究乙方的违约责任。</w:t>
      </w:r>
    </w:p>
    <w:p w14:paraId="75F39B13">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2.2.5乙方在约定的时间内未能弥补缺陷，甲方有权采取必要的补救措施，但其风险和费用将由乙方承担，甲方根据合同约定对乙方行使的其他权利不受影响。</w:t>
      </w:r>
    </w:p>
    <w:p w14:paraId="025DFF2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2.2.6质量保证期内乙方免费负责对其提供的硬件设备、软件和系统进行维护、维修、版本升级，包括设备维修所需的零配件及不能解决的故障需要返回生产厂家维修时所发生的一切费用。</w:t>
      </w:r>
    </w:p>
    <w:p w14:paraId="0F6BE0C4">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2.2.7质保期外，乙方仍上门维修，免收人工费，相关零配件和材料费按合同价格的（</w:t>
      </w:r>
      <w:r>
        <w:rPr>
          <w:rFonts w:hint="eastAsia" w:ascii="仿宋" w:hAnsi="仿宋" w:eastAsia="仿宋" w:cs="仿宋"/>
          <w:sz w:val="28"/>
          <w:szCs w:val="28"/>
          <w:u w:val="single"/>
        </w:rPr>
        <w:t>70%</w:t>
      </w:r>
      <w:r>
        <w:rPr>
          <w:rFonts w:hint="eastAsia" w:ascii="仿宋" w:hAnsi="仿宋" w:eastAsia="仿宋" w:cs="仿宋"/>
          <w:sz w:val="28"/>
          <w:szCs w:val="28"/>
        </w:rPr>
        <w:t>）收取。</w:t>
      </w:r>
    </w:p>
    <w:p w14:paraId="418995D2">
      <w:pPr>
        <w:keepNext w:val="0"/>
        <w:keepLines w:val="0"/>
        <w:pageBreakBefore w:val="0"/>
        <w:widowControl/>
        <w:kinsoku/>
        <w:overflowPunct/>
        <w:topLinePunct w:val="0"/>
        <w:bidi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三、合同履行</w:t>
      </w:r>
    </w:p>
    <w:p w14:paraId="1503B54E">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3.1起始日期：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日，终止日期：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日。/自合同签订之日起</w:t>
      </w:r>
    </w:p>
    <w:p w14:paraId="481C630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C785924">
      <w:pPr>
        <w:keepNext w:val="0"/>
        <w:keepLines w:val="0"/>
        <w:pageBreakBefore w:val="0"/>
        <w:widowControl/>
        <w:kinsoku/>
        <w:wordWrap w:val="0"/>
        <w:overflowPunct/>
        <w:topLinePunct w:val="0"/>
        <w:autoSpaceDE w:val="0"/>
        <w:autoSpaceDN w:val="0"/>
        <w:bidi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color w:val="000000"/>
          <w:sz w:val="28"/>
          <w:szCs w:val="28"/>
        </w:rPr>
        <w:t>3.2履约保证金：</w:t>
      </w:r>
      <w:r>
        <w:rPr>
          <w:rFonts w:hint="eastAsia" w:ascii="仿宋" w:hAnsi="仿宋" w:eastAsia="仿宋" w:cs="仿宋"/>
          <w:sz w:val="28"/>
          <w:szCs w:val="28"/>
        </w:rPr>
        <w:t>本项目履约保证金为合同价款的5%，人民币（大写）</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（小写：¥</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）。合同签订前，乙方向甲方足额交付履约保证金。工程竣工，经甲方验收合格后，向乙方一次性无息支付履约保证金。</w:t>
      </w:r>
    </w:p>
    <w:p w14:paraId="61B26771">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四、支付结算</w:t>
      </w:r>
    </w:p>
    <w:p w14:paraId="583F387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u w:color="000000"/>
        </w:rPr>
      </w:pPr>
      <w:r>
        <w:rPr>
          <w:rFonts w:hint="eastAsia" w:ascii="仿宋" w:hAnsi="仿宋" w:eastAsia="仿宋" w:cs="仿宋"/>
          <w:sz w:val="28"/>
          <w:szCs w:val="28"/>
        </w:rPr>
        <w:t>4.1结算方式：</w:t>
      </w:r>
      <w:r>
        <w:rPr>
          <w:rFonts w:hint="eastAsia" w:ascii="仿宋" w:hAnsi="仿宋" w:eastAsia="仿宋" w:cs="仿宋"/>
          <w:color w:val="auto"/>
          <w:sz w:val="28"/>
          <w:szCs w:val="28"/>
          <w:u w:val="single" w:color="000000"/>
        </w:rPr>
        <w:t>银行转账</w:t>
      </w:r>
    </w:p>
    <w:p w14:paraId="22D27F9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4.2支付方式：本合同按以下第</w:t>
      </w:r>
      <w:r>
        <w:rPr>
          <w:rFonts w:hint="eastAsia" w:ascii="仿宋" w:hAnsi="仿宋" w:eastAsia="仿宋" w:cs="仿宋"/>
          <w:sz w:val="28"/>
          <w:szCs w:val="28"/>
          <w:u w:val="single"/>
        </w:rPr>
        <w:t>（  ）</w:t>
      </w:r>
      <w:r>
        <w:rPr>
          <w:rFonts w:hint="eastAsia" w:ascii="仿宋" w:hAnsi="仿宋" w:eastAsia="仿宋" w:cs="仿宋"/>
          <w:sz w:val="28"/>
          <w:szCs w:val="28"/>
        </w:rPr>
        <w:t>种方式支付：</w:t>
      </w:r>
    </w:p>
    <w:p w14:paraId="3071C0B3">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（1）一次性付款：</w:t>
      </w:r>
    </w:p>
    <w:p w14:paraId="1D15454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货物验收合格，乙方开具发票，甲方于____日内一次性支付全部合同金额。</w:t>
      </w:r>
    </w:p>
    <w:p w14:paraId="114E925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（2）分期支付：本合同按以下第</w:t>
      </w:r>
      <w:r>
        <w:rPr>
          <w:rFonts w:hint="eastAsia" w:ascii="仿宋" w:hAnsi="仿宋" w:eastAsia="仿宋" w:cs="仿宋"/>
          <w:sz w:val="28"/>
          <w:szCs w:val="28"/>
          <w:u w:val="single"/>
        </w:rPr>
        <w:t xml:space="preserve">  ）</w:t>
      </w:r>
      <w:r>
        <w:rPr>
          <w:rFonts w:hint="eastAsia" w:ascii="仿宋" w:hAnsi="仿宋" w:eastAsia="仿宋" w:cs="仿宋"/>
          <w:sz w:val="28"/>
          <w:szCs w:val="28"/>
        </w:rPr>
        <w:t>种方式支付：</w:t>
      </w:r>
    </w:p>
    <w:p w14:paraId="490DCE91">
      <w:pPr>
        <w:keepNext w:val="0"/>
        <w:keepLines w:val="0"/>
        <w:pageBreakBefore w:val="0"/>
        <w:widowControl/>
        <w:kinsoku/>
        <w:overflowPunct/>
        <w:topLinePunct w:val="0"/>
        <w:bidi w:val="0"/>
        <w:snapToGrid w:val="0"/>
        <w:spacing w:line="360" w:lineRule="auto"/>
        <w:ind w:firstLine="840" w:firstLineChars="300"/>
        <w:jc w:val="left"/>
        <w:rPr>
          <w:rFonts w:hint="eastAsia" w:ascii="仿宋" w:hAnsi="仿宋" w:eastAsia="仿宋" w:cs="仿宋"/>
          <w:sz w:val="28"/>
          <w:szCs w:val="28"/>
        </w:rPr>
      </w:pPr>
      <w:r>
        <w:rPr>
          <w:rFonts w:hint="eastAsia" w:ascii="仿宋" w:hAnsi="仿宋" w:eastAsia="仿宋" w:cs="仿宋"/>
          <w:sz w:val="28"/>
          <w:szCs w:val="28"/>
        </w:rPr>
        <w:t>1）按____</w:t>
      </w:r>
      <w:r>
        <w:rPr>
          <w:rFonts w:hint="eastAsia" w:ascii="仿宋" w:hAnsi="仿宋" w:eastAsia="仿宋" w:cs="仿宋"/>
          <w:color w:val="000000"/>
          <w:sz w:val="28"/>
          <w:szCs w:val="28"/>
        </w:rPr>
        <w:t>（年/季度/月）</w:t>
      </w:r>
      <w:r>
        <w:rPr>
          <w:rFonts w:hint="eastAsia" w:ascii="仿宋" w:hAnsi="仿宋" w:eastAsia="仿宋" w:cs="仿宋"/>
          <w:sz w:val="28"/>
          <w:szCs w:val="28"/>
        </w:rPr>
        <w:t>支付等额费用。甲方验收合格，收到乙方给付相应金额发票后，甲方在</w:t>
      </w:r>
      <w:r>
        <w:rPr>
          <w:rFonts w:hint="eastAsia" w:ascii="仿宋" w:hAnsi="仿宋" w:eastAsia="仿宋" w:cs="仿宋"/>
          <w:sz w:val="28"/>
          <w:szCs w:val="28"/>
          <w:u w:val="single"/>
        </w:rPr>
        <w:t xml:space="preserve">    </w:t>
      </w:r>
      <w:r>
        <w:rPr>
          <w:rFonts w:hint="eastAsia" w:ascii="仿宋" w:hAnsi="仿宋" w:eastAsia="仿宋" w:cs="仿宋"/>
          <w:sz w:val="28"/>
          <w:szCs w:val="28"/>
        </w:rPr>
        <w:t>工作日内，一次性支付发票对应货款</w:t>
      </w:r>
      <w:r>
        <w:rPr>
          <w:rFonts w:hint="eastAsia" w:ascii="仿宋" w:hAnsi="仿宋" w:eastAsia="仿宋" w:cs="仿宋"/>
          <w:sz w:val="28"/>
          <w:szCs w:val="28"/>
          <w:u w:val="single"/>
        </w:rPr>
        <w:t>100%</w:t>
      </w:r>
      <w:r>
        <w:rPr>
          <w:rFonts w:hint="eastAsia" w:ascii="仿宋" w:hAnsi="仿宋" w:eastAsia="仿宋" w:cs="仿宋"/>
          <w:sz w:val="28"/>
          <w:szCs w:val="28"/>
        </w:rPr>
        <w:t>。</w:t>
      </w:r>
    </w:p>
    <w:p w14:paraId="764C52FD">
      <w:pPr>
        <w:keepNext w:val="0"/>
        <w:keepLines w:val="0"/>
        <w:pageBreakBefore w:val="0"/>
        <w:widowControl/>
        <w:kinsoku/>
        <w:overflowPunct/>
        <w:topLinePunct w:val="0"/>
        <w:bidi w:val="0"/>
        <w:snapToGrid w:val="0"/>
        <w:spacing w:line="360" w:lineRule="auto"/>
        <w:ind w:firstLine="840" w:firstLineChars="300"/>
        <w:jc w:val="left"/>
        <w:rPr>
          <w:rFonts w:hint="eastAsia" w:ascii="仿宋" w:hAnsi="仿宋" w:eastAsia="仿宋" w:cs="仿宋"/>
          <w:sz w:val="28"/>
          <w:szCs w:val="28"/>
          <w:u w:val="single"/>
        </w:rPr>
      </w:pPr>
      <w:r>
        <w:rPr>
          <w:rFonts w:hint="eastAsia" w:ascii="仿宋" w:hAnsi="仿宋" w:eastAsia="仿宋" w:cs="仿宋"/>
          <w:sz w:val="28"/>
          <w:szCs w:val="28"/>
        </w:rPr>
        <w:t>2）按本合同项下的项目进度支付</w:t>
      </w:r>
      <w:r>
        <w:rPr>
          <w:rFonts w:hint="eastAsia" w:ascii="仿宋" w:hAnsi="仿宋" w:eastAsia="仿宋" w:cs="仿宋"/>
          <w:i/>
          <w:iCs/>
          <w:color w:val="FF0000"/>
          <w:sz w:val="28"/>
          <w:szCs w:val="28"/>
        </w:rPr>
        <w:t>（应根据项目特点具体约定）</w:t>
      </w:r>
      <w:r>
        <w:rPr>
          <w:rFonts w:hint="eastAsia" w:ascii="仿宋" w:hAnsi="仿宋" w:eastAsia="仿宋" w:cs="仿宋"/>
          <w:sz w:val="28"/>
          <w:szCs w:val="28"/>
        </w:rPr>
        <w:t>：</w:t>
      </w:r>
      <w:r>
        <w:rPr>
          <w:rFonts w:hint="eastAsia" w:ascii="仿宋" w:hAnsi="仿宋" w:eastAsia="仿宋" w:cs="仿宋"/>
          <w:sz w:val="28"/>
          <w:szCs w:val="28"/>
          <w:u w:val="single"/>
        </w:rPr>
        <w:t xml:space="preserve">                      </w:t>
      </w:r>
    </w:p>
    <w:p w14:paraId="3D77D56B">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（3）其他支付方式</w:t>
      </w:r>
      <w:r>
        <w:rPr>
          <w:rFonts w:hint="eastAsia" w:ascii="仿宋" w:hAnsi="仿宋" w:eastAsia="仿宋" w:cs="仿宋"/>
          <w:i/>
          <w:iCs/>
          <w:color w:val="FF0000"/>
          <w:sz w:val="28"/>
          <w:szCs w:val="28"/>
        </w:rPr>
        <w:t>（须注明依据，且符合学校财务相关规定）</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5E02FCF">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五、包装运输要求</w:t>
      </w:r>
    </w:p>
    <w:p w14:paraId="7BFB64E0">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5.1货物的运输方式由乙方自行选择，乙方需确保货物安全无损地运抵约定的交付地点。除另有约定外，货物需原厂商包装，且包装物不回收。</w:t>
      </w:r>
    </w:p>
    <w:p w14:paraId="17D24E3B">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5.2 除另有约定外，乙方负责办理将货物运抵本合同规定的交货地点，并装卸、交付至甲方的一切运输事项，相关费用包含在合同价款中。</w:t>
      </w:r>
    </w:p>
    <w:p w14:paraId="212CFD4E">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六、交付地点及方式</w:t>
      </w:r>
    </w:p>
    <w:p w14:paraId="45BAE3E9">
      <w:pPr>
        <w:keepNext w:val="0"/>
        <w:keepLines w:val="0"/>
        <w:pageBreakBefore w:val="0"/>
        <w:widowControl/>
        <w:kinsoku/>
        <w:overflowPunct/>
        <w:topLinePunct w:val="0"/>
        <w:autoSpaceDE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6.1交付期限：起始日期：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日，终止日期：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日。/自合同签订之日起</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48D4C0D">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6.2交付地点：</w:t>
      </w:r>
      <w:r>
        <w:rPr>
          <w:rFonts w:hint="eastAsia" w:ascii="仿宋" w:hAnsi="仿宋" w:eastAsia="仿宋" w:cs="仿宋"/>
          <w:i/>
          <w:iCs/>
          <w:color w:val="FF0000"/>
          <w:sz w:val="28"/>
          <w:szCs w:val="28"/>
          <w:u w:val="single" w:color="000000"/>
          <w:lang w:eastAsia="zh-CN"/>
        </w:rPr>
        <w:t>陕西省档案馆</w:t>
      </w:r>
      <w:r>
        <w:rPr>
          <w:rFonts w:hint="eastAsia" w:ascii="仿宋" w:hAnsi="仿宋" w:eastAsia="仿宋" w:cs="仿宋"/>
          <w:sz w:val="28"/>
          <w:szCs w:val="28"/>
        </w:rPr>
        <w:t xml:space="preserve"> </w:t>
      </w:r>
    </w:p>
    <w:p w14:paraId="71215B2D">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6.3交付方式：本合同按以下第</w:t>
      </w:r>
      <w:r>
        <w:rPr>
          <w:rFonts w:hint="eastAsia" w:ascii="仿宋" w:hAnsi="仿宋" w:eastAsia="仿宋" w:cs="仿宋"/>
          <w:sz w:val="28"/>
          <w:szCs w:val="28"/>
          <w:u w:val="single"/>
        </w:rPr>
        <w:t>（ ）</w:t>
      </w:r>
      <w:r>
        <w:rPr>
          <w:rFonts w:hint="eastAsia" w:ascii="仿宋" w:hAnsi="仿宋" w:eastAsia="仿宋" w:cs="仿宋"/>
          <w:sz w:val="28"/>
          <w:szCs w:val="28"/>
        </w:rPr>
        <w:t>种顺序交货：</w:t>
      </w:r>
    </w:p>
    <w:p w14:paraId="4CFDC75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（1）在合同交付期限内，乙方在货物交付前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日内通知甲方，甲方配合乙方做好货物的现场接收工作。 </w:t>
      </w:r>
    </w:p>
    <w:p w14:paraId="54E098D5">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（2）在合同交付期限内，乙方自收到甲方通知之日起</w:t>
      </w:r>
      <w:r>
        <w:rPr>
          <w:rFonts w:hint="eastAsia" w:ascii="仿宋" w:hAnsi="仿宋" w:eastAsia="仿宋" w:cs="仿宋"/>
          <w:sz w:val="28"/>
          <w:szCs w:val="28"/>
          <w:u w:val="single"/>
        </w:rPr>
        <w:t xml:space="preserve">   </w:t>
      </w:r>
      <w:r>
        <w:rPr>
          <w:rFonts w:hint="eastAsia" w:ascii="仿宋" w:hAnsi="仿宋" w:eastAsia="仿宋" w:cs="仿宋"/>
          <w:sz w:val="28"/>
          <w:szCs w:val="28"/>
        </w:rPr>
        <w:t>日内，将货物运输装卸至指定地点，甲方配合乙方做好货物的现场接收工作。</w:t>
      </w:r>
    </w:p>
    <w:p w14:paraId="51DAAEDA">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 xml:space="preserve">七、风险承担 </w:t>
      </w:r>
    </w:p>
    <w:p w14:paraId="39C75E3D">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7.1货物在经甲方验收合格前产生的毁损、灭失等一系列风险均由乙方承担。</w:t>
      </w:r>
    </w:p>
    <w:p w14:paraId="7802CE6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7.2因货物不符合质量要求，致使不能实现合同目的的，甲方可以拒绝接受货物或者解除合同。甲方拒绝接受货物或者解除合同的，货物毁损、灭失的风险由乙方承担。</w:t>
      </w:r>
    </w:p>
    <w:p w14:paraId="3971C75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7.3由乙方承担货物毁损、灭失风险的，如货物毁损或灭失的，乙方应于合同履行期限内或自甲方通知之日起</w:t>
      </w:r>
      <w:r>
        <w:rPr>
          <w:rFonts w:hint="eastAsia" w:ascii="仿宋" w:hAnsi="仿宋" w:eastAsia="仿宋" w:cs="仿宋"/>
          <w:sz w:val="28"/>
          <w:szCs w:val="28"/>
          <w:u w:val="single"/>
        </w:rPr>
        <w:t xml:space="preserve">   </w:t>
      </w:r>
      <w:r>
        <w:rPr>
          <w:rFonts w:hint="eastAsia" w:ascii="仿宋" w:hAnsi="仿宋" w:eastAsia="仿宋" w:cs="仿宋"/>
          <w:sz w:val="28"/>
          <w:szCs w:val="28"/>
        </w:rPr>
        <w:t>日内重新提供符合合同规定的货物，否则，视为乙方逾期交货。</w:t>
      </w:r>
    </w:p>
    <w:p w14:paraId="55367DA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7.7货物毁损、灭失的风险由甲方承担的，不影响因乙方履行义务不符合约定，甲方请求其承担违约责任的权利。</w:t>
      </w:r>
    </w:p>
    <w:p w14:paraId="34BAFE7A">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八、验收标准和方法</w:t>
      </w:r>
    </w:p>
    <w:p w14:paraId="1CBE3943">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8.1验收组织方式：</w:t>
      </w:r>
      <w:r>
        <w:rPr>
          <w:rFonts w:hint="eastAsia" w:ascii="仿宋" w:hAnsi="仿宋" w:eastAsia="仿宋" w:cs="仿宋"/>
          <w:sz w:val="28"/>
          <w:szCs w:val="28"/>
          <w:u w:val="single"/>
        </w:rPr>
        <w:t>自行验收/联合验收/委托验收</w:t>
      </w:r>
      <w:r>
        <w:rPr>
          <w:rFonts w:hint="eastAsia" w:ascii="仿宋" w:hAnsi="仿宋" w:eastAsia="仿宋" w:cs="仿宋"/>
          <w:sz w:val="28"/>
          <w:szCs w:val="28"/>
        </w:rPr>
        <w:t>。</w:t>
      </w:r>
    </w:p>
    <w:p w14:paraId="76D61AD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8.2验收时间：自乙方提出验收申请之日起</w:t>
      </w:r>
      <w:r>
        <w:rPr>
          <w:rFonts w:hint="eastAsia" w:ascii="仿宋" w:hAnsi="仿宋" w:eastAsia="仿宋" w:cs="仿宋"/>
          <w:sz w:val="28"/>
          <w:szCs w:val="28"/>
          <w:u w:val="single"/>
        </w:rPr>
        <w:t xml:space="preserve"> 7日</w:t>
      </w:r>
      <w:r>
        <w:rPr>
          <w:rFonts w:hint="eastAsia" w:ascii="仿宋" w:hAnsi="仿宋" w:eastAsia="仿宋" w:cs="仿宋"/>
          <w:sz w:val="28"/>
          <w:szCs w:val="28"/>
        </w:rPr>
        <w:t>内组织验收/另行验收。</w:t>
      </w:r>
    </w:p>
    <w:p w14:paraId="4670BFC4">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8.3验收方式：本合同按以下第</w:t>
      </w:r>
      <w:r>
        <w:rPr>
          <w:rFonts w:hint="eastAsia" w:ascii="仿宋" w:hAnsi="仿宋" w:eastAsia="仿宋" w:cs="仿宋"/>
          <w:sz w:val="28"/>
          <w:szCs w:val="28"/>
          <w:u w:val="single"/>
        </w:rPr>
        <w:t xml:space="preserve">   </w:t>
      </w:r>
      <w:r>
        <w:rPr>
          <w:rFonts w:hint="eastAsia" w:ascii="仿宋" w:hAnsi="仿宋" w:eastAsia="仿宋" w:cs="仿宋"/>
          <w:sz w:val="28"/>
          <w:szCs w:val="28"/>
        </w:rPr>
        <w:t>种方式验收：</w:t>
      </w:r>
    </w:p>
    <w:p w14:paraId="52CE40E9">
      <w:pPr>
        <w:keepNext w:val="0"/>
        <w:keepLines w:val="0"/>
        <w:pageBreakBefore w:val="0"/>
        <w:widowControl/>
        <w:numPr>
          <w:ilvl w:val="0"/>
          <w:numId w:val="1"/>
        </w:numPr>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一次性验收</w:t>
      </w:r>
    </w:p>
    <w:p w14:paraId="542A52CC">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（2）分期验收：</w:t>
      </w:r>
      <w:r>
        <w:rPr>
          <w:rFonts w:hint="eastAsia" w:ascii="仿宋" w:hAnsi="仿宋" w:eastAsia="仿宋" w:cs="仿宋"/>
          <w:sz w:val="28"/>
          <w:szCs w:val="28"/>
          <w:u w:val="single" w:color="000000"/>
        </w:rPr>
        <w:t xml:space="preserve"> </w:t>
      </w:r>
      <w:r>
        <w:rPr>
          <w:rFonts w:hint="eastAsia" w:ascii="仿宋" w:hAnsi="仿宋" w:eastAsia="仿宋" w:cs="仿宋"/>
          <w:i/>
          <w:iCs/>
          <w:color w:val="FF0000"/>
          <w:sz w:val="28"/>
          <w:szCs w:val="28"/>
          <w:u w:val="single" w:color="000000"/>
          <w:lang w:val="en-US" w:eastAsia="zh-CN"/>
        </w:rPr>
        <w:t>/</w:t>
      </w:r>
      <w:r>
        <w:rPr>
          <w:rFonts w:hint="eastAsia" w:ascii="仿宋" w:hAnsi="仿宋" w:eastAsia="仿宋" w:cs="仿宋"/>
          <w:sz w:val="28"/>
          <w:szCs w:val="28"/>
          <w:u w:val="single" w:color="000000"/>
        </w:rPr>
        <w:t xml:space="preserve">  </w:t>
      </w:r>
      <w:r>
        <w:rPr>
          <w:rFonts w:hint="eastAsia" w:ascii="仿宋" w:hAnsi="仿宋" w:eastAsia="仿宋" w:cs="仿宋"/>
          <w:sz w:val="28"/>
          <w:szCs w:val="28"/>
        </w:rPr>
        <w:t xml:space="preserve">         </w:t>
      </w:r>
    </w:p>
    <w:p w14:paraId="0268AED1">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u w:val="single"/>
          <w:lang w:eastAsia="zh-CN"/>
        </w:rPr>
      </w:pPr>
      <w:r>
        <w:rPr>
          <w:rFonts w:hint="eastAsia" w:ascii="仿宋" w:hAnsi="仿宋" w:eastAsia="仿宋" w:cs="仿宋"/>
          <w:sz w:val="28"/>
          <w:szCs w:val="28"/>
        </w:rPr>
        <w:t>（3）分段验收：</w:t>
      </w:r>
      <w:r>
        <w:rPr>
          <w:rFonts w:hint="eastAsia" w:ascii="仿宋" w:hAnsi="仿宋" w:eastAsia="仿宋" w:cs="仿宋"/>
          <w:sz w:val="28"/>
          <w:szCs w:val="28"/>
          <w:u w:val="single"/>
        </w:rPr>
        <w:t xml:space="preserve"> </w:t>
      </w:r>
      <w:r>
        <w:rPr>
          <w:rFonts w:hint="eastAsia" w:ascii="仿宋" w:hAnsi="仿宋" w:eastAsia="仿宋" w:cs="仿宋"/>
          <w:i/>
          <w:iCs/>
          <w:color w:val="FF0000"/>
          <w:sz w:val="28"/>
          <w:szCs w:val="28"/>
          <w:u w:val="single" w:color="000000"/>
          <w:lang w:val="en-US" w:eastAsia="zh-CN"/>
        </w:rPr>
        <w:t>/</w:t>
      </w:r>
    </w:p>
    <w:p w14:paraId="2F6ABDC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8.4验收程序：</w:t>
      </w:r>
    </w:p>
    <w:p w14:paraId="2D1C19A1">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货物运抵，经乙方安装、调试并达到验收条件，乙方提出书面验收验收申请后，甲方负责对乙方所交货物按照合同、合同项下技术协议、采购/招标文件、响应/投标文件约定的规格型号和技术指标等内容，按照</w:t>
      </w:r>
      <w:r>
        <w:rPr>
          <w:rFonts w:hint="eastAsia" w:ascii="仿宋" w:hAnsi="仿宋" w:eastAsia="仿宋" w:cs="仿宋"/>
          <w:sz w:val="28"/>
          <w:szCs w:val="28"/>
          <w:lang w:eastAsia="zh-CN"/>
        </w:rPr>
        <w:t>陕西省档案馆验收要求</w:t>
      </w:r>
      <w:r>
        <w:rPr>
          <w:rFonts w:hint="eastAsia" w:ascii="仿宋" w:hAnsi="仿宋" w:eastAsia="仿宋" w:cs="仿宋"/>
          <w:sz w:val="28"/>
          <w:szCs w:val="28"/>
        </w:rPr>
        <w:t>进行验收。</w:t>
      </w:r>
    </w:p>
    <w:p w14:paraId="55E813FE">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8.5验收的内容： </w:t>
      </w:r>
      <w:r>
        <w:rPr>
          <w:rFonts w:hint="eastAsia" w:ascii="仿宋" w:hAnsi="仿宋" w:eastAsia="仿宋" w:cs="仿宋"/>
          <w:i/>
          <w:iCs/>
          <w:color w:val="FF0000"/>
          <w:sz w:val="28"/>
          <w:szCs w:val="28"/>
          <w:u w:val="single" w:color="000000"/>
        </w:rPr>
        <w:t>（包括每一项技术和商务要求的履约情况）</w:t>
      </w:r>
      <w:r>
        <w:rPr>
          <w:rFonts w:hint="eastAsia" w:ascii="仿宋" w:hAnsi="仿宋" w:eastAsia="仿宋" w:cs="仿宋"/>
          <w:color w:val="FF0000"/>
          <w:sz w:val="28"/>
          <w:szCs w:val="28"/>
          <w:u w:val="single" w:color="000000"/>
        </w:rPr>
        <w:t xml:space="preserve"> </w:t>
      </w:r>
      <w:r>
        <w:rPr>
          <w:rFonts w:hint="eastAsia" w:ascii="仿宋" w:hAnsi="仿宋" w:eastAsia="仿宋" w:cs="仿宋"/>
          <w:color w:val="FF0000"/>
          <w:sz w:val="28"/>
          <w:szCs w:val="28"/>
          <w:u w:color="000000"/>
        </w:rPr>
        <w:t xml:space="preserve"> </w:t>
      </w:r>
      <w:r>
        <w:rPr>
          <w:rFonts w:hint="eastAsia" w:ascii="仿宋" w:hAnsi="仿宋" w:eastAsia="仿宋" w:cs="仿宋"/>
          <w:sz w:val="28"/>
          <w:szCs w:val="28"/>
          <w:u w:color="000000"/>
        </w:rPr>
        <w:t xml:space="preserve">   </w:t>
      </w:r>
      <w:r>
        <w:rPr>
          <w:rFonts w:hint="eastAsia" w:ascii="仿宋" w:hAnsi="仿宋" w:eastAsia="仿宋" w:cs="仿宋"/>
          <w:sz w:val="28"/>
          <w:szCs w:val="28"/>
        </w:rPr>
        <w:t xml:space="preserve">                                 </w:t>
      </w:r>
    </w:p>
    <w:p w14:paraId="3D1F441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u w:color="000000"/>
        </w:rPr>
      </w:pPr>
      <w:r>
        <w:rPr>
          <w:rFonts w:hint="eastAsia" w:ascii="仿宋" w:hAnsi="仿宋" w:eastAsia="仿宋" w:cs="仿宋"/>
          <w:sz w:val="28"/>
          <w:szCs w:val="28"/>
        </w:rPr>
        <w:t>8.6验收标准：</w:t>
      </w:r>
      <w:r>
        <w:rPr>
          <w:rFonts w:hint="eastAsia" w:ascii="仿宋" w:hAnsi="仿宋" w:eastAsia="仿宋" w:cs="仿宋"/>
          <w:i/>
          <w:iCs/>
          <w:color w:val="FF0000"/>
          <w:sz w:val="28"/>
          <w:szCs w:val="28"/>
          <w:u w:val="single"/>
        </w:rPr>
        <w:t>招标人根据合同要求进行验收，验收依据为合同文本、招标文件、投标文件以及现行的国家标准或国家行政部门颁布的法律法规、规章制度等；没有国家标准的，可以参考行业标准。</w:t>
      </w:r>
    </w:p>
    <w:p w14:paraId="0386D0C1">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8.7验收其他事项：</w:t>
      </w:r>
      <w:r>
        <w:rPr>
          <w:rFonts w:hint="eastAsia" w:ascii="仿宋" w:hAnsi="仿宋" w:eastAsia="仿宋" w:cs="仿宋"/>
          <w:sz w:val="28"/>
          <w:szCs w:val="28"/>
          <w:u w:val="single"/>
        </w:rPr>
        <w:t xml:space="preserve">    </w:t>
      </w:r>
      <w:r>
        <w:rPr>
          <w:rFonts w:hint="eastAsia" w:ascii="仿宋" w:hAnsi="仿宋" w:eastAsia="仿宋" w:cs="仿宋"/>
          <w:sz w:val="28"/>
          <w:szCs w:val="28"/>
          <w:u w:val="single" w:color="000000"/>
        </w:rPr>
        <w:t xml:space="preserve">  </w:t>
      </w:r>
      <w:r>
        <w:rPr>
          <w:rFonts w:hint="eastAsia" w:ascii="仿宋" w:hAnsi="仿宋" w:eastAsia="仿宋" w:cs="仿宋"/>
          <w:i/>
          <w:iCs/>
          <w:color w:val="FF0000"/>
          <w:sz w:val="28"/>
          <w:szCs w:val="28"/>
          <w:u w:val="single" w:color="000000"/>
        </w:rPr>
        <w:t>（产权过户登记等）</w:t>
      </w:r>
      <w:r>
        <w:rPr>
          <w:rFonts w:hint="eastAsia" w:ascii="仿宋" w:hAnsi="仿宋" w:eastAsia="仿宋" w:cs="仿宋"/>
          <w:sz w:val="28"/>
          <w:szCs w:val="28"/>
          <w:u w:val="single" w:color="000000"/>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23B9E6BF">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8.8验收争议处理：</w:t>
      </w:r>
      <w:r>
        <w:rPr>
          <w:rFonts w:hint="eastAsia" w:ascii="仿宋" w:hAnsi="仿宋" w:eastAsia="仿宋" w:cs="仿宋"/>
          <w:sz w:val="28"/>
          <w:szCs w:val="28"/>
        </w:rPr>
        <w:t>如甲方验收未通过，可拒绝接收货物，甲方拒绝接收货物后产生的相关费用由乙方承担。</w:t>
      </w:r>
    </w:p>
    <w:p w14:paraId="1916FACE">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8.9资料归档：货物验收合格后，所有与货物相关的资料按照甲方管理要求一并交付。</w:t>
      </w:r>
    </w:p>
    <w:p w14:paraId="6608B7F7">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九、售后服务</w:t>
      </w:r>
    </w:p>
    <w:p w14:paraId="4A85D10C">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9.1乙方对甲方提出的服务响应不得超出</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p>
    <w:p w14:paraId="0B3D63B5">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9.2售后服务：具体服务详见乙方投标文件中乙方的承诺书。</w:t>
      </w:r>
    </w:p>
    <w:p w14:paraId="52545E45">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9.3人员培训：乙方免费为甲方培训设备使用人员，培训内容包括：设备操作、维护、简单维修等。</w:t>
      </w:r>
    </w:p>
    <w:p w14:paraId="7D380090">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十、甲乙双方的主要权利和义务</w:t>
      </w:r>
    </w:p>
    <w:p w14:paraId="2EAEC841">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10.1 甲方的权利和义务</w:t>
      </w:r>
    </w:p>
    <w:p w14:paraId="1145185C">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10.1.1签订合同后，甲方应确定项目负责人（或项目联系人），负责与本合同有关的事务。甲方有权对乙方的履约行为进行检查，并及时确认乙方提交的事项。</w:t>
      </w:r>
    </w:p>
    <w:p w14:paraId="1196F1F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10.1.2甲方有权要求乙方按时提交各阶段有关安排计划，并有权定期核对乙方提供货物数量、规格、质量等内容。甲方有权督促乙方工作并要求乙方更换不符合要求的货物。</w:t>
      </w:r>
    </w:p>
    <w:p w14:paraId="32258DF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10.1.3甲方有权要求乙方对缺陷部分予以修复或更换，并按合同约定享有货物保修及其他合同约定的权利。</w:t>
      </w:r>
    </w:p>
    <w:p w14:paraId="77CAF44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10.1.4如货物样品存在隐蔽瑕疵，即使交付的标的物与样品相同，乙方交付的标的物的质量仍然应当符合同种物的通常标准。如因隐蔽瑕疵给甲方造成损失，该损失应由乙方承担。</w:t>
      </w:r>
    </w:p>
    <w:p w14:paraId="0380BA73">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highlight w:val="yellow"/>
        </w:rPr>
      </w:pPr>
      <w:r>
        <w:rPr>
          <w:rFonts w:hint="eastAsia" w:ascii="仿宋" w:hAnsi="仿宋" w:eastAsia="仿宋" w:cs="仿宋"/>
          <w:sz w:val="28"/>
          <w:szCs w:val="28"/>
        </w:rPr>
        <w:t>10.1.5国家法律法规规定及本合同约定应由甲方承担的其他义务和责任。</w:t>
      </w:r>
    </w:p>
    <w:p w14:paraId="03339D2E">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10.2 乙方的权利和义务</w:t>
      </w:r>
    </w:p>
    <w:p w14:paraId="7B1AE1E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10.2.1签订合同后，乙方应确定项目负责人（或项目联系人），负责与本合同有关的事务。</w:t>
      </w:r>
    </w:p>
    <w:p w14:paraId="08F58C7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10.2.2乙方应按照合同要求履约，充分合理安排，确保提供的货物及相关服务符合合同有关要求。接受项目行业管理部门及政府有关部门的指导，配合甲方的履约检查及验收，并负责项目实施过程中的所有协调工作。</w:t>
      </w:r>
    </w:p>
    <w:p w14:paraId="6B5B91BC">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10.2.3乙方有权根据合同约定向甲方收取合同价款。</w:t>
      </w:r>
    </w:p>
    <w:p w14:paraId="716E1CA3">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10.2.4国家法律法规规定及本合同约定应由乙方承担的其他义务和责任。</w:t>
      </w:r>
    </w:p>
    <w:p w14:paraId="6F71C5BD">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十一、知识产权和保密条款</w:t>
      </w:r>
    </w:p>
    <w:p w14:paraId="58CC1CE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11.1知识产权</w:t>
      </w:r>
    </w:p>
    <w:p w14:paraId="6472461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11.1.1乙方应保证在货物中使用的任何技术、产品和服务（包括部分使用），不会产生因第三方提出侵犯其专利权、商标权或其它知识产权而引起的法律和经济纠纷，如存在前述情形，由乙方承担所有相关责任。甲方享有货物实施过程中产生的知识成果及知识产权。</w:t>
      </w:r>
    </w:p>
    <w:p w14:paraId="319F956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11.1.2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60C9FF2D">
      <w:pPr>
        <w:keepNext w:val="0"/>
        <w:keepLines w:val="0"/>
        <w:pageBreakBefore w:val="0"/>
        <w:widowControl/>
        <w:kinsoku/>
        <w:overflowPunct/>
        <w:topLinePunct w:val="0"/>
        <w:bidi w:val="0"/>
        <w:snapToGrid w:val="0"/>
        <w:spacing w:line="360" w:lineRule="auto"/>
        <w:ind w:firstLine="560" w:firstLineChars="200"/>
        <w:jc w:val="left"/>
        <w:rPr>
          <w:rStyle w:val="7"/>
          <w:rFonts w:hint="eastAsia" w:ascii="仿宋" w:hAnsi="仿宋" w:eastAsia="仿宋" w:cs="仿宋"/>
          <w:sz w:val="28"/>
          <w:szCs w:val="28"/>
        </w:rPr>
      </w:pPr>
      <w:r>
        <w:rPr>
          <w:rFonts w:hint="eastAsia" w:ascii="仿宋" w:hAnsi="仿宋" w:eastAsia="仿宋" w:cs="仿宋"/>
          <w:sz w:val="28"/>
          <w:szCs w:val="28"/>
        </w:rPr>
        <w:t>11.1.3如采用乙方所不拥有的知识产权，在乙方的报价中必须包括合法使用该知识产权的相关费用。</w:t>
      </w:r>
    </w:p>
    <w:p w14:paraId="1374DCC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11.2保密条款</w:t>
      </w:r>
    </w:p>
    <w:p w14:paraId="344413E4">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11.2.1甲乙双方应保证对在讨论、签订、执行本合同过程中所获悉的属于对方的且无法自公开渠道获得的文件及资料（包括国家秘密、工作秘密、商业秘密或其他应当保密的信息）予以保密。未经该资料和文件的原提供方同意，另一方不得向任何第三方泄露该全部或部分保密内容。但法律、法规另有规定或双方另有约定的除外。</w:t>
      </w:r>
    </w:p>
    <w:p w14:paraId="2D505DC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11.2.2甲乙双方的保密义务不因合同履行完毕，或提前解除而解除。甲乙双方的保密义务期限直至该保密信息变为公开信息为止，保密期限自本合同履行期满或提前解除后计算。</w:t>
      </w:r>
    </w:p>
    <w:p w14:paraId="1E4944D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11.2.3因违反保密义务而致对方遭受损失的，泄密方应赔偿对方所遭受的全部经济损失。</w:t>
      </w:r>
    </w:p>
    <w:p w14:paraId="4B51C555">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十二、违约责任</w:t>
      </w:r>
    </w:p>
    <w:p w14:paraId="11FCFFDC">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货物，乙方应向甲方支付合同金额10% 的违约金，并承担甲方因此产生的所有损失。</w:t>
      </w:r>
    </w:p>
    <w:p w14:paraId="1B26173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12.2乙方未按本合同约定按期交付货物的视同逾期交付，则须按合同金额的3‰/天向甲方支付逾期违约金。逾期</w:t>
      </w:r>
      <w:r>
        <w:rPr>
          <w:rFonts w:hint="eastAsia" w:ascii="仿宋" w:hAnsi="仿宋" w:eastAsia="仿宋" w:cs="仿宋"/>
          <w:sz w:val="28"/>
          <w:szCs w:val="28"/>
          <w:u w:val="single"/>
        </w:rPr>
        <w:t xml:space="preserve">   </w:t>
      </w:r>
      <w:r>
        <w:rPr>
          <w:rFonts w:hint="eastAsia" w:ascii="仿宋" w:hAnsi="仿宋" w:eastAsia="仿宋" w:cs="仿宋"/>
          <w:sz w:val="28"/>
          <w:szCs w:val="28"/>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cs="仿宋"/>
          <w:sz w:val="28"/>
          <w:szCs w:val="28"/>
          <w:u w:val="single"/>
        </w:rPr>
        <w:t>10%</w:t>
      </w:r>
      <w:r>
        <w:rPr>
          <w:rFonts w:hint="eastAsia" w:ascii="仿宋" w:hAnsi="仿宋" w:eastAsia="仿宋" w:cs="仿宋"/>
          <w:sz w:val="28"/>
          <w:szCs w:val="28"/>
        </w:rPr>
        <w:t>的解除违约金及承担甲方因此造成的所有损失。</w:t>
      </w:r>
    </w:p>
    <w:p w14:paraId="35988CFD">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12.3乙方不配合甲方货物采购验收工作、相关工作人员没有相应操作资质证书、操作失误、未尽安全保障义务、货物存在瑕疵或者安装调试不到位，乙方应向甲方支付合同金额</w:t>
      </w:r>
      <w:r>
        <w:rPr>
          <w:rFonts w:hint="eastAsia" w:ascii="仿宋" w:hAnsi="仿宋" w:eastAsia="仿宋" w:cs="仿宋"/>
          <w:sz w:val="28"/>
          <w:szCs w:val="28"/>
          <w:u w:val="single"/>
        </w:rPr>
        <w:t>10%</w:t>
      </w:r>
      <w:r>
        <w:rPr>
          <w:rFonts w:hint="eastAsia" w:ascii="仿宋" w:hAnsi="仿宋" w:eastAsia="仿宋" w:cs="仿宋"/>
          <w:sz w:val="28"/>
          <w:szCs w:val="28"/>
        </w:rPr>
        <w:t>的违约金，还应同时承担甲方因此造成的所有损失。</w:t>
      </w:r>
    </w:p>
    <w:p w14:paraId="6CC6288C">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12.4在质保期内乙方交付的货物存在瑕疵、未按合同约定及时响应甲方要求、怠于沟通解决货物问题等非因甲方原因，乙方除应承担货物运输、安装、调试或使用过程中造成的所有损失外，还应向甲方支付合同金额</w:t>
      </w:r>
      <w:r>
        <w:rPr>
          <w:rFonts w:hint="eastAsia" w:ascii="仿宋" w:hAnsi="仿宋" w:eastAsia="仿宋" w:cs="仿宋"/>
          <w:sz w:val="28"/>
          <w:szCs w:val="28"/>
          <w:u w:val="single"/>
        </w:rPr>
        <w:t>10%</w:t>
      </w:r>
      <w:r>
        <w:rPr>
          <w:rFonts w:hint="eastAsia" w:ascii="仿宋" w:hAnsi="仿宋" w:eastAsia="仿宋" w:cs="仿宋"/>
          <w:sz w:val="28"/>
          <w:szCs w:val="28"/>
        </w:rPr>
        <w:t>的违约金， 同时承担甲方因此造成的所有损失。</w:t>
      </w:r>
    </w:p>
    <w:p w14:paraId="6EE1910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12.5甲方延迟付款时，乙方有权要求甲方继续履行付款义务。乙方还可以要求甲方采取补救措施，以减轻或消除因违约造成的不良影响。补救措施可能包括但不限于：加快付款进度、支付逾期利息等。</w:t>
      </w:r>
    </w:p>
    <w:p w14:paraId="161EA4D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12.6因乙方未取得处分权致使货物所有权不能转移的，甲方可以解除合同并请求乙方承担违约责任。</w:t>
      </w:r>
    </w:p>
    <w:p w14:paraId="07A38B8C">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12.7本合同中的损失包含并不限于一切人身损害、财产损失、实验室污染造成的损失等，以及守约方为了弥补损失或维权所产生的一切费用（包括但不限于律师费、诉讼费、鉴定费、交通费、误工费等）。</w:t>
      </w:r>
    </w:p>
    <w:p w14:paraId="4CF0C0D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12.8除不可抗力原因外，乙方违约，乙方所缴纳的履约保证金甲方部分或全部予以扣除，作为对甲方的赔偿。如合同履约保证金不足以弥补甲方损失时，甲方有权要求乙方继续承担赔偿责任。</w:t>
      </w:r>
    </w:p>
    <w:p w14:paraId="285A48B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12.9甲方依据本合同相关约定解除合同，解除通知自送达乙方时，本合同解除。合同解除，乙方必须无条件退回已经支付的全部货款，赔偿甲方所有损失及因主张权利而产生的一切损失。</w:t>
      </w:r>
    </w:p>
    <w:p w14:paraId="6EAE94CB">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十三、不可抗力</w:t>
      </w:r>
    </w:p>
    <w:p w14:paraId="775F8C9D">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13.1 本条所述的“不可抗力”系指那些双方不可预见、不可避免、不可克服的事件，但不包括双方的违约或疏忽。包括但不限于:战争、严重火灾、洪水、台风、地震、公共卫生事件、国家政策的重大变化。</w:t>
      </w:r>
    </w:p>
    <w:p w14:paraId="5E35C58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56F55FC5">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十四、合同变更、中止与终止</w:t>
      </w:r>
    </w:p>
    <w:p w14:paraId="5475BC80">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14.1合同的变更</w:t>
      </w:r>
    </w:p>
    <w:p w14:paraId="5F2BD5F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政府采购合同履行中，在不改变合同其他条款的前提下，甲方可以在合同价款10%的范围内追加与合同标的相同的货物，并就此与乙方协商一致后签订补充合同。</w:t>
      </w:r>
    </w:p>
    <w:p w14:paraId="5D8F6CA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14.2合同的中止</w:t>
      </w:r>
    </w:p>
    <w:p w14:paraId="3EBCE68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合同履行过程中因供应商就采购文件、采购过程或结果提起投诉质疑的，甲方认为有必要的，可以中止合同的履行。</w:t>
      </w:r>
    </w:p>
    <w:p w14:paraId="15D392B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14.3合同的终止</w:t>
      </w:r>
    </w:p>
    <w:p w14:paraId="7AF458F8">
      <w:pPr>
        <w:keepNext w:val="0"/>
        <w:keepLines w:val="0"/>
        <w:pageBreakBefore w:val="0"/>
        <w:widowControl/>
        <w:kinsoku/>
        <w:overflowPunct/>
        <w:topLinePunct w:val="0"/>
        <w:bidi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（1）合同因履行期届满而终止。保密条款、争议解决和双方未了的债权和债务不受合同期满的影响，并且守约方有权提出索赔。</w:t>
      </w:r>
    </w:p>
    <w:p w14:paraId="28585F6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（2）乙方未按合同约定履行，构成根本性违约的，甲方有权终止合同，并追究乙方的违约责任。</w:t>
      </w:r>
    </w:p>
    <w:p w14:paraId="5F9E3EBB">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十五、争议解决方式</w:t>
      </w:r>
    </w:p>
    <w:p w14:paraId="2D4E5E9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15.1甲乙双方由于本合同的履行而发生任何争议时，双方可先通过协商解决，如协商不成，则双方中任何一方均应向甲方所在地人民法院起诉。                                                                     </w:t>
      </w:r>
    </w:p>
    <w:p w14:paraId="658373A4">
      <w:pPr>
        <w:keepNext w:val="0"/>
        <w:keepLines w:val="0"/>
        <w:pageBreakBefore w:val="0"/>
        <w:widowControl/>
        <w:tabs>
          <w:tab w:val="center" w:pos="4320"/>
        </w:tabs>
        <w:kinsoku/>
        <w:overflowPunct/>
        <w:topLinePunct w:val="0"/>
        <w:bidi w:val="0"/>
        <w:snapToGrid w:val="0"/>
        <w:spacing w:line="360" w:lineRule="auto"/>
        <w:jc w:val="left"/>
        <w:outlineLvl w:val="0"/>
        <w:rPr>
          <w:rFonts w:hint="eastAsia" w:ascii="仿宋" w:hAnsi="仿宋" w:eastAsia="仿宋" w:cs="仿宋"/>
          <w:b/>
          <w:bCs/>
          <w:sz w:val="28"/>
          <w:szCs w:val="28"/>
        </w:rPr>
      </w:pPr>
      <w:r>
        <w:rPr>
          <w:rFonts w:hint="eastAsia" w:ascii="仿宋" w:hAnsi="仿宋" w:eastAsia="仿宋" w:cs="仿宋"/>
          <w:b/>
          <w:bCs/>
          <w:sz w:val="28"/>
          <w:szCs w:val="28"/>
        </w:rPr>
        <w:t>十六、其他规定</w:t>
      </w:r>
    </w:p>
    <w:p w14:paraId="5C795F7D">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16.1合同的主要条款应当与招标文件/采购文件和乙方的投标文件/响应文件的内容保持一致，双方不得再行订立背离合同实质性内容的其他协议。</w:t>
      </w:r>
    </w:p>
    <w:p w14:paraId="4F5D250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16.2下述文件为本合同的重要组成部分，并与本合同一起阅读和解释，且具有同等法律效力：</w:t>
      </w:r>
    </w:p>
    <w:p w14:paraId="04BF73D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（1）合同附件1：产品功能要求、技术规格及配置详单；</w:t>
      </w:r>
    </w:p>
    <w:p w14:paraId="1A8B3F6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（2）合同附件2：补充条款（如果有）；</w:t>
      </w:r>
    </w:p>
    <w:p w14:paraId="7470FEB1">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（3）合同附件3：澄清函及最终报价和承诺（如果有）；</w:t>
      </w:r>
    </w:p>
    <w:p w14:paraId="558EBE3E">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（4）采购/招标文件；</w:t>
      </w:r>
    </w:p>
    <w:p w14:paraId="273999DB">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（5）响应/投标文件；</w:t>
      </w:r>
    </w:p>
    <w:p w14:paraId="7E3ED96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（6）中标通知书。</w:t>
      </w:r>
    </w:p>
    <w:p w14:paraId="2359494C">
      <w:pPr>
        <w:keepNext w:val="0"/>
        <w:keepLines w:val="0"/>
        <w:pageBreakBefore w:val="0"/>
        <w:widowControl/>
        <w:kinsoku/>
        <w:overflowPunct/>
        <w:topLinePunct w:val="0"/>
        <w:autoSpaceDE w:val="0"/>
        <w:autoSpaceDN w:val="0"/>
        <w:bidi w:val="0"/>
        <w:adjustRightInd w:val="0"/>
        <w:snapToGrid w:val="0"/>
        <w:spacing w:line="360" w:lineRule="auto"/>
        <w:ind w:left="420" w:leftChars="200"/>
        <w:jc w:val="left"/>
        <w:rPr>
          <w:rFonts w:hint="eastAsia" w:ascii="仿宋" w:hAnsi="仿宋" w:eastAsia="仿宋" w:cs="仿宋"/>
          <w:sz w:val="28"/>
          <w:szCs w:val="28"/>
          <w:u w:val="single" w:color="000000"/>
          <w:lang w:val="en-US" w:eastAsia="zh-CN"/>
        </w:rPr>
      </w:pPr>
      <w:r>
        <w:rPr>
          <w:rFonts w:hint="eastAsia" w:ascii="仿宋" w:hAnsi="仿宋" w:eastAsia="仿宋" w:cs="仿宋"/>
          <w:sz w:val="28"/>
          <w:szCs w:val="28"/>
        </w:rPr>
        <w:t>16.3组成合同的各项文件应互相解释，互为说明。解释合同文件的优先顺序为：</w:t>
      </w:r>
      <w:r>
        <w:rPr>
          <w:rFonts w:hint="eastAsia" w:ascii="仿宋" w:hAnsi="仿宋" w:eastAsia="仿宋" w:cs="仿宋"/>
          <w:i/>
          <w:iCs/>
          <w:color w:val="FF0000"/>
          <w:sz w:val="28"/>
          <w:szCs w:val="28"/>
          <w:u w:val="single" w:color="000000"/>
          <w:lang w:val="en-US" w:eastAsia="zh-CN"/>
        </w:rPr>
        <w:t xml:space="preserve">/    </w:t>
      </w:r>
    </w:p>
    <w:p w14:paraId="015CF686">
      <w:pPr>
        <w:keepNext w:val="0"/>
        <w:keepLines w:val="0"/>
        <w:pageBreakBefore w:val="0"/>
        <w:widowControl/>
        <w:kinsoku/>
        <w:overflowPunct/>
        <w:topLinePunct w:val="0"/>
        <w:autoSpaceDE w:val="0"/>
        <w:autoSpaceDN w:val="0"/>
        <w:bidi w:val="0"/>
        <w:adjustRightInd w:val="0"/>
        <w:snapToGrid w:val="0"/>
        <w:spacing w:line="360" w:lineRule="auto"/>
        <w:ind w:left="420" w:leftChars="200"/>
        <w:jc w:val="left"/>
        <w:rPr>
          <w:rFonts w:hint="eastAsia" w:ascii="仿宋" w:hAnsi="仿宋" w:eastAsia="仿宋" w:cs="仿宋"/>
          <w:color w:val="FF0000"/>
          <w:sz w:val="28"/>
          <w:szCs w:val="28"/>
        </w:rPr>
      </w:pPr>
      <w:r>
        <w:rPr>
          <w:rFonts w:hint="eastAsia" w:ascii="仿宋" w:hAnsi="仿宋" w:eastAsia="仿宋" w:cs="仿宋"/>
          <w:color w:val="FF0000"/>
          <w:sz w:val="28"/>
          <w:szCs w:val="28"/>
        </w:rPr>
        <w:t xml:space="preserve">   </w:t>
      </w:r>
    </w:p>
    <w:p w14:paraId="525BE91A">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16.4未尽事宜，双方协商解决。在本合同执行过程中，甲、乙双方协商签订的补充合同与原合同具有同等法律效力。</w:t>
      </w:r>
    </w:p>
    <w:p w14:paraId="65F66E8F">
      <w:pPr>
        <w:keepNext w:val="0"/>
        <w:keepLines w:val="0"/>
        <w:pageBreakBefore w:val="0"/>
        <w:widowControl/>
        <w:kinsoku/>
        <w:overflowPunct/>
        <w:topLinePunct w:val="0"/>
        <w:bidi w:val="0"/>
        <w:snapToGrid w:val="0"/>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16.5本合同应双面打印并</w:t>
      </w:r>
      <w:r>
        <w:rPr>
          <w:rFonts w:hint="eastAsia" w:ascii="仿宋" w:hAnsi="仿宋" w:eastAsia="仿宋" w:cs="仿宋"/>
          <w:b/>
          <w:bCs/>
          <w:color w:val="000000"/>
          <w:sz w:val="28"/>
          <w:szCs w:val="28"/>
        </w:rPr>
        <w:t>加盖骑缝章</w:t>
      </w:r>
      <w:r>
        <w:rPr>
          <w:rFonts w:hint="eastAsia" w:ascii="仿宋" w:hAnsi="仿宋" w:eastAsia="仿宋" w:cs="仿宋"/>
          <w:b/>
          <w:bCs/>
          <w:sz w:val="28"/>
          <w:szCs w:val="28"/>
        </w:rPr>
        <w:t>，合同附件应与合同一起装订，否则合同无效。</w:t>
      </w:r>
    </w:p>
    <w:p w14:paraId="3EA4E8D6">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16.6本合同一式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份，甲方执</w:t>
      </w:r>
      <w:r>
        <w:rPr>
          <w:rFonts w:hint="eastAsia" w:ascii="仿宋" w:hAnsi="仿宋" w:eastAsia="仿宋" w:cs="仿宋"/>
          <w:sz w:val="28"/>
          <w:szCs w:val="28"/>
          <w:u w:val="single"/>
        </w:rPr>
        <w:t xml:space="preserve">   </w:t>
      </w:r>
      <w:r>
        <w:rPr>
          <w:rFonts w:hint="eastAsia" w:ascii="仿宋" w:hAnsi="仿宋" w:eastAsia="仿宋" w:cs="仿宋"/>
          <w:sz w:val="28"/>
          <w:szCs w:val="28"/>
        </w:rPr>
        <w:t>份，乙方执</w:t>
      </w:r>
      <w:r>
        <w:rPr>
          <w:rFonts w:hint="eastAsia" w:ascii="仿宋" w:hAnsi="仿宋" w:eastAsia="仿宋" w:cs="仿宋"/>
          <w:sz w:val="28"/>
          <w:szCs w:val="28"/>
          <w:u w:val="single"/>
        </w:rPr>
        <w:t xml:space="preserve">   </w:t>
      </w:r>
      <w:r>
        <w:rPr>
          <w:rFonts w:hint="eastAsia" w:ascii="仿宋" w:hAnsi="仿宋" w:eastAsia="仿宋" w:cs="仿宋"/>
          <w:sz w:val="28"/>
          <w:szCs w:val="28"/>
        </w:rPr>
        <w:t>份，具有同等法律效力。</w:t>
      </w:r>
    </w:p>
    <w:p w14:paraId="535134E9">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p>
    <w:p w14:paraId="71DF10D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甲方（盖章）：                     乙方（盖章）：                                    </w:t>
      </w:r>
    </w:p>
    <w:p w14:paraId="6CCDD218">
      <w:pPr>
        <w:keepNext w:val="0"/>
        <w:keepLines w:val="0"/>
        <w:pageBreakBefore w:val="0"/>
        <w:widowControl/>
        <w:kinsoku/>
        <w:overflowPunct/>
        <w:topLinePunct w:val="0"/>
        <w:bidi w:val="0"/>
        <w:snapToGrid w:val="0"/>
        <w:spacing w:line="360" w:lineRule="auto"/>
        <w:ind w:left="420" w:leftChars="200" w:firstLine="44" w:firstLineChars="16"/>
        <w:jc w:val="left"/>
        <w:rPr>
          <w:rFonts w:hint="eastAsia" w:ascii="仿宋" w:hAnsi="仿宋" w:eastAsia="仿宋" w:cs="仿宋"/>
          <w:sz w:val="28"/>
          <w:szCs w:val="28"/>
        </w:rPr>
      </w:pPr>
      <w:r>
        <w:rPr>
          <w:rFonts w:hint="eastAsia" w:ascii="仿宋" w:hAnsi="仿宋" w:eastAsia="仿宋" w:cs="仿宋"/>
          <w:sz w:val="28"/>
          <w:szCs w:val="28"/>
        </w:rPr>
        <w:t>法定代表人（委托代理人）（签字）：  法定代表人（委托代理人）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签字）：</w:t>
      </w:r>
      <w:r>
        <w:rPr>
          <w:rFonts w:hint="eastAsia" w:ascii="仿宋" w:hAnsi="仿宋" w:eastAsia="仿宋" w:cs="仿宋"/>
          <w:sz w:val="28"/>
          <w:szCs w:val="28"/>
        </w:rPr>
        <w:t xml:space="preserve">                                            </w:t>
      </w:r>
    </w:p>
    <w:p w14:paraId="6EDCDD72">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p>
    <w:p w14:paraId="712A0A94">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联 系 人：                          联 系 人：                 </w:t>
      </w:r>
    </w:p>
    <w:p w14:paraId="1E8D0387">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联系方式：                          联系方式： </w:t>
      </w:r>
    </w:p>
    <w:p w14:paraId="00807F2F">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纳税人识别号：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纳税人识别号：</w:t>
      </w:r>
    </w:p>
    <w:p w14:paraId="474D712B">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开户银行：</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开户银行：</w:t>
      </w:r>
    </w:p>
    <w:p w14:paraId="6CEDE66B">
      <w:pPr>
        <w:keepNext w:val="0"/>
        <w:keepLines w:val="0"/>
        <w:pageBreakBefore w:val="0"/>
        <w:widowControl/>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开户银行账号：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开户银行账号：</w:t>
      </w:r>
    </w:p>
    <w:p w14:paraId="2BA3FF97">
      <w:pPr>
        <w:keepNext w:val="0"/>
        <w:keepLines w:val="0"/>
        <w:pageBreakBefore w:val="0"/>
        <w:widowControl/>
        <w:tabs>
          <w:tab w:val="left" w:pos="5280"/>
        </w:tabs>
        <w:kinsoku/>
        <w:overflowPunct/>
        <w:topLinePunct w:val="0"/>
        <w:bidi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签订时间：  年  月   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签订时间：  年   月   日 </w:t>
      </w:r>
    </w:p>
    <w:p w14:paraId="1826F810">
      <w:pPr>
        <w:keepNext w:val="0"/>
        <w:keepLines w:val="0"/>
        <w:pageBreakBefore w:val="0"/>
        <w:widowControl/>
        <w:kinsoku/>
        <w:overflowPunct/>
        <w:topLinePunct w:val="0"/>
        <w:bidi w:val="0"/>
        <w:snapToGrid w:val="0"/>
        <w:spacing w:line="360" w:lineRule="auto"/>
        <w:ind w:left="420" w:leftChars="200"/>
        <w:jc w:val="left"/>
        <w:rPr>
          <w:rFonts w:hint="eastAsia" w:ascii="仿宋" w:hAnsi="仿宋" w:eastAsia="仿宋" w:cs="仿宋"/>
          <w:sz w:val="28"/>
          <w:szCs w:val="28"/>
        </w:rPr>
      </w:pPr>
    </w:p>
    <w:p w14:paraId="6EC9E52F">
      <w:pPr>
        <w:keepNext w:val="0"/>
        <w:keepLines w:val="0"/>
        <w:pageBreakBefore w:val="0"/>
        <w:widowControl/>
        <w:kinsoku/>
        <w:overflowPunct/>
        <w:topLinePunct w:val="0"/>
        <w:bidi w:val="0"/>
        <w:snapToGrid w:val="0"/>
        <w:spacing w:line="360" w:lineRule="auto"/>
        <w:ind w:left="420" w:leftChars="200"/>
        <w:jc w:val="left"/>
        <w:rPr>
          <w:rFonts w:hint="eastAsia" w:ascii="仿宋" w:hAnsi="仿宋" w:eastAsia="仿宋" w:cs="仿宋"/>
          <w:sz w:val="28"/>
          <w:szCs w:val="28"/>
        </w:rPr>
      </w:pPr>
      <w:r>
        <w:rPr>
          <w:rFonts w:hint="eastAsia" w:ascii="仿宋" w:hAnsi="仿宋" w:eastAsia="仿宋" w:cs="仿宋"/>
          <w:sz w:val="28"/>
          <w:szCs w:val="28"/>
        </w:rPr>
        <w:t>-------------------------------------------------------------------------------------------------------------------------------</w:t>
      </w:r>
    </w:p>
    <w:p w14:paraId="319C520A">
      <w:pPr>
        <w:keepNext w:val="0"/>
        <w:keepLines w:val="0"/>
        <w:pageBreakBefore w:val="0"/>
        <w:widowControl/>
        <w:kinsoku/>
        <w:overflowPunct/>
        <w:topLinePunct w:val="0"/>
        <w:bidi w:val="0"/>
        <w:snapToGrid w:val="0"/>
        <w:spacing w:line="360" w:lineRule="auto"/>
        <w:ind w:left="420" w:leftChars="200"/>
        <w:jc w:val="left"/>
        <w:rPr>
          <w:rFonts w:hint="eastAsia" w:ascii="仿宋" w:hAnsi="仿宋" w:eastAsia="仿宋" w:cs="仿宋"/>
          <w:sz w:val="28"/>
          <w:szCs w:val="28"/>
        </w:rPr>
      </w:pPr>
      <w:r>
        <w:rPr>
          <w:rFonts w:hint="eastAsia" w:ascii="仿宋" w:hAnsi="仿宋" w:eastAsia="仿宋" w:cs="仿宋"/>
          <w:sz w:val="28"/>
          <w:szCs w:val="28"/>
        </w:rPr>
        <w:t>------以下无内容 。</w:t>
      </w:r>
    </w:p>
    <w:p w14:paraId="0F6ABB01">
      <w:pPr>
        <w:keepNext w:val="0"/>
        <w:keepLines w:val="0"/>
        <w:pageBreakBefore w:val="0"/>
        <w:widowControl/>
        <w:kinsoku/>
        <w:overflowPunct/>
        <w:topLinePunct w:val="0"/>
        <w:bidi w:val="0"/>
        <w:snapToGrid w:val="0"/>
        <w:spacing w:line="360" w:lineRule="auto"/>
        <w:ind w:firstLine="562" w:firstLineChars="200"/>
        <w:jc w:val="left"/>
        <w:rPr>
          <w:rFonts w:hint="eastAsia" w:ascii="仿宋" w:hAnsi="仿宋" w:eastAsia="仿宋" w:cs="仿宋"/>
          <w:b/>
          <w:bCs/>
          <w:sz w:val="28"/>
          <w:szCs w:val="28"/>
        </w:rPr>
      </w:pPr>
    </w:p>
    <w:p w14:paraId="7DD20FAA">
      <w:pPr>
        <w:keepNext w:val="0"/>
        <w:keepLines w:val="0"/>
        <w:pageBreakBefore w:val="0"/>
        <w:widowControl/>
        <w:kinsoku/>
        <w:overflowPunct/>
        <w:topLinePunct w:val="0"/>
        <w:bidi w:val="0"/>
        <w:snapToGrid w:val="0"/>
        <w:spacing w:line="360" w:lineRule="auto"/>
        <w:ind w:firstLine="562" w:firstLineChars="200"/>
        <w:jc w:val="left"/>
        <w:rPr>
          <w:rFonts w:hint="eastAsia" w:ascii="仿宋" w:hAnsi="仿宋" w:eastAsia="仿宋" w:cs="仿宋"/>
          <w:b/>
          <w:bCs/>
          <w:sz w:val="28"/>
          <w:szCs w:val="28"/>
        </w:rPr>
      </w:pPr>
      <w:r>
        <w:rPr>
          <w:rFonts w:hint="eastAsia" w:ascii="仿宋" w:hAnsi="仿宋" w:eastAsia="仿宋" w:cs="仿宋"/>
          <w:b/>
          <w:bCs/>
          <w:sz w:val="28"/>
          <w:szCs w:val="28"/>
        </w:rPr>
        <w:t>附件：</w:t>
      </w:r>
    </w:p>
    <w:p w14:paraId="0827C86F">
      <w:pPr>
        <w:keepNext w:val="0"/>
        <w:keepLines w:val="0"/>
        <w:pageBreakBefore w:val="0"/>
        <w:widowControl/>
        <w:kinsoku/>
        <w:overflowPunct/>
        <w:topLinePunct w:val="0"/>
        <w:bidi w:val="0"/>
        <w:snapToGrid w:val="0"/>
        <w:spacing w:line="360" w:lineRule="auto"/>
        <w:ind w:firstLine="980" w:firstLineChars="350"/>
        <w:jc w:val="left"/>
        <w:rPr>
          <w:rFonts w:hint="eastAsia" w:ascii="仿宋" w:hAnsi="仿宋" w:eastAsia="仿宋" w:cs="仿宋"/>
          <w:sz w:val="28"/>
          <w:szCs w:val="28"/>
        </w:rPr>
      </w:pPr>
      <w:r>
        <w:rPr>
          <w:rFonts w:hint="eastAsia" w:ascii="仿宋" w:hAnsi="仿宋" w:eastAsia="仿宋" w:cs="仿宋"/>
          <w:sz w:val="28"/>
          <w:szCs w:val="28"/>
        </w:rPr>
        <w:t>附件1：标的清单；</w:t>
      </w:r>
    </w:p>
    <w:p w14:paraId="62F57F2F">
      <w:pPr>
        <w:keepNext w:val="0"/>
        <w:keepLines w:val="0"/>
        <w:pageBreakBefore w:val="0"/>
        <w:widowControl/>
        <w:kinsoku/>
        <w:overflowPunct/>
        <w:topLinePunct w:val="0"/>
        <w:bidi w:val="0"/>
        <w:snapToGrid w:val="0"/>
        <w:spacing w:line="360" w:lineRule="auto"/>
        <w:ind w:firstLine="980" w:firstLineChars="350"/>
        <w:jc w:val="left"/>
        <w:rPr>
          <w:rFonts w:hint="eastAsia" w:ascii="仿宋" w:hAnsi="仿宋" w:eastAsia="仿宋" w:cs="仿宋"/>
          <w:sz w:val="28"/>
          <w:szCs w:val="28"/>
        </w:rPr>
      </w:pPr>
      <w:r>
        <w:rPr>
          <w:rFonts w:hint="eastAsia" w:ascii="仿宋" w:hAnsi="仿宋" w:eastAsia="仿宋" w:cs="仿宋"/>
          <w:sz w:val="28"/>
          <w:szCs w:val="28"/>
        </w:rPr>
        <w:t>附件2：补充条款（如果有）；</w:t>
      </w:r>
    </w:p>
    <w:p w14:paraId="111D7332">
      <w:pPr>
        <w:keepNext w:val="0"/>
        <w:keepLines w:val="0"/>
        <w:pageBreakBefore w:val="0"/>
        <w:widowControl/>
        <w:kinsoku/>
        <w:overflowPunct/>
        <w:topLinePunct w:val="0"/>
        <w:bidi w:val="0"/>
        <w:snapToGrid w:val="0"/>
        <w:spacing w:line="360" w:lineRule="auto"/>
        <w:jc w:val="left"/>
        <w:rPr>
          <w:rFonts w:ascii="仿宋" w:hAnsi="仿宋" w:eastAsia="仿宋"/>
          <w:sz w:val="24"/>
        </w:rPr>
      </w:pPr>
      <w:r>
        <w:rPr>
          <w:rFonts w:hint="eastAsia" w:ascii="仿宋" w:hAnsi="仿宋" w:eastAsia="仿宋" w:cs="仿宋"/>
          <w:sz w:val="28"/>
          <w:szCs w:val="28"/>
        </w:rPr>
        <w:t>附件3澄清函及最终报价和承诺（如果有）；</w:t>
      </w:r>
    </w:p>
    <w:p w14:paraId="636E8370">
      <w:pPr>
        <w:jc w:val="left"/>
        <w:rPr>
          <w:rFonts w:ascii="仿宋" w:hAnsi="仿宋" w:eastAsia="仿宋"/>
          <w:sz w:val="24"/>
        </w:rPr>
      </w:pPr>
      <w:r>
        <w:rPr>
          <w:rFonts w:ascii="仿宋" w:hAnsi="仿宋" w:eastAsia="仿宋"/>
          <w:sz w:val="24"/>
        </w:rPr>
        <w:br w:type="page"/>
      </w:r>
    </w:p>
    <w:p w14:paraId="753C3439">
      <w:pPr>
        <w:spacing w:line="360" w:lineRule="auto"/>
        <w:jc w:val="left"/>
        <w:rPr>
          <w:rFonts w:ascii="仿宋" w:hAnsi="仿宋" w:eastAsia="仿宋"/>
          <w:sz w:val="24"/>
        </w:rPr>
      </w:pPr>
      <w:r>
        <w:rPr>
          <w:rFonts w:hint="eastAsia" w:ascii="仿宋" w:hAnsi="仿宋" w:eastAsia="仿宋"/>
          <w:sz w:val="24"/>
        </w:rPr>
        <w:t>附件1：标的明细清单</w:t>
      </w:r>
    </w:p>
    <w:tbl>
      <w:tblPr>
        <w:tblStyle w:val="5"/>
        <w:tblpPr w:leftFromText="180" w:rightFromText="180" w:vertAnchor="text" w:horzAnchor="page" w:tblpX="1247" w:tblpY="103"/>
        <w:tblOverlap w:val="never"/>
        <w:tblW w:w="8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816"/>
        <w:gridCol w:w="1126"/>
        <w:gridCol w:w="1260"/>
        <w:gridCol w:w="554"/>
        <w:gridCol w:w="936"/>
        <w:gridCol w:w="937"/>
        <w:gridCol w:w="1692"/>
        <w:gridCol w:w="1024"/>
      </w:tblGrid>
      <w:tr w14:paraId="437F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7E7D7700">
            <w:pPr>
              <w:autoSpaceDE w:val="0"/>
              <w:snapToGrid w:val="0"/>
              <w:jc w:val="center"/>
              <w:rPr>
                <w:rFonts w:ascii="仿宋" w:hAnsi="仿宋" w:eastAsia="仿宋" w:cs="Times New Roman"/>
                <w:sz w:val="24"/>
              </w:rPr>
            </w:pPr>
            <w:r>
              <w:rPr>
                <w:rFonts w:hint="eastAsia" w:ascii="仿宋" w:hAnsi="仿宋" w:eastAsia="仿宋" w:cs="宋体"/>
                <w:sz w:val="24"/>
              </w:rPr>
              <w:t>序号</w:t>
            </w:r>
          </w:p>
        </w:tc>
        <w:tc>
          <w:tcPr>
            <w:tcW w:w="816" w:type="dxa"/>
            <w:tcBorders>
              <w:top w:val="single" w:color="auto" w:sz="4" w:space="0"/>
              <w:left w:val="nil"/>
              <w:bottom w:val="single" w:color="auto" w:sz="4" w:space="0"/>
              <w:right w:val="single" w:color="auto" w:sz="4" w:space="0"/>
            </w:tcBorders>
            <w:shd w:val="clear" w:color="auto" w:fill="auto"/>
            <w:vAlign w:val="center"/>
          </w:tcPr>
          <w:p w14:paraId="6EB8D332">
            <w:pPr>
              <w:autoSpaceDE w:val="0"/>
              <w:snapToGrid w:val="0"/>
              <w:jc w:val="center"/>
              <w:rPr>
                <w:rFonts w:ascii="仿宋" w:hAnsi="仿宋" w:eastAsia="仿宋" w:cs="Times New Roman"/>
                <w:sz w:val="24"/>
              </w:rPr>
            </w:pPr>
            <w:r>
              <w:rPr>
                <w:rFonts w:hint="eastAsia" w:ascii="仿宋" w:hAnsi="仿宋" w:eastAsia="仿宋" w:cs="宋体"/>
                <w:sz w:val="24"/>
              </w:rPr>
              <w:t>名称</w:t>
            </w:r>
          </w:p>
        </w:tc>
        <w:tc>
          <w:tcPr>
            <w:tcW w:w="1126" w:type="dxa"/>
            <w:tcBorders>
              <w:top w:val="single" w:color="auto" w:sz="4" w:space="0"/>
              <w:left w:val="nil"/>
              <w:bottom w:val="single" w:color="auto" w:sz="4" w:space="0"/>
              <w:right w:val="single" w:color="auto" w:sz="4" w:space="0"/>
            </w:tcBorders>
            <w:shd w:val="clear" w:color="auto" w:fill="auto"/>
            <w:vAlign w:val="center"/>
          </w:tcPr>
          <w:p w14:paraId="46386A75">
            <w:pPr>
              <w:autoSpaceDE w:val="0"/>
              <w:snapToGrid w:val="0"/>
              <w:jc w:val="center"/>
              <w:rPr>
                <w:rFonts w:ascii="仿宋" w:hAnsi="仿宋" w:eastAsia="仿宋" w:cs="Times New Roman"/>
                <w:sz w:val="24"/>
              </w:rPr>
            </w:pPr>
            <w:r>
              <w:rPr>
                <w:rFonts w:hint="eastAsia" w:ascii="仿宋" w:hAnsi="仿宋" w:eastAsia="仿宋" w:cs="宋体"/>
                <w:sz w:val="24"/>
              </w:rPr>
              <w:t>规格型号</w:t>
            </w:r>
          </w:p>
        </w:tc>
        <w:tc>
          <w:tcPr>
            <w:tcW w:w="1260" w:type="dxa"/>
            <w:tcBorders>
              <w:top w:val="single" w:color="auto" w:sz="4" w:space="0"/>
              <w:left w:val="nil"/>
              <w:bottom w:val="single" w:color="auto" w:sz="4" w:space="0"/>
              <w:right w:val="single" w:color="auto" w:sz="4" w:space="0"/>
            </w:tcBorders>
            <w:shd w:val="clear" w:color="auto" w:fill="auto"/>
            <w:vAlign w:val="center"/>
          </w:tcPr>
          <w:p w14:paraId="21404258">
            <w:pPr>
              <w:autoSpaceDE w:val="0"/>
              <w:snapToGrid w:val="0"/>
              <w:jc w:val="center"/>
              <w:rPr>
                <w:rFonts w:ascii="仿宋" w:hAnsi="仿宋" w:eastAsia="仿宋" w:cs="Times New Roman"/>
                <w:sz w:val="24"/>
              </w:rPr>
            </w:pPr>
            <w:r>
              <w:rPr>
                <w:rFonts w:hint="eastAsia" w:ascii="仿宋" w:hAnsi="仿宋" w:eastAsia="仿宋" w:cs="宋体"/>
                <w:sz w:val="24"/>
              </w:rPr>
              <w:t>生产厂家</w:t>
            </w:r>
          </w:p>
          <w:p w14:paraId="412DCF17">
            <w:pPr>
              <w:autoSpaceDE w:val="0"/>
              <w:snapToGrid w:val="0"/>
              <w:jc w:val="center"/>
              <w:rPr>
                <w:rFonts w:ascii="仿宋" w:hAnsi="仿宋" w:eastAsia="仿宋" w:cs="Times New Roman"/>
                <w:sz w:val="24"/>
              </w:rPr>
            </w:pPr>
            <w:r>
              <w:rPr>
                <w:rFonts w:ascii="仿宋" w:hAnsi="仿宋" w:eastAsia="仿宋" w:cs="Calibri"/>
                <w:sz w:val="24"/>
              </w:rPr>
              <w:t>/</w:t>
            </w:r>
            <w:r>
              <w:rPr>
                <w:rFonts w:hint="eastAsia" w:ascii="仿宋" w:hAnsi="仿宋" w:eastAsia="仿宋" w:cs="宋体"/>
                <w:sz w:val="24"/>
              </w:rPr>
              <w:t>原产地</w:t>
            </w:r>
          </w:p>
        </w:tc>
        <w:tc>
          <w:tcPr>
            <w:tcW w:w="554" w:type="dxa"/>
            <w:tcBorders>
              <w:top w:val="single" w:color="auto" w:sz="4" w:space="0"/>
              <w:left w:val="nil"/>
              <w:bottom w:val="single" w:color="auto" w:sz="4" w:space="0"/>
              <w:right w:val="single" w:color="auto" w:sz="4" w:space="0"/>
            </w:tcBorders>
            <w:shd w:val="clear" w:color="auto" w:fill="auto"/>
            <w:vAlign w:val="center"/>
          </w:tcPr>
          <w:p w14:paraId="4B64996E">
            <w:pPr>
              <w:autoSpaceDE w:val="0"/>
              <w:snapToGrid w:val="0"/>
              <w:jc w:val="center"/>
              <w:rPr>
                <w:rFonts w:ascii="仿宋" w:hAnsi="仿宋" w:eastAsia="仿宋" w:cs="Times New Roman"/>
                <w:sz w:val="24"/>
              </w:rPr>
            </w:pPr>
            <w:r>
              <w:rPr>
                <w:rFonts w:hint="eastAsia" w:ascii="仿宋" w:hAnsi="仿宋" w:eastAsia="仿宋" w:cs="宋体"/>
                <w:sz w:val="24"/>
              </w:rPr>
              <w:t>数量</w:t>
            </w:r>
          </w:p>
        </w:tc>
        <w:tc>
          <w:tcPr>
            <w:tcW w:w="936" w:type="dxa"/>
            <w:tcBorders>
              <w:top w:val="single" w:color="auto" w:sz="4" w:space="0"/>
              <w:left w:val="nil"/>
              <w:bottom w:val="single" w:color="auto" w:sz="4" w:space="0"/>
              <w:right w:val="single" w:color="auto" w:sz="4" w:space="0"/>
            </w:tcBorders>
            <w:shd w:val="clear" w:color="auto" w:fill="auto"/>
            <w:vAlign w:val="center"/>
          </w:tcPr>
          <w:p w14:paraId="36E74BFB">
            <w:pPr>
              <w:autoSpaceDE w:val="0"/>
              <w:snapToGrid w:val="0"/>
              <w:jc w:val="center"/>
              <w:rPr>
                <w:rFonts w:ascii="仿宋" w:hAnsi="仿宋" w:eastAsia="仿宋" w:cs="Times New Roman"/>
                <w:sz w:val="24"/>
              </w:rPr>
            </w:pPr>
            <w:r>
              <w:rPr>
                <w:rFonts w:hint="eastAsia" w:ascii="仿宋" w:hAnsi="仿宋" w:eastAsia="仿宋" w:cs="宋体"/>
                <w:sz w:val="24"/>
              </w:rPr>
              <w:t>单价（元）</w:t>
            </w:r>
          </w:p>
        </w:tc>
        <w:tc>
          <w:tcPr>
            <w:tcW w:w="937" w:type="dxa"/>
            <w:tcBorders>
              <w:top w:val="single" w:color="auto" w:sz="4" w:space="0"/>
              <w:left w:val="nil"/>
              <w:bottom w:val="single" w:color="auto" w:sz="4" w:space="0"/>
              <w:right w:val="single" w:color="auto" w:sz="4" w:space="0"/>
            </w:tcBorders>
            <w:shd w:val="clear" w:color="auto" w:fill="auto"/>
            <w:vAlign w:val="center"/>
          </w:tcPr>
          <w:p w14:paraId="74047ECB">
            <w:pPr>
              <w:autoSpaceDE w:val="0"/>
              <w:snapToGrid w:val="0"/>
              <w:jc w:val="center"/>
              <w:rPr>
                <w:rFonts w:ascii="仿宋" w:hAnsi="仿宋" w:eastAsia="仿宋" w:cs="Times New Roman"/>
                <w:sz w:val="24"/>
              </w:rPr>
            </w:pPr>
            <w:r>
              <w:rPr>
                <w:rFonts w:hint="eastAsia" w:ascii="仿宋" w:hAnsi="仿宋" w:eastAsia="仿宋" w:cs="宋体"/>
                <w:sz w:val="24"/>
              </w:rPr>
              <w:t>总价（元）</w:t>
            </w:r>
          </w:p>
        </w:tc>
        <w:tc>
          <w:tcPr>
            <w:tcW w:w="1692" w:type="dxa"/>
            <w:tcBorders>
              <w:top w:val="single" w:color="auto" w:sz="4" w:space="0"/>
              <w:left w:val="nil"/>
              <w:bottom w:val="single" w:color="auto" w:sz="4" w:space="0"/>
              <w:right w:val="single" w:color="auto" w:sz="4" w:space="0"/>
            </w:tcBorders>
            <w:shd w:val="clear" w:color="auto" w:fill="auto"/>
            <w:vAlign w:val="center"/>
          </w:tcPr>
          <w:p w14:paraId="68F173E6">
            <w:pPr>
              <w:autoSpaceDE w:val="0"/>
              <w:snapToGrid w:val="0"/>
              <w:jc w:val="center"/>
              <w:rPr>
                <w:rFonts w:ascii="仿宋" w:hAnsi="仿宋" w:eastAsia="仿宋" w:cs="宋体"/>
                <w:sz w:val="24"/>
              </w:rPr>
            </w:pPr>
            <w:r>
              <w:rPr>
                <w:rFonts w:hint="eastAsia" w:ascii="仿宋" w:hAnsi="仿宋" w:eastAsia="仿宋" w:cs="宋体"/>
                <w:sz w:val="24"/>
              </w:rPr>
              <w:t>功能要求及</w:t>
            </w:r>
          </w:p>
          <w:p w14:paraId="773472E7">
            <w:pPr>
              <w:autoSpaceDE w:val="0"/>
              <w:snapToGrid w:val="0"/>
              <w:jc w:val="center"/>
              <w:rPr>
                <w:rFonts w:ascii="仿宋" w:hAnsi="仿宋" w:eastAsia="仿宋" w:cs="Times New Roman"/>
                <w:sz w:val="24"/>
              </w:rPr>
            </w:pPr>
            <w:r>
              <w:rPr>
                <w:rFonts w:hint="eastAsia" w:ascii="仿宋" w:hAnsi="仿宋" w:eastAsia="仿宋" w:cs="宋体"/>
                <w:sz w:val="24"/>
              </w:rPr>
              <w:t>技术规格</w:t>
            </w:r>
          </w:p>
        </w:tc>
        <w:tc>
          <w:tcPr>
            <w:tcW w:w="1024" w:type="dxa"/>
            <w:tcBorders>
              <w:top w:val="single" w:color="auto" w:sz="4" w:space="0"/>
              <w:left w:val="nil"/>
              <w:bottom w:val="single" w:color="auto" w:sz="4" w:space="0"/>
              <w:right w:val="single" w:color="auto" w:sz="4" w:space="0"/>
            </w:tcBorders>
            <w:shd w:val="clear" w:color="auto" w:fill="auto"/>
            <w:vAlign w:val="center"/>
          </w:tcPr>
          <w:p w14:paraId="1BBD555C">
            <w:pPr>
              <w:autoSpaceDE w:val="0"/>
              <w:snapToGrid w:val="0"/>
              <w:jc w:val="center"/>
              <w:rPr>
                <w:rFonts w:ascii="仿宋" w:hAnsi="仿宋" w:eastAsia="仿宋" w:cs="宋体"/>
                <w:sz w:val="24"/>
              </w:rPr>
            </w:pPr>
            <w:r>
              <w:rPr>
                <w:rFonts w:hint="eastAsia" w:ascii="仿宋" w:hAnsi="仿宋" w:eastAsia="仿宋" w:cs="宋体"/>
                <w:sz w:val="24"/>
              </w:rPr>
              <w:t>备注</w:t>
            </w:r>
          </w:p>
        </w:tc>
      </w:tr>
      <w:tr w14:paraId="5587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08749FE6">
            <w:pPr>
              <w:autoSpaceDE w:val="0"/>
              <w:spacing w:line="360" w:lineRule="auto"/>
              <w:jc w:val="center"/>
              <w:rPr>
                <w:rFonts w:ascii="仿宋" w:hAnsi="仿宋" w:eastAsia="仿宋" w:cs="Times New Roman"/>
                <w:sz w:val="24"/>
              </w:rPr>
            </w:pPr>
            <w:r>
              <w:rPr>
                <w:rFonts w:ascii="仿宋" w:hAnsi="仿宋" w:eastAsia="仿宋" w:cs="Calibri"/>
                <w:sz w:val="24"/>
              </w:rPr>
              <w:t>1</w:t>
            </w:r>
          </w:p>
        </w:tc>
        <w:tc>
          <w:tcPr>
            <w:tcW w:w="816" w:type="dxa"/>
            <w:tcBorders>
              <w:top w:val="single" w:color="auto" w:sz="4" w:space="0"/>
              <w:left w:val="nil"/>
              <w:bottom w:val="single" w:color="auto" w:sz="4" w:space="0"/>
              <w:right w:val="single" w:color="auto" w:sz="4" w:space="0"/>
            </w:tcBorders>
            <w:shd w:val="clear" w:color="auto" w:fill="auto"/>
            <w:vAlign w:val="center"/>
          </w:tcPr>
          <w:p w14:paraId="39BFB42B">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73130C5C">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00BDDAF5">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07456F36">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20E00414">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7D9DD00F">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7B093304">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7C97ED78">
            <w:pPr>
              <w:autoSpaceDE w:val="0"/>
              <w:spacing w:line="360" w:lineRule="auto"/>
              <w:ind w:firstLine="480" w:firstLineChars="200"/>
              <w:jc w:val="center"/>
              <w:rPr>
                <w:rFonts w:ascii="仿宋" w:hAnsi="仿宋" w:eastAsia="仿宋" w:cs="Times New Roman"/>
                <w:sz w:val="24"/>
              </w:rPr>
            </w:pPr>
          </w:p>
        </w:tc>
      </w:tr>
      <w:tr w14:paraId="031B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504F2067">
            <w:pPr>
              <w:autoSpaceDE w:val="0"/>
              <w:spacing w:line="360" w:lineRule="auto"/>
              <w:jc w:val="center"/>
              <w:rPr>
                <w:rFonts w:ascii="仿宋" w:hAnsi="仿宋" w:eastAsia="仿宋" w:cs="Times New Roman"/>
                <w:sz w:val="24"/>
              </w:rPr>
            </w:pPr>
            <w:r>
              <w:rPr>
                <w:rFonts w:ascii="仿宋" w:hAnsi="仿宋" w:eastAsia="仿宋" w:cs="Calibri"/>
                <w:sz w:val="24"/>
              </w:rPr>
              <w:t>2</w:t>
            </w:r>
          </w:p>
        </w:tc>
        <w:tc>
          <w:tcPr>
            <w:tcW w:w="816" w:type="dxa"/>
            <w:tcBorders>
              <w:top w:val="single" w:color="auto" w:sz="4" w:space="0"/>
              <w:left w:val="nil"/>
              <w:bottom w:val="single" w:color="auto" w:sz="4" w:space="0"/>
              <w:right w:val="single" w:color="auto" w:sz="4" w:space="0"/>
            </w:tcBorders>
            <w:shd w:val="clear" w:color="auto" w:fill="auto"/>
            <w:vAlign w:val="center"/>
          </w:tcPr>
          <w:p w14:paraId="49E80FA8">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2B7EEBF9">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4A3039DB">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023A85AB">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479F6A44">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55FBB32F">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2E41DA1A">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574E6ABC">
            <w:pPr>
              <w:autoSpaceDE w:val="0"/>
              <w:spacing w:line="360" w:lineRule="auto"/>
              <w:ind w:firstLine="480" w:firstLineChars="200"/>
              <w:jc w:val="center"/>
              <w:rPr>
                <w:rFonts w:ascii="仿宋" w:hAnsi="仿宋" w:eastAsia="仿宋" w:cs="Times New Roman"/>
                <w:sz w:val="24"/>
              </w:rPr>
            </w:pPr>
          </w:p>
        </w:tc>
      </w:tr>
      <w:tr w14:paraId="784C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0165C962">
            <w:pPr>
              <w:autoSpaceDE w:val="0"/>
              <w:spacing w:line="360" w:lineRule="auto"/>
              <w:jc w:val="center"/>
              <w:rPr>
                <w:rFonts w:ascii="仿宋" w:hAnsi="仿宋" w:eastAsia="仿宋" w:cs="Times New Roman"/>
                <w:sz w:val="24"/>
              </w:rPr>
            </w:pPr>
            <w:r>
              <w:rPr>
                <w:rFonts w:hint="eastAsia" w:ascii="仿宋" w:hAnsi="仿宋" w:eastAsia="仿宋" w:cs="宋体"/>
                <w:sz w:val="24"/>
              </w:rPr>
              <w:t>…</w:t>
            </w:r>
          </w:p>
        </w:tc>
        <w:tc>
          <w:tcPr>
            <w:tcW w:w="816" w:type="dxa"/>
            <w:tcBorders>
              <w:top w:val="single" w:color="auto" w:sz="4" w:space="0"/>
              <w:left w:val="nil"/>
              <w:bottom w:val="single" w:color="auto" w:sz="4" w:space="0"/>
              <w:right w:val="single" w:color="auto" w:sz="4" w:space="0"/>
            </w:tcBorders>
            <w:shd w:val="clear" w:color="auto" w:fill="auto"/>
            <w:vAlign w:val="center"/>
          </w:tcPr>
          <w:p w14:paraId="2A3615F0">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349CB7A2">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2644EEAC">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51ED8C54">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6D385E0A">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3AF4507F">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376CEA4C">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7DD7113A">
            <w:pPr>
              <w:autoSpaceDE w:val="0"/>
              <w:spacing w:line="360" w:lineRule="auto"/>
              <w:ind w:firstLine="480" w:firstLineChars="200"/>
              <w:jc w:val="center"/>
              <w:rPr>
                <w:rFonts w:ascii="仿宋" w:hAnsi="仿宋" w:eastAsia="仿宋" w:cs="Times New Roman"/>
                <w:sz w:val="24"/>
              </w:rPr>
            </w:pPr>
          </w:p>
        </w:tc>
      </w:tr>
      <w:tr w14:paraId="1C67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002C9E0A">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1F28138B">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2C8FD08C">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0F0B2896">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78208742">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30F9118E">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3617F8E4">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08AEC719">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4076667F">
            <w:pPr>
              <w:autoSpaceDE w:val="0"/>
              <w:spacing w:line="360" w:lineRule="auto"/>
              <w:ind w:firstLine="480" w:firstLineChars="200"/>
              <w:jc w:val="center"/>
              <w:rPr>
                <w:rFonts w:ascii="仿宋" w:hAnsi="仿宋" w:eastAsia="仿宋" w:cs="Times New Roman"/>
                <w:sz w:val="24"/>
              </w:rPr>
            </w:pPr>
          </w:p>
        </w:tc>
      </w:tr>
      <w:tr w14:paraId="3815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0E536C43">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24AC9189">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251A042D">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24CE3623">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350CAB84">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2DA0B6AB">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54D7C3DD">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20D54ADF">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44F47973">
            <w:pPr>
              <w:autoSpaceDE w:val="0"/>
              <w:spacing w:line="360" w:lineRule="auto"/>
              <w:ind w:firstLine="480" w:firstLineChars="200"/>
              <w:jc w:val="center"/>
              <w:rPr>
                <w:rFonts w:ascii="仿宋" w:hAnsi="仿宋" w:eastAsia="仿宋" w:cs="Times New Roman"/>
                <w:sz w:val="24"/>
              </w:rPr>
            </w:pPr>
          </w:p>
        </w:tc>
      </w:tr>
      <w:tr w14:paraId="4A7A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0DC66E43">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39E9B1D7">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467A339D">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14401BFE">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2BE8B11A">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73A175D3">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01F74531">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2C02CD5D">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60C4651E">
            <w:pPr>
              <w:autoSpaceDE w:val="0"/>
              <w:spacing w:line="360" w:lineRule="auto"/>
              <w:ind w:firstLine="480" w:firstLineChars="200"/>
              <w:jc w:val="center"/>
              <w:rPr>
                <w:rFonts w:ascii="仿宋" w:hAnsi="仿宋" w:eastAsia="仿宋" w:cs="Times New Roman"/>
                <w:sz w:val="24"/>
              </w:rPr>
            </w:pPr>
          </w:p>
        </w:tc>
      </w:tr>
      <w:tr w14:paraId="52806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3F782E00">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0543E05F">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07C7F9A8">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7A58E44F">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27590C0D">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0B13A24C">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5EF14FF9">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75700338">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73399602">
            <w:pPr>
              <w:autoSpaceDE w:val="0"/>
              <w:spacing w:line="360" w:lineRule="auto"/>
              <w:ind w:firstLine="480" w:firstLineChars="200"/>
              <w:jc w:val="center"/>
              <w:rPr>
                <w:rFonts w:ascii="仿宋" w:hAnsi="仿宋" w:eastAsia="仿宋" w:cs="Times New Roman"/>
                <w:sz w:val="24"/>
              </w:rPr>
            </w:pPr>
          </w:p>
        </w:tc>
      </w:tr>
      <w:tr w14:paraId="1809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446ABCFB">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5A86969F">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72CDD085">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555B4A2D">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4CEF27ED">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7FA4F2F6">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2309D282">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58585D2E">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466CE15F">
            <w:pPr>
              <w:autoSpaceDE w:val="0"/>
              <w:spacing w:line="360" w:lineRule="auto"/>
              <w:ind w:firstLine="480" w:firstLineChars="200"/>
              <w:jc w:val="center"/>
              <w:rPr>
                <w:rFonts w:ascii="仿宋" w:hAnsi="仿宋" w:eastAsia="仿宋" w:cs="Times New Roman"/>
                <w:sz w:val="24"/>
              </w:rPr>
            </w:pPr>
          </w:p>
        </w:tc>
      </w:tr>
      <w:tr w14:paraId="63E0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787AAF28">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55A1C495">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22DC966E">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53257BCB">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326FA46A">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62B871E5">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03B53123">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7EB3304A">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12CD185E">
            <w:pPr>
              <w:autoSpaceDE w:val="0"/>
              <w:spacing w:line="360" w:lineRule="auto"/>
              <w:ind w:firstLine="480" w:firstLineChars="200"/>
              <w:jc w:val="center"/>
              <w:rPr>
                <w:rFonts w:ascii="仿宋" w:hAnsi="仿宋" w:eastAsia="仿宋" w:cs="Times New Roman"/>
                <w:sz w:val="24"/>
              </w:rPr>
            </w:pPr>
          </w:p>
        </w:tc>
      </w:tr>
      <w:tr w14:paraId="75E68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51A41828">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6817A369">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0ACC5141">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1D199E92">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525B9671">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2FB01941">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533150D3">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43D62152">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06591D56">
            <w:pPr>
              <w:autoSpaceDE w:val="0"/>
              <w:spacing w:line="360" w:lineRule="auto"/>
              <w:ind w:firstLine="480" w:firstLineChars="200"/>
              <w:jc w:val="center"/>
              <w:rPr>
                <w:rFonts w:ascii="仿宋" w:hAnsi="仿宋" w:eastAsia="仿宋" w:cs="Times New Roman"/>
                <w:sz w:val="24"/>
              </w:rPr>
            </w:pPr>
          </w:p>
        </w:tc>
      </w:tr>
      <w:tr w14:paraId="76EF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6A33A15B">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4DDA9233">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03E02F88">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6B84F38D">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5E661960">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58334640">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18EE609A">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04A910EB">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08B88519">
            <w:pPr>
              <w:autoSpaceDE w:val="0"/>
              <w:spacing w:line="360" w:lineRule="auto"/>
              <w:ind w:firstLine="480" w:firstLineChars="200"/>
              <w:jc w:val="center"/>
              <w:rPr>
                <w:rFonts w:ascii="仿宋" w:hAnsi="仿宋" w:eastAsia="仿宋" w:cs="Times New Roman"/>
                <w:sz w:val="24"/>
              </w:rPr>
            </w:pPr>
          </w:p>
        </w:tc>
      </w:tr>
      <w:tr w14:paraId="26C9C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4916E3DC">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69923B65">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6F923AFF">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5C12FF46">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30B23BCE">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2E3CA709">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52EA68E5">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59403FF1">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03CC9A4D">
            <w:pPr>
              <w:autoSpaceDE w:val="0"/>
              <w:spacing w:line="360" w:lineRule="auto"/>
              <w:ind w:firstLine="480" w:firstLineChars="200"/>
              <w:jc w:val="center"/>
              <w:rPr>
                <w:rFonts w:ascii="仿宋" w:hAnsi="仿宋" w:eastAsia="仿宋" w:cs="Times New Roman"/>
                <w:sz w:val="24"/>
              </w:rPr>
            </w:pPr>
          </w:p>
        </w:tc>
      </w:tr>
      <w:tr w14:paraId="0F29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662BACFC">
            <w:pPr>
              <w:autoSpaceDE w:val="0"/>
              <w:spacing w:line="360" w:lineRule="auto"/>
              <w:jc w:val="center"/>
              <w:rPr>
                <w:rFonts w:ascii="仿宋" w:hAnsi="仿宋" w:eastAsia="仿宋" w:cs="宋体"/>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1267881F">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301D9D70">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1AEE7CDC">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7E9193E0">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523D841C">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59AFA0E3">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77DDF652">
            <w:pPr>
              <w:autoSpaceDE w:val="0"/>
              <w:spacing w:line="360" w:lineRule="auto"/>
              <w:ind w:firstLine="480" w:firstLineChars="200"/>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5201FDA7">
            <w:pPr>
              <w:autoSpaceDE w:val="0"/>
              <w:spacing w:line="360" w:lineRule="auto"/>
              <w:ind w:firstLine="480" w:firstLineChars="200"/>
              <w:jc w:val="center"/>
              <w:rPr>
                <w:rFonts w:ascii="仿宋" w:hAnsi="仿宋" w:eastAsia="仿宋" w:cs="Times New Roman"/>
                <w:sz w:val="24"/>
              </w:rPr>
            </w:pPr>
          </w:p>
        </w:tc>
      </w:tr>
      <w:tr w14:paraId="6E1D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6927B951">
            <w:pPr>
              <w:autoSpaceDE w:val="0"/>
              <w:spacing w:line="360" w:lineRule="auto"/>
              <w:ind w:firstLine="480" w:firstLineChars="200"/>
              <w:jc w:val="center"/>
              <w:rPr>
                <w:rFonts w:ascii="仿宋" w:hAnsi="仿宋" w:eastAsia="仿宋" w:cs="Times New Roman"/>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14:paraId="12370A72">
            <w:pPr>
              <w:autoSpaceDE w:val="0"/>
              <w:spacing w:line="360" w:lineRule="auto"/>
              <w:ind w:firstLine="480" w:firstLineChars="200"/>
              <w:jc w:val="center"/>
              <w:rPr>
                <w:rFonts w:ascii="仿宋" w:hAnsi="仿宋" w:eastAsia="仿宋" w:cs="Times New Roman"/>
                <w:sz w:val="24"/>
              </w:rPr>
            </w:pPr>
          </w:p>
        </w:tc>
        <w:tc>
          <w:tcPr>
            <w:tcW w:w="1126" w:type="dxa"/>
            <w:tcBorders>
              <w:top w:val="single" w:color="auto" w:sz="4" w:space="0"/>
              <w:left w:val="nil"/>
              <w:bottom w:val="single" w:color="auto" w:sz="4" w:space="0"/>
              <w:right w:val="single" w:color="auto" w:sz="4" w:space="0"/>
            </w:tcBorders>
            <w:shd w:val="clear" w:color="auto" w:fill="auto"/>
            <w:vAlign w:val="center"/>
          </w:tcPr>
          <w:p w14:paraId="1C734D45">
            <w:pPr>
              <w:autoSpaceDE w:val="0"/>
              <w:spacing w:line="360" w:lineRule="auto"/>
              <w:ind w:firstLine="480" w:firstLineChars="200"/>
              <w:jc w:val="center"/>
              <w:rPr>
                <w:rFonts w:ascii="仿宋" w:hAnsi="仿宋" w:eastAsia="仿宋" w:cs="Times New Roman"/>
                <w:sz w:val="24"/>
              </w:rPr>
            </w:pPr>
          </w:p>
        </w:tc>
        <w:tc>
          <w:tcPr>
            <w:tcW w:w="1260" w:type="dxa"/>
            <w:tcBorders>
              <w:top w:val="single" w:color="auto" w:sz="4" w:space="0"/>
              <w:left w:val="nil"/>
              <w:bottom w:val="single" w:color="auto" w:sz="4" w:space="0"/>
              <w:right w:val="single" w:color="auto" w:sz="4" w:space="0"/>
            </w:tcBorders>
            <w:shd w:val="clear" w:color="auto" w:fill="auto"/>
            <w:vAlign w:val="center"/>
          </w:tcPr>
          <w:p w14:paraId="7FCE5DAF">
            <w:pPr>
              <w:autoSpaceDE w:val="0"/>
              <w:spacing w:line="360" w:lineRule="auto"/>
              <w:ind w:firstLine="480" w:firstLineChars="200"/>
              <w:jc w:val="center"/>
              <w:rPr>
                <w:rFonts w:ascii="仿宋" w:hAnsi="仿宋" w:eastAsia="仿宋" w:cs="Times New Roman"/>
                <w:sz w:val="24"/>
              </w:rPr>
            </w:pPr>
          </w:p>
        </w:tc>
        <w:tc>
          <w:tcPr>
            <w:tcW w:w="554" w:type="dxa"/>
            <w:tcBorders>
              <w:top w:val="single" w:color="auto" w:sz="4" w:space="0"/>
              <w:left w:val="nil"/>
              <w:bottom w:val="single" w:color="auto" w:sz="4" w:space="0"/>
              <w:right w:val="single" w:color="auto" w:sz="4" w:space="0"/>
            </w:tcBorders>
            <w:shd w:val="clear" w:color="auto" w:fill="auto"/>
            <w:vAlign w:val="center"/>
          </w:tcPr>
          <w:p w14:paraId="1C55AB12">
            <w:pPr>
              <w:autoSpaceDE w:val="0"/>
              <w:spacing w:line="360" w:lineRule="auto"/>
              <w:ind w:firstLine="480" w:firstLineChars="200"/>
              <w:jc w:val="center"/>
              <w:rPr>
                <w:rFonts w:ascii="仿宋" w:hAnsi="仿宋" w:eastAsia="仿宋" w:cs="Times New Roman"/>
                <w:sz w:val="24"/>
              </w:rPr>
            </w:pPr>
          </w:p>
        </w:tc>
        <w:tc>
          <w:tcPr>
            <w:tcW w:w="936" w:type="dxa"/>
            <w:tcBorders>
              <w:top w:val="single" w:color="auto" w:sz="4" w:space="0"/>
              <w:left w:val="nil"/>
              <w:bottom w:val="single" w:color="auto" w:sz="4" w:space="0"/>
              <w:right w:val="single" w:color="auto" w:sz="4" w:space="0"/>
            </w:tcBorders>
            <w:shd w:val="clear" w:color="auto" w:fill="auto"/>
            <w:vAlign w:val="center"/>
          </w:tcPr>
          <w:p w14:paraId="52706E3D">
            <w:pPr>
              <w:autoSpaceDE w:val="0"/>
              <w:spacing w:line="360" w:lineRule="auto"/>
              <w:ind w:firstLine="480" w:firstLineChars="200"/>
              <w:jc w:val="center"/>
              <w:rPr>
                <w:rFonts w:ascii="仿宋" w:hAnsi="仿宋" w:eastAsia="仿宋" w:cs="Times New Roman"/>
                <w:sz w:val="24"/>
              </w:rPr>
            </w:pPr>
          </w:p>
        </w:tc>
        <w:tc>
          <w:tcPr>
            <w:tcW w:w="937" w:type="dxa"/>
            <w:tcBorders>
              <w:top w:val="single" w:color="auto" w:sz="4" w:space="0"/>
              <w:left w:val="nil"/>
              <w:bottom w:val="single" w:color="auto" w:sz="4" w:space="0"/>
              <w:right w:val="single" w:color="auto" w:sz="4" w:space="0"/>
            </w:tcBorders>
            <w:shd w:val="clear" w:color="auto" w:fill="auto"/>
            <w:vAlign w:val="center"/>
          </w:tcPr>
          <w:p w14:paraId="4E016157">
            <w:pPr>
              <w:autoSpaceDE w:val="0"/>
              <w:spacing w:line="360" w:lineRule="auto"/>
              <w:ind w:firstLine="480" w:firstLineChars="200"/>
              <w:jc w:val="center"/>
              <w:rPr>
                <w:rFonts w:ascii="仿宋" w:hAnsi="仿宋" w:eastAsia="仿宋" w:cs="Times New Roman"/>
                <w:sz w:val="24"/>
              </w:rPr>
            </w:pPr>
          </w:p>
        </w:tc>
        <w:tc>
          <w:tcPr>
            <w:tcW w:w="1692" w:type="dxa"/>
            <w:tcBorders>
              <w:top w:val="single" w:color="auto" w:sz="4" w:space="0"/>
              <w:left w:val="nil"/>
              <w:bottom w:val="single" w:color="auto" w:sz="4" w:space="0"/>
              <w:right w:val="single" w:color="auto" w:sz="4" w:space="0"/>
            </w:tcBorders>
            <w:shd w:val="clear" w:color="auto" w:fill="auto"/>
            <w:vAlign w:val="center"/>
          </w:tcPr>
          <w:p w14:paraId="1E5C020C">
            <w:pPr>
              <w:autoSpaceDE w:val="0"/>
              <w:spacing w:line="360" w:lineRule="auto"/>
              <w:jc w:val="center"/>
              <w:rPr>
                <w:rFonts w:ascii="仿宋" w:hAnsi="仿宋" w:eastAsia="仿宋" w:cs="Times New Roman"/>
                <w:sz w:val="24"/>
              </w:rPr>
            </w:pPr>
          </w:p>
        </w:tc>
        <w:tc>
          <w:tcPr>
            <w:tcW w:w="1024" w:type="dxa"/>
            <w:tcBorders>
              <w:top w:val="single" w:color="auto" w:sz="4" w:space="0"/>
              <w:left w:val="nil"/>
              <w:bottom w:val="single" w:color="auto" w:sz="4" w:space="0"/>
              <w:right w:val="single" w:color="auto" w:sz="4" w:space="0"/>
            </w:tcBorders>
            <w:shd w:val="clear" w:color="auto" w:fill="auto"/>
            <w:vAlign w:val="center"/>
          </w:tcPr>
          <w:p w14:paraId="2D4908EA">
            <w:pPr>
              <w:autoSpaceDE w:val="0"/>
              <w:spacing w:line="360" w:lineRule="auto"/>
              <w:jc w:val="center"/>
              <w:rPr>
                <w:rFonts w:ascii="仿宋" w:hAnsi="仿宋" w:eastAsia="仿宋" w:cs="宋体"/>
                <w:sz w:val="24"/>
              </w:rPr>
            </w:pPr>
          </w:p>
        </w:tc>
      </w:tr>
      <w:tr w14:paraId="2FB6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1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F6FE03C">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rPr>
              <w:t>合计金额（大写）：</w:t>
            </w:r>
            <w:r>
              <w:rPr>
                <w:rFonts w:hint="eastAsia" w:ascii="仿宋" w:hAnsi="仿宋" w:eastAsia="仿宋" w:cs="宋体"/>
                <w:sz w:val="24"/>
                <w:u w:val="single"/>
              </w:rPr>
              <w:t>人民币</w:t>
            </w:r>
            <w:r>
              <w:rPr>
                <w:rFonts w:ascii="仿宋" w:hAnsi="仿宋" w:eastAsia="仿宋" w:cs="Times New Roman"/>
                <w:sz w:val="24"/>
                <w:u w:val="single"/>
              </w:rPr>
              <w:t xml:space="preserve">  </w:t>
            </w:r>
            <w:r>
              <w:rPr>
                <w:rFonts w:ascii="仿宋" w:hAnsi="仿宋" w:eastAsia="仿宋" w:cs="Calibri"/>
                <w:sz w:val="24"/>
                <w:u w:val="single"/>
              </w:rPr>
              <w:t xml:space="preserve">        </w:t>
            </w:r>
            <w:r>
              <w:rPr>
                <w:rFonts w:ascii="仿宋" w:hAnsi="仿宋" w:eastAsia="仿宋" w:cs="Times New Roman"/>
                <w:sz w:val="24"/>
                <w:u w:val="single"/>
              </w:rPr>
              <w:t xml:space="preserve">        </w:t>
            </w:r>
            <w:r>
              <w:rPr>
                <w:rFonts w:hint="eastAsia" w:ascii="仿宋" w:hAnsi="仿宋" w:eastAsia="仿宋" w:cs="宋体"/>
                <w:sz w:val="24"/>
              </w:rPr>
              <w:t>（小写</w:t>
            </w:r>
            <w:r>
              <w:rPr>
                <w:rFonts w:ascii="Calibri" w:hAnsi="Calibri" w:eastAsia="仿宋" w:cs="Calibri"/>
                <w:sz w:val="24"/>
              </w:rPr>
              <w:t>¥</w:t>
            </w:r>
            <w:r>
              <w:rPr>
                <w:rFonts w:ascii="仿宋" w:hAnsi="仿宋" w:eastAsia="仿宋" w:cs="Times New Roman"/>
                <w:sz w:val="24"/>
              </w:rPr>
              <w:t xml:space="preserve"> </w:t>
            </w:r>
            <w:r>
              <w:rPr>
                <w:rFonts w:ascii="仿宋" w:hAnsi="仿宋" w:eastAsia="仿宋" w:cs="Times New Roman"/>
                <w:sz w:val="24"/>
                <w:u w:val="single"/>
              </w:rPr>
              <w:t xml:space="preserve">         </w:t>
            </w:r>
            <w:r>
              <w:rPr>
                <w:rFonts w:hint="eastAsia" w:ascii="仿宋" w:hAnsi="仿宋" w:eastAsia="仿宋" w:cs="宋体"/>
                <w:sz w:val="24"/>
              </w:rPr>
              <w:t>）</w:t>
            </w:r>
          </w:p>
          <w:p w14:paraId="73C795EA">
            <w:pPr>
              <w:autoSpaceDE w:val="0"/>
              <w:spacing w:line="392" w:lineRule="exact"/>
              <w:ind w:firstLine="480" w:firstLineChars="200"/>
              <w:jc w:val="left"/>
              <w:rPr>
                <w:rFonts w:ascii="仿宋" w:hAnsi="仿宋" w:eastAsia="仿宋" w:cs="宋体"/>
                <w:sz w:val="24"/>
              </w:rPr>
            </w:pPr>
            <w:r>
              <w:rPr>
                <w:rFonts w:hint="eastAsia" w:ascii="仿宋" w:hAnsi="仿宋" w:eastAsia="仿宋" w:cs="宋体"/>
                <w:sz w:val="24"/>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026C27C8">
      <w:pPr>
        <w:jc w:val="left"/>
        <w:rPr>
          <w:rFonts w:ascii="仿宋" w:hAnsi="仿宋" w:eastAsia="仿宋"/>
          <w:sz w:val="24"/>
        </w:rPr>
      </w:pPr>
    </w:p>
    <w:p w14:paraId="7D44896A">
      <w:pPr>
        <w:spacing w:line="800" w:lineRule="exact"/>
        <w:ind w:right="-960" w:rightChars="-457"/>
        <w:rPr>
          <w:rFonts w:hint="eastAsia" w:ascii="仿宋" w:hAnsi="仿宋" w:eastAsia="仿宋"/>
          <w:b/>
          <w:sz w:val="32"/>
          <w:lang w:val="en-US"/>
        </w:rPr>
      </w:pPr>
    </w:p>
    <w:p w14:paraId="04BA27ED">
      <w:bookmarkStart w:id="0" w:name="_GoBack"/>
      <w:bookmarkEnd w:id="0"/>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0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E49EB">
    <w:pPr>
      <w:pStyle w:val="4"/>
      <w:ind w:firstLine="90" w:firstLineChars="50"/>
      <w:jc w:val="cente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BDE03AA">
                          <w:pPr>
                            <w:pStyle w:val="4"/>
                          </w:pPr>
                          <w:r>
                            <w:t xml:space="preserve">第 </w:t>
                          </w:r>
                          <w:r>
                            <w:fldChar w:fldCharType="begin"/>
                          </w:r>
                          <w:r>
                            <w:instrText xml:space="preserve"> PAGE  \* MERGEFORMAT </w:instrText>
                          </w:r>
                          <w:r>
                            <w:fldChar w:fldCharType="separate"/>
                          </w:r>
                          <w:r>
                            <w:t>110</w:t>
                          </w:r>
                          <w:r>
                            <w:fldChar w:fldCharType="end"/>
                          </w:r>
                          <w:r>
                            <w:t xml:space="preserve"> 页 共 </w:t>
                          </w:r>
                          <w:r>
                            <w:rPr>
                              <w:rFonts w:hint="eastAsia"/>
                              <w:lang w:val="en-US" w:eastAsia="zh-CN"/>
                            </w:rPr>
                            <w:t>125</w:t>
                          </w:r>
                          <w:r>
                            <w:t>页</w:t>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hBkg40QEAAJ4DAAAOAAAAAAAAAAEAIAAAAB8BAABk&#10;cnMvZTJvRG9jLnhtbFBLBQYAAAAABgAGAFkBAABiBQAAAAA=&#10;">
              <v:fill on="f" focussize="0,0"/>
              <v:stroke on="f"/>
              <v:imagedata o:title=""/>
              <o:lock v:ext="edit" aspectratio="f"/>
              <v:textbox inset="0mm,0mm,0mm,0mm" style="mso-fit-shape-to-text:t;">
                <w:txbxContent>
                  <w:p w14:paraId="6BDE03AA">
                    <w:pPr>
                      <w:pStyle w:val="4"/>
                    </w:pPr>
                    <w:r>
                      <w:t xml:space="preserve">第 </w:t>
                    </w:r>
                    <w:r>
                      <w:fldChar w:fldCharType="begin"/>
                    </w:r>
                    <w:r>
                      <w:instrText xml:space="preserve"> PAGE  \* MERGEFORMAT </w:instrText>
                    </w:r>
                    <w:r>
                      <w:fldChar w:fldCharType="separate"/>
                    </w:r>
                    <w:r>
                      <w:t>110</w:t>
                    </w:r>
                    <w:r>
                      <w:fldChar w:fldCharType="end"/>
                    </w:r>
                    <w:r>
                      <w:t xml:space="preserve"> 页 共 </w:t>
                    </w:r>
                    <w:r>
                      <w:rPr>
                        <w:rFonts w:hint="eastAsia"/>
                        <w:lang w:val="en-US" w:eastAsia="zh-CN"/>
                      </w:rPr>
                      <w:t>125</w:t>
                    </w:r>
                    <w:r>
                      <w:t>页</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0E7F0">
    <w:pPr>
      <w:keepNext/>
      <w:keepLines/>
      <w:wordWrap w:val="0"/>
      <w:spacing w:before="20" w:after="12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73153"/>
    <w:rsid w:val="71E73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0" w:lineRule="atLeast"/>
      <w:jc w:val="both"/>
    </w:pPr>
    <w:rPr>
      <w:rFonts w:ascii="微软雅黑" w:hAnsi="微软雅黑" w:eastAsia="微软雅黑" w:cs="宋体"/>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rPr>
  </w:style>
  <w:style w:type="character" w:styleId="7">
    <w:name w:val="annotation reference"/>
    <w:basedOn w:val="6"/>
    <w:qFormat/>
    <w:uiPriority w:val="0"/>
    <w:rPr>
      <w:sz w:val="21"/>
      <w:szCs w:val="21"/>
    </w:rPr>
  </w:style>
  <w:style w:type="paragraph" w:customStyle="1" w:styleId="8">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2026-04-29T14:27:00Z</dcterms:created>
  <dc:creator>许芳芳</dc:creator>
  <cp:lastModifiedBy>许芳芳</cp:lastModifiedBy>
  <dcterms:modified xsi:type="dcterms:W3CDTF">2026-04-29T14:27:32Z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70EBF24019414FF3BB40BF5C9EC76751_11</vt:lpwstr>
  </property>
  <property fmtid="{D5CDD505-2E9C-101B-9397-08002B2CF9AE}" pid="4" name="KSOTemplateDocerSaveRecord">
    <vt:lpwstr>eyJoZGlkIjoiMGFlMjUwN2Q0NDgxM2NhMjQ3ZWQ4MDljOWRkZjYwMzYiLCJ1c2VySWQiOiI3NTIwMjAyMTAifQ==</vt:lpwstr>
  </property>
</Properties>
</file>