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版本号：【KRDL】K1-260509320260612001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数字化全科医学技能操作培训系统采购项目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【KRDL】K1-2605093</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数字化全科医学技能操作培训系统采购项目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【KRDL】K1-2605093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数字化全科医学技能操作培训系统采购项目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数字化全科医学技能操作培训系统采购项目，通过MR硬件及配套实训软件，对学员进行同质化的操作指导和评估。用于学员的自我练习，和模拟考核，并将练习和考核数据记录在后台，并通过AI根据评分表对学员练习或考核数据提供学习评价，及失分部分的总结。带教老师可根据学员同期练习数据，制定个性化的学习计划。提高学员学习效率。具体以竞争性磋商文件及答疑文件等文件所涵盖的全部内容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采购包1（数字化全科医学技能操作培训系统采购项目）：属于专门面向中小企业采购。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代理服务费收费标准：参照国家计委颁发的《招标代理服务收费管理暂行办法》（计价格[2002]1980号）和国家发改委办公厅颁发的《关于招标代理服务收费有关问题的通知》（发改办价格[2003] 857号）的有关规定向采购代理机构一次付清代理服务费。注：供应商在缴纳服务费时请备注项目编号+采购代理服务费。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甲乙双方共同参照磋商文件、响应文件、合同和承诺条款的有关内容、配置要求等，在乙方完成安装调试并经测试合格后的30个工作日内，进行统一验收。甲方在收到乙方验收通知书及相关验收资料后通知乙方，甲乙双方共同对系统进行验收，并由乙方将验收报告提交甲方。验收工作由甲乙双方所属部门组织，经相关负责人确认验收通过并签字、盖章，则视为甲乙双方确认验收通过。验收过程和步骤应符合国家、部委有关规定，符合质量检验、商检部门和医院的规定。甲方对交付成果提出异议的，乙方应在接到异议之日起5个工作日内，选择以下一种或多种方式解决异议，相应的异议处理方式应经甲方认可： 1）上门修复、调试；2）指定时间内无偿更新到品质、性能更优良的软件系统。 2.验收标准：符合采购人与成交供应商签订的经济合同；符合谈判、响应文件的技术要求、商务要求； 符合产品原样本技术数据； 符合国家有关技术规范和标准；所有安装、验收的手续费用由乙方自行办理和承担。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化全科医学技能操作培训系统采购项目，通过MR硬件及配套实训软件，对学员进行同质化的操作指导和评估。用于学员的自我练习，和模拟考核，并将练习和考核数据记录在后台，并通过AI根据评分表对学员练习或考核数据提供学习评价，及失分部分的总结。带教老师可根据学员同期练习数据，制定个性化的学习计划。提高学员学习效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数字化全科医学技能操作培训系统采购项目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标的名称：数字化全科医学技能操作培训系统采购项目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jc w:val="both"/>
            </w:pPr>
            <w:r>
              <w:rPr>
                <w:rFonts w:ascii="仿宋_GB2312" w:hAnsi="仿宋_GB2312" w:cs="仿宋_GB2312" w:eastAsia="仿宋_GB2312"/>
                <w:sz w:val="21"/>
              </w:rPr>
              <w:t>通过</w:t>
            </w:r>
            <w:r>
              <w:rPr>
                <w:rFonts w:ascii="仿宋_GB2312" w:hAnsi="仿宋_GB2312" w:cs="仿宋_GB2312" w:eastAsia="仿宋_GB2312"/>
                <w:sz w:val="21"/>
              </w:rPr>
              <w:t>MR</w:t>
            </w:r>
            <w:r>
              <w:rPr>
                <w:rFonts w:ascii="仿宋_GB2312" w:hAnsi="仿宋_GB2312" w:cs="仿宋_GB2312" w:eastAsia="仿宋_GB2312"/>
                <w:sz w:val="21"/>
              </w:rPr>
              <w:t>硬件及配套实训软件，对学员进行同质化的操作指导和评估。用于学员的自我练习，和模拟考核，并将练习和考核数据记录在后台，并通过</w:t>
            </w:r>
            <w:r>
              <w:rPr>
                <w:rFonts w:ascii="仿宋_GB2312" w:hAnsi="仿宋_GB2312" w:cs="仿宋_GB2312" w:eastAsia="仿宋_GB2312"/>
                <w:sz w:val="21"/>
              </w:rPr>
              <w:t>AI</w:t>
            </w:r>
            <w:r>
              <w:rPr>
                <w:rFonts w:ascii="仿宋_GB2312" w:hAnsi="仿宋_GB2312" w:cs="仿宋_GB2312" w:eastAsia="仿宋_GB2312"/>
                <w:sz w:val="21"/>
              </w:rPr>
              <w:t>根据评分表对学员练习或考核数据提供学习评价，及失分部分的总结。带教老师可根据学员同期练习数据，制定个性化的学习计划。提高学员学习效率。</w:t>
            </w:r>
          </w:p>
          <w:tbl>
            <w:tblPr>
              <w:tblBorders>
                <w:top w:val="none" w:color="000000" w:sz="4"/>
                <w:left w:val="none" w:color="000000" w:sz="4"/>
                <w:bottom w:val="none" w:color="000000" w:sz="4"/>
                <w:right w:val="none" w:color="000000" w:sz="4"/>
                <w:insideH w:val="none"/>
                <w:insideV w:val="none"/>
              </w:tblBorders>
            </w:tblPr>
            <w:tblGrid>
              <w:gridCol w:w="297"/>
              <w:gridCol w:w="266"/>
              <w:gridCol w:w="1989"/>
            </w:tblGrid>
            <w:tr>
              <w:tc>
                <w:tcPr>
                  <w:tcW w:type="dxa" w:w="297"/>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分类</w:t>
                  </w:r>
                </w:p>
              </w:tc>
              <w:tc>
                <w:tcPr>
                  <w:tcW w:type="dxa" w:w="266"/>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left"/>
                  </w:pPr>
                  <w:r>
                    <w:rPr>
                      <w:rFonts w:ascii="仿宋_GB2312" w:hAnsi="仿宋_GB2312" w:cs="仿宋_GB2312" w:eastAsia="仿宋_GB2312"/>
                      <w:sz w:val="21"/>
                    </w:rPr>
                    <w:t>模块</w:t>
                  </w:r>
                </w:p>
              </w:tc>
              <w:tc>
                <w:tcPr>
                  <w:tcW w:type="dxa" w:w="1989"/>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规格参数</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海姆</w:t>
                  </w:r>
                  <w:r>
                    <w:rPr>
                      <w:rFonts w:ascii="仿宋_GB2312" w:hAnsi="仿宋_GB2312" w:cs="仿宋_GB2312" w:eastAsia="仿宋_GB2312"/>
                      <w:sz w:val="21"/>
                    </w:rPr>
                    <w:t>立</w:t>
                  </w:r>
                  <w:r>
                    <w:rPr>
                      <w:rFonts w:ascii="仿宋_GB2312" w:hAnsi="仿宋_GB2312" w:cs="仿宋_GB2312" w:eastAsia="仿宋_GB2312"/>
                      <w:sz w:val="21"/>
                    </w:rPr>
                    <w:t>克</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理论知识介绍、包含了腹部冲击法、胸部冲击法、婴儿救治法三类</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救治流程符合中国医学救援协会的指导流程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流程包含成人</w:t>
                  </w:r>
                  <w:r>
                    <w:rPr>
                      <w:rFonts w:ascii="仿宋_GB2312" w:hAnsi="仿宋_GB2312" w:cs="仿宋_GB2312" w:eastAsia="仿宋_GB2312"/>
                      <w:sz w:val="21"/>
                    </w:rPr>
                    <w:t>-</w:t>
                  </w:r>
                  <w:r>
                    <w:rPr>
                      <w:rFonts w:ascii="仿宋_GB2312" w:hAnsi="仿宋_GB2312" w:cs="仿宋_GB2312" w:eastAsia="仿宋_GB2312"/>
                      <w:sz w:val="21"/>
                    </w:rPr>
                    <w:t>使用腹部冲击法、孕妇</w:t>
                  </w:r>
                  <w:r>
                    <w:rPr>
                      <w:rFonts w:ascii="仿宋_GB2312" w:hAnsi="仿宋_GB2312" w:cs="仿宋_GB2312" w:eastAsia="仿宋_GB2312"/>
                      <w:sz w:val="21"/>
                    </w:rPr>
                    <w:t>&amp;</w:t>
                  </w:r>
                  <w:r>
                    <w:rPr>
                      <w:rFonts w:ascii="仿宋_GB2312" w:hAnsi="仿宋_GB2312" w:cs="仿宋_GB2312" w:eastAsia="仿宋_GB2312"/>
                      <w:sz w:val="21"/>
                    </w:rPr>
                    <w:t>肥胖者</w:t>
                  </w:r>
                  <w:r>
                    <w:rPr>
                      <w:rFonts w:ascii="仿宋_GB2312" w:hAnsi="仿宋_GB2312" w:cs="仿宋_GB2312" w:eastAsia="仿宋_GB2312"/>
                      <w:sz w:val="21"/>
                    </w:rPr>
                    <w:t>-</w:t>
                  </w:r>
                  <w:r>
                    <w:rPr>
                      <w:rFonts w:ascii="仿宋_GB2312" w:hAnsi="仿宋_GB2312" w:cs="仿宋_GB2312" w:eastAsia="仿宋_GB2312"/>
                      <w:sz w:val="21"/>
                    </w:rPr>
                    <w:t>使用胸部冲击法、昏迷者</w:t>
                  </w:r>
                  <w:r>
                    <w:rPr>
                      <w:rFonts w:ascii="仿宋_GB2312" w:hAnsi="仿宋_GB2312" w:cs="仿宋_GB2312" w:eastAsia="仿宋_GB2312"/>
                      <w:sz w:val="21"/>
                    </w:rPr>
                    <w:t>-</w:t>
                  </w:r>
                  <w:r>
                    <w:rPr>
                      <w:rFonts w:ascii="仿宋_GB2312" w:hAnsi="仿宋_GB2312" w:cs="仿宋_GB2312" w:eastAsia="仿宋_GB2312"/>
                      <w:sz w:val="21"/>
                    </w:rPr>
                    <w:t>使用胸部冲击法、儿童</w:t>
                  </w:r>
                  <w:r>
                    <w:rPr>
                      <w:rFonts w:ascii="仿宋_GB2312" w:hAnsi="仿宋_GB2312" w:cs="仿宋_GB2312" w:eastAsia="仿宋_GB2312"/>
                      <w:sz w:val="21"/>
                    </w:rPr>
                    <w:t>&amp;</w:t>
                  </w:r>
                  <w:r>
                    <w:rPr>
                      <w:rFonts w:ascii="仿宋_GB2312" w:hAnsi="仿宋_GB2312" w:cs="仿宋_GB2312" w:eastAsia="仿宋_GB2312"/>
                      <w:sz w:val="21"/>
                    </w:rPr>
                    <w:t>婴儿</w:t>
                  </w:r>
                  <w:r>
                    <w:rPr>
                      <w:rFonts w:ascii="仿宋_GB2312" w:hAnsi="仿宋_GB2312" w:cs="仿宋_GB2312" w:eastAsia="仿宋_GB2312"/>
                      <w:sz w:val="21"/>
                    </w:rPr>
                    <w:t>-</w:t>
                  </w:r>
                  <w:r>
                    <w:rPr>
                      <w:rFonts w:ascii="仿宋_GB2312" w:hAnsi="仿宋_GB2312" w:cs="仿宋_GB2312" w:eastAsia="仿宋_GB2312"/>
                      <w:sz w:val="21"/>
                    </w:rPr>
                    <w:t>使用腹部冲击法和婴儿救治法。流程步骤不低于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评估反馈需要支持记录整个培训过程中的数据、提供分析和评估，助力后续课程优化改善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心肺复苏</w:t>
                  </w:r>
                  <w:r>
                    <w:rPr>
                      <w:rFonts w:ascii="仿宋_GB2312" w:hAnsi="仿宋_GB2312" w:cs="仿宋_GB2312" w:eastAsia="仿宋_GB2312"/>
                      <w:sz w:val="21"/>
                    </w:rPr>
                    <w:t>CPR</w:t>
                  </w:r>
                </w:p>
                <w:p>
                  <w:pPr>
                    <w:pStyle w:val="null3"/>
                    <w:jc w:val="left"/>
                  </w:p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理论知识介绍、包含了胸外按压、人工呼吸和使用自动体外除颤器（</w:t>
                  </w:r>
                  <w:r>
                    <w:rPr>
                      <w:rFonts w:ascii="仿宋_GB2312" w:hAnsi="仿宋_GB2312" w:cs="仿宋_GB2312" w:eastAsia="仿宋_GB2312"/>
                      <w:sz w:val="21"/>
                    </w:rPr>
                    <w:t>AED</w:t>
                  </w:r>
                  <w:r>
                    <w:rPr>
                      <w:rFonts w:ascii="仿宋_GB2312" w:hAnsi="仿宋_GB2312" w:cs="仿宋_GB2312" w:eastAsia="仿宋_GB2312"/>
                      <w:sz w:val="21"/>
                    </w:rPr>
                    <w:t>）三个核心技能</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救治流程符合中国医学救援协会的指导流程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流程包含胸外按压、人工呼吸、自动体外除颤器（</w:t>
                  </w:r>
                  <w:r>
                    <w:rPr>
                      <w:rFonts w:ascii="仿宋_GB2312" w:hAnsi="仿宋_GB2312" w:cs="仿宋_GB2312" w:eastAsia="仿宋_GB2312"/>
                      <w:sz w:val="21"/>
                    </w:rPr>
                    <w:t>AED</w:t>
                  </w:r>
                  <w:r>
                    <w:rPr>
                      <w:rFonts w:ascii="仿宋_GB2312" w:hAnsi="仿宋_GB2312" w:cs="仿宋_GB2312" w:eastAsia="仿宋_GB2312"/>
                      <w:sz w:val="21"/>
                    </w:rPr>
                    <w:t>）使用三项课程，流程步骤不低于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切开缝合</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理论知识介绍、包含了切开缝合的理论问答、实操流程、注意事项、</w:t>
                  </w:r>
                  <w:r>
                    <w:rPr>
                      <w:rFonts w:ascii="仿宋_GB2312" w:hAnsi="仿宋_GB2312" w:cs="仿宋_GB2312" w:eastAsia="仿宋_GB2312"/>
                      <w:sz w:val="21"/>
                    </w:rPr>
                    <w:t>人文</w:t>
                  </w:r>
                  <w:r>
                    <w:rPr>
                      <w:rFonts w:ascii="仿宋_GB2312" w:hAnsi="仿宋_GB2312" w:cs="仿宋_GB2312" w:eastAsia="仿宋_GB2312"/>
                      <w:sz w:val="21"/>
                    </w:rPr>
                    <w:t>关怀等内容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胸腔穿刺</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理论知识介绍、包含了胸腔穿刺术的理论问答、实操流程、注意事项、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腹腔穿刺</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理论知识介绍、包含了腹腔穿刺的理论问答、实操流程、注意事项、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洗胃术</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理论知识介绍、包含了洗胃术的理论问答、实操流程、注意事项、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脓肿引流</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理论知识介绍、包含了脓肿引流的理论问答、实操流程、注意事项、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电除颤</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理论知识介绍、包含了电除颤的理论问答、实操流程、注意事项、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换药术</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理论知识介绍、包含了清创换药的理论问答、实操流程、注意事项、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导尿术（男</w:t>
                  </w:r>
                  <w:r>
                    <w:rPr>
                      <w:rFonts w:ascii="仿宋_GB2312" w:hAnsi="仿宋_GB2312" w:cs="仿宋_GB2312" w:eastAsia="仿宋_GB2312"/>
                      <w:sz w:val="21"/>
                    </w:rPr>
                    <w:t>/</w:t>
                  </w:r>
                  <w:r>
                    <w:rPr>
                      <w:rFonts w:ascii="仿宋_GB2312" w:hAnsi="仿宋_GB2312" w:cs="仿宋_GB2312" w:eastAsia="仿宋_GB2312"/>
                      <w:sz w:val="21"/>
                    </w:rPr>
                    <w:t>女）</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理论知识介绍、包含了导尿的理论问答、实操流程、注意事项、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PICC</w:t>
                  </w:r>
                  <w:r>
                    <w:rPr>
                      <w:rFonts w:ascii="仿宋_GB2312" w:hAnsi="仿宋_GB2312" w:cs="仿宋_GB2312" w:eastAsia="仿宋_GB2312"/>
                      <w:sz w:val="21"/>
                    </w:rPr>
                    <w:t>换药</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w:t>
                  </w:r>
                  <w:r>
                    <w:rPr>
                      <w:rFonts w:ascii="仿宋_GB2312" w:hAnsi="仿宋_GB2312" w:cs="仿宋_GB2312" w:eastAsia="仿宋_GB2312"/>
                      <w:sz w:val="21"/>
                    </w:rPr>
                    <w:t>PICC</w:t>
                  </w:r>
                  <w:r>
                    <w:rPr>
                      <w:rFonts w:ascii="仿宋_GB2312" w:hAnsi="仿宋_GB2312" w:cs="仿宋_GB2312" w:eastAsia="仿宋_GB2312"/>
                      <w:sz w:val="21"/>
                    </w:rPr>
                    <w:t>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救治流程符合教材辅导要求：中华护理学会静脉输液专科护士规范化培训内容与标准细则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MR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局部封闭</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理论知识介绍、包含了局部封闭的理论问答、实操流程、注意事项、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救治流程符合教材辅导要求：中国医师协会全科住院医师规范化培训内容与标准细则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流程包含核对、评估、告知、准备、实施、整理和</w:t>
                  </w:r>
                  <w:r>
                    <w:rPr>
                      <w:rFonts w:ascii="仿宋_GB2312" w:hAnsi="仿宋_GB2312" w:cs="仿宋_GB2312" w:eastAsia="仿宋_GB2312"/>
                      <w:sz w:val="21"/>
                    </w:rPr>
                    <w:t>记录</w:t>
                  </w:r>
                  <w:r>
                    <w:rPr>
                      <w:rFonts w:ascii="仿宋_GB2312" w:hAnsi="仿宋_GB2312" w:cs="仿宋_GB2312" w:eastAsia="仿宋_GB2312"/>
                      <w:sz w:val="21"/>
                    </w:rPr>
                    <w:t>7</w:t>
                  </w:r>
                  <w:r>
                    <w:rPr>
                      <w:rFonts w:ascii="仿宋_GB2312" w:hAnsi="仿宋_GB2312" w:cs="仿宋_GB2312" w:eastAsia="仿宋_GB2312"/>
                      <w:sz w:val="21"/>
                    </w:rPr>
                    <w:t>个环节，流程步骤不低于</w:t>
                  </w:r>
                  <w:r>
                    <w:rPr>
                      <w:rFonts w:ascii="仿宋_GB2312" w:hAnsi="仿宋_GB2312" w:cs="仿宋_GB2312" w:eastAsia="仿宋_GB2312"/>
                      <w:sz w:val="21"/>
                    </w:rPr>
                    <w:t>15</w:t>
                  </w:r>
                  <w:r>
                    <w:rPr>
                      <w:rFonts w:ascii="仿宋_GB2312" w:hAnsi="仿宋_GB2312" w:cs="仿宋_GB2312" w:eastAsia="仿宋_GB2312"/>
                      <w:sz w:val="21"/>
                    </w:rPr>
                    <w:t>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w:t>
                  </w:r>
                  <w:r>
                    <w:rPr>
                      <w:rFonts w:ascii="仿宋_GB2312" w:hAnsi="仿宋_GB2312" w:cs="仿宋_GB2312" w:eastAsia="仿宋_GB2312"/>
                      <w:sz w:val="21"/>
                    </w:rPr>
                    <w:t>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VR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13）气道护理</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理论知识介绍、包含了气道护理的理论问答、实操流程、注意事项、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救治流程符合护理教学指导课程标准，课程包含两部分，吸痰和换气管垫；其中吸痰包含普通病人，侧吸管吸引，二次吸痰，呼吸机病人，内套管堵塞五类细分。</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流程包含素质要求、评估病人、操作准备、操作过程、操作评估这</w:t>
                  </w:r>
                  <w:r>
                    <w:rPr>
                      <w:rFonts w:ascii="仿宋_GB2312" w:hAnsi="仿宋_GB2312" w:cs="仿宋_GB2312" w:eastAsia="仿宋_GB2312"/>
                      <w:sz w:val="21"/>
                    </w:rPr>
                    <w:t>5个环节，流程步骤不低于20步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VR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14）泪道冲洗</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理论知识介绍、包含了泪道冲洗的理论问答、实操流程、注意事项、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救治流程符合护理教学指导课程标准，课程包含三部分，泪道冲洗，泪囊炎以及泪道堵塞。</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流程包含素质要求、评估病人、操作准备、操作过程、操作评估这</w:t>
                  </w:r>
                  <w:r>
                    <w:rPr>
                      <w:rFonts w:ascii="仿宋_GB2312" w:hAnsi="仿宋_GB2312" w:cs="仿宋_GB2312" w:eastAsia="仿宋_GB2312"/>
                      <w:sz w:val="21"/>
                    </w:rPr>
                    <w:t>5个环节，流程步骤不低于20步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VR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15）角膜异物剔除</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理论知识介绍、包含了角膜异物剔除的理论问答、实操流程、注意事项、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救治流程符合护理教学指导课程标准。可以模拟显微镜下的角膜情况。</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流程包含素质要求、评估病人、操作准备、操作过程、操作评估这</w:t>
                  </w:r>
                  <w:r>
                    <w:rPr>
                      <w:rFonts w:ascii="仿宋_GB2312" w:hAnsi="仿宋_GB2312" w:cs="仿宋_GB2312" w:eastAsia="仿宋_GB2312"/>
                      <w:sz w:val="21"/>
                    </w:rPr>
                    <w:t>5个环节，流程步骤不低于20步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VR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16）鼓膜穿刺抽液</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理论知识介绍、包含了鼓膜穿刺抽液的理论问答、实操流程、注意事项、</w:t>
                  </w:r>
                  <w:r>
                    <w:rPr>
                      <w:rFonts w:ascii="仿宋_GB2312" w:hAnsi="仿宋_GB2312" w:cs="仿宋_GB2312" w:eastAsia="仿宋_GB2312"/>
                      <w:sz w:val="21"/>
                    </w:rPr>
                    <w:t>人文关怀</w:t>
                  </w:r>
                  <w:r>
                    <w:rPr>
                      <w:rFonts w:ascii="仿宋_GB2312" w:hAnsi="仿宋_GB2312" w:cs="仿宋_GB2312" w:eastAsia="仿宋_GB2312"/>
                      <w:sz w:val="21"/>
                    </w:rPr>
                    <w:t>等内容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救治流程符合护理教学指导课程标准，课程含电子镜下穿刺抽液和普通额镜下穿刺抽液模拟。</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流程包含素质要求、评估病人、操作准备、操作过程、操作评估这</w:t>
                  </w:r>
                  <w:r>
                    <w:rPr>
                      <w:rFonts w:ascii="仿宋_GB2312" w:hAnsi="仿宋_GB2312" w:cs="仿宋_GB2312" w:eastAsia="仿宋_GB2312"/>
                      <w:sz w:val="21"/>
                    </w:rPr>
                    <w:t>5个环节，流程步骤不低于20步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流程包含相关的虚拟数字人形象、数字人的动作动画、操作手势指导说明、视频讲解、语音提示、图文提示、理论问答各种题型。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VR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17）血采集操作</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操作流程符合《静脉血液标本采集指南</w:t>
                  </w:r>
                  <w:r>
                    <w:rPr>
                      <w:rFonts w:ascii="仿宋_GB2312" w:hAnsi="仿宋_GB2312" w:cs="仿宋_GB2312" w:eastAsia="仿宋_GB2312"/>
                      <w:sz w:val="21"/>
                    </w:rPr>
                    <w:t>WS</w:t>
                  </w:r>
                  <w:r>
                    <w:rPr>
                      <w:rFonts w:ascii="仿宋_GB2312" w:hAnsi="仿宋_GB2312" w:cs="仿宋_GB2312" w:eastAsia="仿宋_GB2312"/>
                      <w:sz w:val="21"/>
                    </w:rPr>
                    <w:t>/</w:t>
                  </w:r>
                  <w:r>
                    <w:rPr>
                      <w:rFonts w:ascii="仿宋_GB2312" w:hAnsi="仿宋_GB2312" w:cs="仿宋_GB2312" w:eastAsia="仿宋_GB2312"/>
                      <w:sz w:val="21"/>
                    </w:rPr>
                    <w:t>T661-2020》</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包含了：理论知识介绍、包含了配药间和病房</w:t>
                  </w:r>
                  <w:r>
                    <w:rPr>
                      <w:rFonts w:ascii="仿宋_GB2312" w:hAnsi="仿宋_GB2312" w:cs="仿宋_GB2312" w:eastAsia="仿宋_GB2312"/>
                      <w:sz w:val="21"/>
                    </w:rPr>
                    <w:t>2个场景，护士和病人2个任务。血采集相关的所有医疗道具。</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流程包含事前的准备和病人信息确认、实操部分、以及事后的注意事项和护理说明。</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流程包含相关的虚拟数字人形象、数字人的动作动画、使用手势识别</w:t>
                  </w:r>
                  <w:r>
                    <w:rPr>
                      <w:rFonts w:ascii="仿宋_GB2312" w:hAnsi="仿宋_GB2312" w:cs="仿宋_GB2312" w:eastAsia="仿宋_GB2312"/>
                      <w:sz w:val="21"/>
                    </w:rPr>
                    <w:t>，</w:t>
                  </w:r>
                  <w:r>
                    <w:rPr>
                      <w:rFonts w:ascii="仿宋_GB2312" w:hAnsi="仿宋_GB2312" w:cs="仿宋_GB2312" w:eastAsia="仿宋_GB2312"/>
                      <w:sz w:val="21"/>
                    </w:rPr>
                    <w:t>完成包括指导说明、视频讲解、语音提示、图文提示、理论问答各种题型。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仪容仪表检查：引导护士进入配药间后进行自我检查。</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使用</w:t>
                  </w:r>
                  <w:r>
                    <w:rPr>
                      <w:rFonts w:ascii="仿宋_GB2312" w:hAnsi="仿宋_GB2312" w:cs="仿宋_GB2312" w:eastAsia="仿宋_GB2312"/>
                      <w:sz w:val="21"/>
                    </w:rPr>
                    <w:t>VR手势识别功能，指导护士按照标准流程检查自己的着装（如帽子、口罩佩戴是否正确）、手部清洁情况等。</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手卫生处理：用手势模拟正确的洗手步骤，通过</w:t>
                  </w:r>
                  <w:r>
                    <w:rPr>
                      <w:rFonts w:ascii="仿宋_GB2312" w:hAnsi="仿宋_GB2312" w:cs="仿宋_GB2312" w:eastAsia="仿宋_GB2312"/>
                      <w:sz w:val="21"/>
                    </w:rPr>
                    <w:t>UI洗手视频提示的方式要求护士完成7步洗手法</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用物准备的选择，展示所需物品，如采血管、酒精棉片、碘伏、采样瓶等，并引导护士在虚拟环境中逐一确认。必须一比一还原所有医疗物品。</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核对完毕后，语音和动画的方式提示学员进行床位调整的操作，保证患者处于舒适位置，便于后续操作。</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具备沉浸性：</w:t>
                  </w:r>
                  <w:r>
                    <w:rPr>
                      <w:rFonts w:ascii="仿宋_GB2312" w:hAnsi="仿宋_GB2312" w:cs="仿宋_GB2312" w:eastAsia="仿宋_GB2312"/>
                      <w:sz w:val="21"/>
                    </w:rPr>
                    <w:t>360°全景，沉浸式显影技术，逼真展现血采集的现场情境。</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模拟完整的血标本采集的流程包含了</w:t>
                  </w:r>
                  <w:r>
                    <w:rPr>
                      <w:rFonts w:ascii="仿宋_GB2312" w:hAnsi="仿宋_GB2312" w:cs="仿宋_GB2312" w:eastAsia="仿宋_GB2312"/>
                      <w:sz w:val="21"/>
                    </w:rPr>
                    <w:t>5个采血瓶的操作以及进针位置、角度等相关的判断说明以及指导.</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理论问答符合血标本采集的理论教程内容。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穿刺过程：采用高精度的手势识别技术，模拟真实的穿刺动作，要能判断位置和进针角度。通过</w:t>
                  </w:r>
                  <w:r>
                    <w:rPr>
                      <w:rFonts w:ascii="仿宋_GB2312" w:hAnsi="仿宋_GB2312" w:cs="仿宋_GB2312" w:eastAsia="仿宋_GB2312"/>
                      <w:sz w:val="21"/>
                    </w:rPr>
                    <w:t>UI提示和动画指导的方式提示学员如何找到准确的穿刺位置，进针角度要求，如何进针的提示。帮助学员快速掌握流程。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VR</w:t>
                  </w:r>
                  <w:r>
                    <w:rPr>
                      <w:rFonts w:ascii="仿宋_GB2312" w:hAnsi="仿宋_GB2312" w:cs="仿宋_GB2312" w:eastAsia="仿宋_GB2312"/>
                      <w:sz w:val="21"/>
                      <w:b/>
                    </w:rPr>
                    <w:t>课程</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18）留置针操作</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救治流程符合教材辅导要求：中华护理学会静脉输液专科护士规范化培训内容与标准细则</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流程包含事前的准备和病人信息确认、实操部分、以及事后的注意事项和护理说明。</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流程包含相关的虚拟数字人形象、数字人的动作动画、使用手势识别完成包括指导说明、视频讲解、语音提示、图文提示、理论问答各种题型。</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具备虚实交互性：虚拟场景中的</w:t>
                  </w:r>
                  <w:r>
                    <w:rPr>
                      <w:rFonts w:ascii="仿宋_GB2312" w:hAnsi="仿宋_GB2312" w:cs="仿宋_GB2312" w:eastAsia="仿宋_GB2312"/>
                      <w:sz w:val="21"/>
                    </w:rPr>
                    <w:t>3D虚拟病人通过手势识别进行交互。学员对模拟人进行的留置针教学方法，在虚拟场景中同步对应的虚拟操作显示，包括消毒、用物准备、操作、术后总结等等。</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模拟标准操作前的消毒管控流程，指导</w:t>
                  </w:r>
                  <w:r>
                    <w:rPr>
                      <w:rFonts w:ascii="仿宋_GB2312" w:hAnsi="仿宋_GB2312" w:cs="仿宋_GB2312" w:eastAsia="仿宋_GB2312"/>
                      <w:sz w:val="21"/>
                    </w:rPr>
                    <w:t>7步洗手法，进行留置针操作的医疗道具用物的选择</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具备沉浸性：</w:t>
                  </w:r>
                  <w:r>
                    <w:rPr>
                      <w:rFonts w:ascii="仿宋_GB2312" w:hAnsi="仿宋_GB2312" w:cs="仿宋_GB2312" w:eastAsia="仿宋_GB2312"/>
                      <w:sz w:val="21"/>
                    </w:rPr>
                    <w:t>360°全景，沉浸式显影技术，逼真展现留置针操作的现场情境。</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课程中病人位置：仰卧</w:t>
                  </w:r>
                  <w:r>
                    <w:rPr>
                      <w:rFonts w:ascii="仿宋_GB2312" w:hAnsi="仿宋_GB2312" w:cs="仿宋_GB2312" w:eastAsia="仿宋_GB2312"/>
                      <w:sz w:val="21"/>
                    </w:rPr>
                    <w:t>-床头板30度、仰卧-床头板45度、仰卧在床上、枕头在病人后边</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评估反馈需要支持记录整个培训过程中的数据、提供分析和评估，助力后续的课程的优化改善（提供视频证明）</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记录实训过程中的人员练习数据，包括时长、次数、得分等信息；课程的满意度反馈</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具有数据统计分析，对记录的数据进行分析评估，提供对应的图表内容</w:t>
                  </w:r>
                </w:p>
              </w:tc>
            </w:tr>
            <w:tr>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系统</w:t>
                  </w:r>
                  <w:r>
                    <w:rPr>
                      <w:rFonts w:ascii="仿宋_GB2312" w:hAnsi="仿宋_GB2312" w:cs="仿宋_GB2312" w:eastAsia="仿宋_GB2312"/>
                      <w:sz w:val="21"/>
                      <w:b/>
                    </w:rPr>
                    <w:t>后台</w:t>
                  </w:r>
                </w:p>
              </w:tc>
              <w:tc>
                <w:tcPr>
                  <w:tcW w:type="dxa" w:w="2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课程实训后台</w:t>
                  </w: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系统响应</w:t>
                  </w:r>
                  <w:r>
                    <w:rPr>
                      <w:rFonts w:ascii="仿宋_GB2312" w:hAnsi="仿宋_GB2312" w:cs="仿宋_GB2312" w:eastAsia="仿宋_GB2312"/>
                      <w:sz w:val="21"/>
                      <w:b/>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架构要求：</w:t>
                  </w:r>
                  <w:r>
                    <w:rPr>
                      <w:rFonts w:ascii="仿宋_GB2312" w:hAnsi="仿宋_GB2312" w:cs="仿宋_GB2312" w:eastAsia="仿宋_GB2312"/>
                      <w:sz w:val="21"/>
                    </w:rPr>
                    <w:t xml:space="preserve">B/S </w:t>
                  </w:r>
                  <w:r>
                    <w:rPr>
                      <w:rFonts w:ascii="仿宋_GB2312" w:hAnsi="仿宋_GB2312" w:cs="仿宋_GB2312" w:eastAsia="仿宋_GB2312"/>
                      <w:sz w:val="21"/>
                    </w:rPr>
                    <w:t>架构，支持用户通过标准浏览器访问和管理系统，无需安装额外客户端软件。</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跨平台支持：支持跨操作系统（</w:t>
                  </w:r>
                  <w:r>
                    <w:rPr>
                      <w:rFonts w:ascii="仿宋_GB2312" w:hAnsi="仿宋_GB2312" w:cs="仿宋_GB2312" w:eastAsia="仿宋_GB2312"/>
                      <w:sz w:val="21"/>
                    </w:rPr>
                    <w:t>Windows</w:t>
                  </w:r>
                  <w:r>
                    <w:rPr>
                      <w:rFonts w:ascii="仿宋_GB2312" w:hAnsi="仿宋_GB2312" w:cs="仿宋_GB2312" w:eastAsia="仿宋_GB2312"/>
                      <w:sz w:val="21"/>
                    </w:rPr>
                    <w:t>、</w:t>
                  </w:r>
                  <w:r>
                    <w:rPr>
                      <w:rFonts w:ascii="仿宋_GB2312" w:hAnsi="仿宋_GB2312" w:cs="仿宋_GB2312" w:eastAsia="仿宋_GB2312"/>
                      <w:sz w:val="21"/>
                    </w:rPr>
                    <w:t>macOS</w:t>
                  </w:r>
                  <w:r>
                    <w:rPr>
                      <w:rFonts w:ascii="仿宋_GB2312" w:hAnsi="仿宋_GB2312" w:cs="仿宋_GB2312" w:eastAsia="仿宋_GB2312"/>
                      <w:sz w:val="21"/>
                    </w:rPr>
                    <w:t>、</w:t>
                  </w:r>
                  <w:r>
                    <w:rPr>
                      <w:rFonts w:ascii="仿宋_GB2312" w:hAnsi="仿宋_GB2312" w:cs="仿宋_GB2312" w:eastAsia="仿宋_GB2312"/>
                      <w:sz w:val="21"/>
                    </w:rPr>
                    <w:t xml:space="preserve">Linux </w:t>
                  </w:r>
                  <w:r>
                    <w:rPr>
                      <w:rFonts w:ascii="仿宋_GB2312" w:hAnsi="仿宋_GB2312" w:cs="仿宋_GB2312" w:eastAsia="仿宋_GB2312"/>
                      <w:sz w:val="21"/>
                    </w:rPr>
                    <w:t>等）及浏览器（</w:t>
                  </w:r>
                  <w:r>
                    <w:rPr>
                      <w:rFonts w:ascii="仿宋_GB2312" w:hAnsi="仿宋_GB2312" w:cs="仿宋_GB2312" w:eastAsia="仿宋_GB2312"/>
                      <w:sz w:val="21"/>
                    </w:rPr>
                    <w:t>Chrome</w:t>
                  </w:r>
                  <w:r>
                    <w:rPr>
                      <w:rFonts w:ascii="仿宋_GB2312" w:hAnsi="仿宋_GB2312" w:cs="仿宋_GB2312" w:eastAsia="仿宋_GB2312"/>
                      <w:sz w:val="21"/>
                    </w:rPr>
                    <w:t>、</w:t>
                  </w:r>
                  <w:r>
                    <w:rPr>
                      <w:rFonts w:ascii="仿宋_GB2312" w:hAnsi="仿宋_GB2312" w:cs="仿宋_GB2312" w:eastAsia="仿宋_GB2312"/>
                      <w:sz w:val="21"/>
                    </w:rPr>
                    <w:t>Firefox</w:t>
                  </w:r>
                  <w:r>
                    <w:rPr>
                      <w:rFonts w:ascii="仿宋_GB2312" w:hAnsi="仿宋_GB2312" w:cs="仿宋_GB2312" w:eastAsia="仿宋_GB2312"/>
                      <w:sz w:val="21"/>
                    </w:rPr>
                    <w:t>、</w:t>
                  </w:r>
                  <w:r>
                    <w:rPr>
                      <w:rFonts w:ascii="仿宋_GB2312" w:hAnsi="仿宋_GB2312" w:cs="仿宋_GB2312" w:eastAsia="仿宋_GB2312"/>
                      <w:sz w:val="21"/>
                    </w:rPr>
                    <w:t xml:space="preserve">Edge </w:t>
                  </w:r>
                  <w:r>
                    <w:rPr>
                      <w:rFonts w:ascii="仿宋_GB2312" w:hAnsi="仿宋_GB2312" w:cs="仿宋_GB2312" w:eastAsia="仿宋_GB2312"/>
                      <w:sz w:val="21"/>
                    </w:rPr>
                    <w:t>等）访问，确保一致的用户体验。</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性能要求：支持高并发访问及大数据量处理。</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页面加载性能：页面加载速度</w:t>
                  </w:r>
                  <w:r>
                    <w:rPr>
                      <w:rFonts w:ascii="仿宋_GB2312" w:hAnsi="仿宋_GB2312" w:cs="仿宋_GB2312" w:eastAsia="仿宋_GB2312"/>
                      <w:sz w:val="21"/>
                    </w:rPr>
                    <w:t>≤3s</w:t>
                  </w:r>
                  <w:r>
                    <w:rPr>
                      <w:rFonts w:ascii="仿宋_GB2312" w:hAnsi="仿宋_GB2312" w:cs="仿宋_GB2312" w:eastAsia="仿宋_GB2312"/>
                      <w:sz w:val="21"/>
                    </w:rPr>
                    <w:t xml:space="preserve">，交互响应时间控制在 </w:t>
                  </w:r>
                  <w:r>
                    <w:rPr>
                      <w:rFonts w:ascii="仿宋_GB2312" w:hAnsi="仿宋_GB2312" w:cs="仿宋_GB2312" w:eastAsia="仿宋_GB2312"/>
                      <w:sz w:val="21"/>
                    </w:rPr>
                    <w:t xml:space="preserve">2.5s-4s </w:t>
                  </w:r>
                  <w:r>
                    <w:rPr>
                      <w:rFonts w:ascii="仿宋_GB2312" w:hAnsi="仿宋_GB2312" w:cs="仿宋_GB2312" w:eastAsia="仿宋_GB2312"/>
                      <w:sz w:val="21"/>
                    </w:rPr>
                    <w:t>范围内。</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数据库</w:t>
                  </w:r>
                  <w:r>
                    <w:rPr>
                      <w:rFonts w:ascii="仿宋_GB2312" w:hAnsi="仿宋_GB2312" w:cs="仿宋_GB2312" w:eastAsia="仿宋_GB2312"/>
                      <w:sz w:val="21"/>
                      <w:b/>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查询性能：查询响应时间</w:t>
                  </w:r>
                  <w:r>
                    <w:rPr>
                      <w:rFonts w:ascii="仿宋_GB2312" w:hAnsi="仿宋_GB2312" w:cs="仿宋_GB2312" w:eastAsia="仿宋_GB2312"/>
                      <w:sz w:val="21"/>
                    </w:rPr>
                    <w:t>≤100ms</w:t>
                  </w:r>
                  <w:r>
                    <w:rPr>
                      <w:rFonts w:ascii="仿宋_GB2312" w:hAnsi="仿宋_GB2312" w:cs="仿宋_GB2312" w:eastAsia="仿宋_GB2312"/>
                      <w:sz w:val="21"/>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事务处理效率：事务处理时间</w:t>
                  </w:r>
                  <w:r>
                    <w:rPr>
                      <w:rFonts w:ascii="仿宋_GB2312" w:hAnsi="仿宋_GB2312" w:cs="仿宋_GB2312" w:eastAsia="仿宋_GB2312"/>
                      <w:sz w:val="21"/>
                    </w:rPr>
                    <w:t xml:space="preserve"> &lt; 1s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磁盘</w:t>
                  </w:r>
                  <w:r>
                    <w:rPr>
                      <w:rFonts w:ascii="仿宋_GB2312" w:hAnsi="仿宋_GB2312" w:cs="仿宋_GB2312" w:eastAsia="仿宋_GB2312"/>
                      <w:sz w:val="21"/>
                    </w:rPr>
                    <w:t xml:space="preserve"> I/O </w:t>
                  </w:r>
                  <w:r>
                    <w:rPr>
                      <w:rFonts w:ascii="仿宋_GB2312" w:hAnsi="仿宋_GB2312" w:cs="仿宋_GB2312" w:eastAsia="仿宋_GB2312"/>
                      <w:sz w:val="21"/>
                    </w:rPr>
                    <w:t xml:space="preserve">性能：通过 </w:t>
                  </w:r>
                  <w:r>
                    <w:rPr>
                      <w:rFonts w:ascii="仿宋_GB2312" w:hAnsi="仿宋_GB2312" w:cs="仿宋_GB2312" w:eastAsia="仿宋_GB2312"/>
                      <w:sz w:val="21"/>
                    </w:rPr>
                    <w:t xml:space="preserve">SSD </w:t>
                  </w:r>
                  <w:r>
                    <w:rPr>
                      <w:rFonts w:ascii="仿宋_GB2312" w:hAnsi="仿宋_GB2312" w:cs="仿宋_GB2312" w:eastAsia="仿宋_GB2312"/>
                      <w:sz w:val="21"/>
                    </w:rPr>
                    <w:t xml:space="preserve">或 </w:t>
                  </w:r>
                  <w:r>
                    <w:rPr>
                      <w:rFonts w:ascii="仿宋_GB2312" w:hAnsi="仿宋_GB2312" w:cs="仿宋_GB2312" w:eastAsia="仿宋_GB2312"/>
                      <w:sz w:val="21"/>
                    </w:rPr>
                    <w:t xml:space="preserve">RAID </w:t>
                  </w:r>
                  <w:r>
                    <w:rPr>
                      <w:rFonts w:ascii="仿宋_GB2312" w:hAnsi="仿宋_GB2312" w:cs="仿宋_GB2312" w:eastAsia="仿宋_GB2312"/>
                      <w:sz w:val="21"/>
                    </w:rPr>
                    <w:t xml:space="preserve">阵列等技术提升磁盘 </w:t>
                  </w:r>
                  <w:r>
                    <w:rPr>
                      <w:rFonts w:ascii="仿宋_GB2312" w:hAnsi="仿宋_GB2312" w:cs="仿宋_GB2312" w:eastAsia="仿宋_GB2312"/>
                      <w:sz w:val="21"/>
                    </w:rPr>
                    <w:t xml:space="preserve">I/O </w:t>
                  </w:r>
                  <w:r>
                    <w:rPr>
                      <w:rFonts w:ascii="仿宋_GB2312" w:hAnsi="仿宋_GB2312" w:cs="仿宋_GB2312" w:eastAsia="仿宋_GB2312"/>
                      <w:sz w:val="21"/>
                    </w:rPr>
                    <w:t>性能，</w:t>
                  </w:r>
                  <w:r>
                    <w:rPr>
                      <w:rFonts w:ascii="仿宋_GB2312" w:hAnsi="仿宋_GB2312" w:cs="仿宋_GB2312" w:eastAsia="仿宋_GB2312"/>
                      <w:sz w:val="21"/>
                    </w:rPr>
                    <w:t xml:space="preserve">I/O </w:t>
                  </w:r>
                  <w:r>
                    <w:rPr>
                      <w:rFonts w:ascii="仿宋_GB2312" w:hAnsi="仿宋_GB2312" w:cs="仿宋_GB2312" w:eastAsia="仿宋_GB2312"/>
                      <w:sz w:val="21"/>
                    </w:rPr>
                    <w:t>延迟＜</w:t>
                  </w:r>
                  <w:r>
                    <w:rPr>
                      <w:rFonts w:ascii="仿宋_GB2312" w:hAnsi="仿宋_GB2312" w:cs="仿宋_GB2312" w:eastAsia="仿宋_GB2312"/>
                      <w:sz w:val="21"/>
                    </w:rPr>
                    <w:t>10ms</w:t>
                  </w:r>
                  <w:r>
                    <w:rPr>
                      <w:rFonts w:ascii="仿宋_GB2312" w:hAnsi="仿宋_GB2312" w:cs="仿宋_GB2312" w:eastAsia="仿宋_GB2312"/>
                      <w:sz w:val="21"/>
                    </w:rPr>
                    <w:t>，确保数据读写效率。</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定期备份机制：建立自动化定期备份策略，对用户训练数据、系统配置信息等关键数据进行周期性备份，备份周期可配置（最短不超过</w:t>
                  </w:r>
                  <w:r>
                    <w:rPr>
                      <w:rFonts w:ascii="仿宋_GB2312" w:hAnsi="仿宋_GB2312" w:cs="仿宋_GB2312" w:eastAsia="仿宋_GB2312"/>
                      <w:sz w:val="21"/>
                    </w:rPr>
                    <w:t xml:space="preserve"> 24 </w:t>
                  </w:r>
                  <w:r>
                    <w:rPr>
                      <w:rFonts w:ascii="仿宋_GB2312" w:hAnsi="仿宋_GB2312" w:cs="仿宋_GB2312" w:eastAsia="仿宋_GB2312"/>
                      <w:sz w:val="21"/>
                    </w:rPr>
                    <w:t>小时）。</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备份数据加密管理：所有备份数据采用符合国家密码管理局规范的加密算法（如</w:t>
                  </w:r>
                  <w:r>
                    <w:rPr>
                      <w:rFonts w:ascii="仿宋_GB2312" w:hAnsi="仿宋_GB2312" w:cs="仿宋_GB2312" w:eastAsia="仿宋_GB2312"/>
                      <w:sz w:val="21"/>
                    </w:rPr>
                    <w:t xml:space="preserve"> SM4</w:t>
                  </w:r>
                  <w:r>
                    <w:rPr>
                      <w:rFonts w:ascii="仿宋_GB2312" w:hAnsi="仿宋_GB2312" w:cs="仿宋_GB2312" w:eastAsia="仿宋_GB2312"/>
                      <w:sz w:val="21"/>
                    </w:rPr>
                    <w:t>）加密存储，加密密钥通过密钥管理系统（</w:t>
                  </w:r>
                  <w:r>
                    <w:rPr>
                      <w:rFonts w:ascii="仿宋_GB2312" w:hAnsi="仿宋_GB2312" w:cs="仿宋_GB2312" w:eastAsia="仿宋_GB2312"/>
                      <w:sz w:val="21"/>
                    </w:rPr>
                    <w:t>KMS</w:t>
                  </w:r>
                  <w:r>
                    <w:rPr>
                      <w:rFonts w:ascii="仿宋_GB2312" w:hAnsi="仿宋_GB2312" w:cs="仿宋_GB2312" w:eastAsia="仿宋_GB2312"/>
                      <w:sz w:val="21"/>
                    </w:rPr>
                    <w:t>）安全管理，防止备份数据泄露。</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备份恢复能力：</w:t>
                  </w:r>
                  <w:r>
                    <w:rPr>
                      <w:rFonts w:ascii="仿宋_GB2312" w:hAnsi="仿宋_GB2312" w:cs="仿宋_GB2312" w:eastAsia="仿宋_GB2312"/>
                      <w:sz w:val="21"/>
                    </w:rPr>
                    <w:t>具有</w:t>
                  </w:r>
                  <w:r>
                    <w:rPr>
                      <w:rFonts w:ascii="仿宋_GB2312" w:hAnsi="仿宋_GB2312" w:cs="仿宋_GB2312" w:eastAsia="仿宋_GB2312"/>
                      <w:sz w:val="21"/>
                    </w:rPr>
                    <w:t>备份数据完整性校验及快速恢复，恢复过程保证数据一致性。</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用户管理</w:t>
                  </w:r>
                  <w:r>
                    <w:rPr>
                      <w:rFonts w:ascii="仿宋_GB2312" w:hAnsi="仿宋_GB2312" w:cs="仿宋_GB2312" w:eastAsia="仿宋_GB2312"/>
                      <w:sz w:val="21"/>
                      <w:b/>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账户全生命周期管理：支持从用户账户创建、激活、信息维护到注销的全流程自动化管理，结合企业级身份治理框架，实现用户身份的统一管控。支持批量导入用户信息（</w:t>
                  </w:r>
                  <w:r>
                    <w:rPr>
                      <w:rFonts w:ascii="仿宋_GB2312" w:hAnsi="仿宋_GB2312" w:cs="仿宋_GB2312" w:eastAsia="仿宋_GB2312"/>
                      <w:sz w:val="21"/>
                    </w:rPr>
                    <w:t xml:space="preserve">xls </w:t>
                  </w:r>
                  <w:r>
                    <w:rPr>
                      <w:rFonts w:ascii="仿宋_GB2312" w:hAnsi="仿宋_GB2312" w:cs="仿宋_GB2312" w:eastAsia="仿宋_GB2312"/>
                      <w:sz w:val="21"/>
                    </w:rPr>
                    <w:t>格式），导入过程中具备数据格式校验、重复数据检测及冲突处理机制，确保数据准确性。</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基础操作：支持用户信息的录入、查询、修改、删除和导入（</w:t>
                  </w:r>
                  <w:r>
                    <w:rPr>
                      <w:rFonts w:ascii="仿宋_GB2312" w:hAnsi="仿宋_GB2312" w:cs="仿宋_GB2312" w:eastAsia="仿宋_GB2312"/>
                      <w:sz w:val="21"/>
                    </w:rPr>
                    <w:t xml:space="preserve">xls </w:t>
                  </w:r>
                  <w:r>
                    <w:rPr>
                      <w:rFonts w:ascii="仿宋_GB2312" w:hAnsi="仿宋_GB2312" w:cs="仿宋_GB2312" w:eastAsia="仿宋_GB2312"/>
                      <w:sz w:val="21"/>
                    </w:rPr>
                    <w:t>格式）操作。</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信息保护：具备完善的用户信息保护机制，包括用户身份验证、用户授权管理及用户信息加密存储管理。</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权限管理</w:t>
                  </w:r>
                  <w:r>
                    <w:rPr>
                      <w:rFonts w:ascii="仿宋_GB2312" w:hAnsi="仿宋_GB2312" w:cs="仿宋_GB2312" w:eastAsia="仿宋_GB2312"/>
                      <w:sz w:val="21"/>
                      <w:b/>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角色权限配置：支持创建角色并进行权限分配管理。</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权限分配方式：支持通过权限拆分、分组等方式实现快速分配。</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素材管理</w:t>
                  </w:r>
                  <w:r>
                    <w:rPr>
                      <w:rFonts w:ascii="仿宋_GB2312" w:hAnsi="仿宋_GB2312" w:cs="仿宋_GB2312" w:eastAsia="仿宋_GB2312"/>
                      <w:sz w:val="21"/>
                      <w:b/>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素材类型支持：支持图片（</w:t>
                  </w:r>
                  <w:r>
                    <w:rPr>
                      <w:rFonts w:ascii="仿宋_GB2312" w:hAnsi="仿宋_GB2312" w:cs="仿宋_GB2312" w:eastAsia="仿宋_GB2312"/>
                      <w:sz w:val="21"/>
                    </w:rPr>
                    <w:t>jpg</w:t>
                  </w:r>
                  <w:r>
                    <w:rPr>
                      <w:rFonts w:ascii="仿宋_GB2312" w:hAnsi="仿宋_GB2312" w:cs="仿宋_GB2312" w:eastAsia="仿宋_GB2312"/>
                      <w:sz w:val="21"/>
                    </w:rPr>
                    <w:t>、</w:t>
                  </w:r>
                  <w:r>
                    <w:rPr>
                      <w:rFonts w:ascii="仿宋_GB2312" w:hAnsi="仿宋_GB2312" w:cs="仿宋_GB2312" w:eastAsia="仿宋_GB2312"/>
                      <w:sz w:val="21"/>
                    </w:rPr>
                    <w:t>png</w:t>
                  </w:r>
                  <w:r>
                    <w:rPr>
                      <w:rFonts w:ascii="仿宋_GB2312" w:hAnsi="仿宋_GB2312" w:cs="仿宋_GB2312" w:eastAsia="仿宋_GB2312"/>
                      <w:sz w:val="21"/>
                    </w:rPr>
                    <w:t>）图片智能压缩（在保证画质前提下压缩比</w:t>
                  </w:r>
                  <w:r>
                    <w:rPr>
                      <w:rFonts w:ascii="仿宋_GB2312" w:hAnsi="仿宋_GB2312" w:cs="仿宋_GB2312" w:eastAsia="仿宋_GB2312"/>
                      <w:sz w:val="21"/>
                    </w:rPr>
                    <w:t>≥30%</w:t>
                  </w:r>
                  <w:r>
                    <w:rPr>
                      <w:rFonts w:ascii="仿宋_GB2312" w:hAnsi="仿宋_GB2312" w:cs="仿宋_GB2312" w:eastAsia="仿宋_GB2312"/>
                      <w:sz w:val="21"/>
                    </w:rPr>
                    <w:t>）、视频（</w:t>
                  </w:r>
                  <w:r>
                    <w:rPr>
                      <w:rFonts w:ascii="仿宋_GB2312" w:hAnsi="仿宋_GB2312" w:cs="仿宋_GB2312" w:eastAsia="仿宋_GB2312"/>
                      <w:sz w:val="21"/>
                    </w:rPr>
                    <w:t>mp4</w:t>
                  </w:r>
                  <w:r>
                    <w:rPr>
                      <w:rFonts w:ascii="仿宋_GB2312" w:hAnsi="仿宋_GB2312" w:cs="仿宋_GB2312" w:eastAsia="仿宋_GB2312"/>
                      <w:sz w:val="21"/>
                    </w:rPr>
                    <w:t>）、音频（</w:t>
                  </w:r>
                  <w:r>
                    <w:rPr>
                      <w:rFonts w:ascii="仿宋_GB2312" w:hAnsi="仿宋_GB2312" w:cs="仿宋_GB2312" w:eastAsia="仿宋_GB2312"/>
                      <w:sz w:val="21"/>
                    </w:rPr>
                    <w:t>mp3</w:t>
                  </w:r>
                  <w:r>
                    <w:rPr>
                      <w:rFonts w:ascii="仿宋_GB2312" w:hAnsi="仿宋_GB2312" w:cs="仿宋_GB2312" w:eastAsia="仿宋_GB2312"/>
                      <w:sz w:val="21"/>
                    </w:rPr>
                    <w:t>）、</w:t>
                  </w:r>
                  <w:r>
                    <w:rPr>
                      <w:rFonts w:ascii="仿宋_GB2312" w:hAnsi="仿宋_GB2312" w:cs="仿宋_GB2312" w:eastAsia="仿宋_GB2312"/>
                      <w:sz w:val="21"/>
                    </w:rPr>
                    <w:t xml:space="preserve">3D </w:t>
                  </w:r>
                  <w:r>
                    <w:rPr>
                      <w:rFonts w:ascii="仿宋_GB2312" w:hAnsi="仿宋_GB2312" w:cs="仿宋_GB2312" w:eastAsia="仿宋_GB2312"/>
                      <w:sz w:val="21"/>
                    </w:rPr>
                    <w:t>模型（</w:t>
                  </w:r>
                  <w:r>
                    <w:rPr>
                      <w:rFonts w:ascii="仿宋_GB2312" w:hAnsi="仿宋_GB2312" w:cs="仿宋_GB2312" w:eastAsia="仿宋_GB2312"/>
                      <w:sz w:val="21"/>
                    </w:rPr>
                    <w:t>fbx</w:t>
                  </w:r>
                  <w:r>
                    <w:rPr>
                      <w:rFonts w:ascii="仿宋_GB2312" w:hAnsi="仿宋_GB2312" w:cs="仿宋_GB2312" w:eastAsia="仿宋_GB2312"/>
                      <w:sz w:val="21"/>
                    </w:rPr>
                    <w:t>、</w:t>
                  </w:r>
                  <w:r>
                    <w:rPr>
                      <w:rFonts w:ascii="仿宋_GB2312" w:hAnsi="仿宋_GB2312" w:cs="仿宋_GB2312" w:eastAsia="仿宋_GB2312"/>
                      <w:sz w:val="21"/>
                    </w:rPr>
                    <w:t>glb</w:t>
                  </w:r>
                  <w:r>
                    <w:rPr>
                      <w:rFonts w:ascii="仿宋_GB2312" w:hAnsi="仿宋_GB2312" w:cs="仿宋_GB2312" w:eastAsia="仿宋_GB2312"/>
                      <w:sz w:val="21"/>
                    </w:rPr>
                    <w:t xml:space="preserve">）等不少于 </w:t>
                  </w:r>
                  <w:r>
                    <w:rPr>
                      <w:rFonts w:ascii="仿宋_GB2312" w:hAnsi="仿宋_GB2312" w:cs="仿宋_GB2312" w:eastAsia="仿宋_GB2312"/>
                      <w:sz w:val="21"/>
                    </w:rPr>
                    <w:t xml:space="preserve">4 </w:t>
                  </w:r>
                  <w:r>
                    <w:rPr>
                      <w:rFonts w:ascii="仿宋_GB2312" w:hAnsi="仿宋_GB2312" w:cs="仿宋_GB2312" w:eastAsia="仿宋_GB2312"/>
                      <w:sz w:val="21"/>
                    </w:rPr>
                    <w:t xml:space="preserve">种素材类型，满足 </w:t>
                  </w:r>
                  <w:r>
                    <w:rPr>
                      <w:rFonts w:ascii="仿宋_GB2312" w:hAnsi="仿宋_GB2312" w:cs="仿宋_GB2312" w:eastAsia="仿宋_GB2312"/>
                      <w:sz w:val="21"/>
                    </w:rPr>
                    <w:t xml:space="preserve">MR </w:t>
                  </w:r>
                  <w:r>
                    <w:rPr>
                      <w:rFonts w:ascii="仿宋_GB2312" w:hAnsi="仿宋_GB2312" w:cs="仿宋_GB2312" w:eastAsia="仿宋_GB2312"/>
                      <w:sz w:val="21"/>
                    </w:rPr>
                    <w:t>实训场景的多样化内容需求。</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分类管理：支持建立不少于</w:t>
                  </w:r>
                  <w:r>
                    <w:rPr>
                      <w:rFonts w:ascii="仿宋_GB2312" w:hAnsi="仿宋_GB2312" w:cs="仿宋_GB2312" w:eastAsia="仿宋_GB2312"/>
                      <w:sz w:val="21"/>
                    </w:rPr>
                    <w:t>3</w:t>
                  </w:r>
                  <w:r>
                    <w:rPr>
                      <w:rFonts w:ascii="仿宋_GB2312" w:hAnsi="仿宋_GB2312" w:cs="仿宋_GB2312" w:eastAsia="仿宋_GB2312"/>
                      <w:sz w:val="21"/>
                    </w:rPr>
                    <w:t>个层级的分组，便于用户分类管理和查询。</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检索功能：支持关键词检索、属性检索（如格式、大小、创建时间）、内容检索等多维度检索方式，检索响应时间</w:t>
                  </w:r>
                  <w:r>
                    <w:rPr>
                      <w:rFonts w:ascii="仿宋_GB2312" w:hAnsi="仿宋_GB2312" w:cs="仿宋_GB2312" w:eastAsia="仿宋_GB2312"/>
                      <w:sz w:val="21"/>
                    </w:rPr>
                    <w:t xml:space="preserve">≤1 </w:t>
                  </w:r>
                  <w:r>
                    <w:rPr>
                      <w:rFonts w:ascii="仿宋_GB2312" w:hAnsi="仿宋_GB2312" w:cs="仿宋_GB2312" w:eastAsia="仿宋_GB2312"/>
                      <w:sz w:val="21"/>
                    </w:rPr>
                    <w:t>秒，准确率</w:t>
                  </w:r>
                  <w:r>
                    <w:rPr>
                      <w:rFonts w:ascii="仿宋_GB2312" w:hAnsi="仿宋_GB2312" w:cs="仿宋_GB2312" w:eastAsia="仿宋_GB2312"/>
                      <w:sz w:val="21"/>
                    </w:rPr>
                    <w:t>≥95%</w:t>
                  </w:r>
                  <w:r>
                    <w:rPr>
                      <w:rFonts w:ascii="仿宋_GB2312" w:hAnsi="仿宋_GB2312" w:cs="仿宋_GB2312" w:eastAsia="仿宋_GB2312"/>
                      <w:sz w:val="21"/>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题库管理</w:t>
                  </w:r>
                  <w:r>
                    <w:rPr>
                      <w:rFonts w:ascii="仿宋_GB2312" w:hAnsi="仿宋_GB2312" w:cs="仿宋_GB2312" w:eastAsia="仿宋_GB2312"/>
                      <w:sz w:val="21"/>
                      <w:b/>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多元化题型体系：支持单选题、多选题、判断题、填空题、语音题（关联</w:t>
                  </w:r>
                  <w:r>
                    <w:rPr>
                      <w:rFonts w:ascii="仿宋_GB2312" w:hAnsi="仿宋_GB2312" w:cs="仿宋_GB2312" w:eastAsia="仿宋_GB2312"/>
                      <w:sz w:val="24"/>
                    </w:rPr>
                    <w:t>MR 实训操作过程评分）等不少于 5种题型，所有</w:t>
                  </w:r>
                  <w:r>
                    <w:rPr>
                      <w:rFonts w:ascii="仿宋_GB2312" w:hAnsi="仿宋_GB2312" w:cs="仿宋_GB2312" w:eastAsia="仿宋_GB2312"/>
                      <w:sz w:val="24"/>
                    </w:rPr>
                    <w:t>题型</w:t>
                  </w:r>
                  <w:r>
                    <w:rPr>
                      <w:rFonts w:ascii="仿宋_GB2312" w:hAnsi="仿宋_GB2312" w:cs="仿宋_GB2312" w:eastAsia="仿宋_GB2312"/>
                      <w:sz w:val="24"/>
                    </w:rPr>
                    <w:t>可与课程节点绑定，实现实训操作与理论考核的深度融合。支持在题目中嵌入图片、视频、</w:t>
                  </w:r>
                  <w:r>
                    <w:rPr>
                      <w:rFonts w:ascii="仿宋_GB2312" w:hAnsi="仿宋_GB2312" w:cs="仿宋_GB2312" w:eastAsia="仿宋_GB2312"/>
                      <w:sz w:val="24"/>
                    </w:rPr>
                    <w:t>3D 模型等多媒体素材。</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支持题型</w:t>
                  </w:r>
                  <w:r>
                    <w:rPr>
                      <w:rFonts w:ascii="仿宋_GB2312" w:hAnsi="仿宋_GB2312" w:cs="仿宋_GB2312" w:eastAsia="仿宋_GB2312"/>
                      <w:sz w:val="24"/>
                    </w:rPr>
                    <w:t>：单选题、多选题、判断题、填空题、</w:t>
                  </w:r>
                  <w:r>
                    <w:rPr>
                      <w:rFonts w:ascii="仿宋_GB2312" w:hAnsi="仿宋_GB2312" w:cs="仿宋_GB2312" w:eastAsia="仿宋_GB2312"/>
                      <w:sz w:val="24"/>
                      <w:b/>
                    </w:rPr>
                    <w:t>语音题</w:t>
                  </w:r>
                  <w:r>
                    <w:rPr>
                      <w:rFonts w:ascii="仿宋_GB2312" w:hAnsi="仿宋_GB2312" w:cs="仿宋_GB2312" w:eastAsia="仿宋_GB2312"/>
                      <w:sz w:val="24"/>
                    </w:rPr>
                    <w:t>、</w:t>
                  </w:r>
                  <w:r>
                    <w:rPr>
                      <w:rFonts w:ascii="仿宋_GB2312" w:hAnsi="仿宋_GB2312" w:cs="仿宋_GB2312" w:eastAsia="仿宋_GB2312"/>
                      <w:sz w:val="24"/>
                      <w:b/>
                    </w:rPr>
                    <w:t>实操步骤排序题</w:t>
                  </w:r>
                  <w:r>
                    <w:rPr>
                      <w:rFonts w:ascii="仿宋_GB2312" w:hAnsi="仿宋_GB2312" w:cs="仿宋_GB2312" w:eastAsia="仿宋_GB2312"/>
                      <w:sz w:val="24"/>
                    </w:rPr>
                    <w:t>、</w:t>
                  </w:r>
                  <w:r>
                    <w:rPr>
                      <w:rFonts w:ascii="仿宋_GB2312" w:hAnsi="仿宋_GB2312" w:cs="仿宋_GB2312" w:eastAsia="仿宋_GB2312"/>
                      <w:sz w:val="24"/>
                      <w:b/>
                    </w:rPr>
                    <w:t>影像</w:t>
                  </w:r>
                  <w:r>
                    <w:rPr>
                      <w:rFonts w:ascii="仿宋_GB2312" w:hAnsi="仿宋_GB2312" w:cs="仿宋_GB2312" w:eastAsia="仿宋_GB2312"/>
                      <w:sz w:val="24"/>
                      <w:b/>
                    </w:rPr>
                    <w:t>/模型判读题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多媒体融合</w:t>
                  </w:r>
                  <w:r>
                    <w:rPr>
                      <w:rFonts w:ascii="仿宋_GB2312" w:hAnsi="仿宋_GB2312" w:cs="仿宋_GB2312" w:eastAsia="仿宋_GB2312"/>
                      <w:sz w:val="24"/>
                    </w:rPr>
                    <w:t>：支持在题干、选项或答案解析中无缝嵌入高清图片（</w:t>
                  </w:r>
                  <w:r>
                    <w:rPr>
                      <w:rFonts w:ascii="仿宋_GB2312" w:hAnsi="仿宋_GB2312" w:cs="仿宋_GB2312" w:eastAsia="仿宋_GB2312"/>
                      <w:sz w:val="24"/>
                    </w:rPr>
                    <w:t>jpg/png）、3D模型（fbx/glb）。例如，展示一张X光片让学员判断气胸类型，或旋转一个3D心脏模型选择冠状动脉位置。</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特殊题型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语音交互题</w:t>
                  </w:r>
                  <w:r>
                    <w:rPr>
                      <w:rFonts w:ascii="仿宋_GB2312" w:hAnsi="仿宋_GB2312" w:cs="仿宋_GB2312" w:eastAsia="仿宋_GB2312"/>
                      <w:sz w:val="24"/>
                    </w:rPr>
                    <w:t>：学员需用语音回答如</w:t>
                  </w:r>
                  <w:r>
                    <w:rPr>
                      <w:rFonts w:ascii="仿宋_GB2312" w:hAnsi="仿宋_GB2312" w:cs="仿宋_GB2312" w:eastAsia="仿宋_GB2312"/>
                      <w:sz w:val="24"/>
                    </w:rPr>
                    <w:t>“请简述胸外按压的五个关键要点”，系统后台进行语音识别及AI的语义分析评分。</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随机抽序</w:t>
                  </w:r>
                  <w:r>
                    <w:rPr>
                      <w:rFonts w:ascii="仿宋_GB2312" w:hAnsi="仿宋_GB2312" w:cs="仿宋_GB2312" w:eastAsia="仿宋_GB2312"/>
                      <w:sz w:val="24"/>
                    </w:rPr>
                    <w:t>：同一知识点的题目，选项顺序随机打乱。</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题库操作：支持题库新增、修改、删除、导入（</w:t>
                  </w:r>
                  <w:r>
                    <w:rPr>
                      <w:rFonts w:ascii="仿宋_GB2312" w:hAnsi="仿宋_GB2312" w:cs="仿宋_GB2312" w:eastAsia="仿宋_GB2312"/>
                      <w:sz w:val="21"/>
                    </w:rPr>
                    <w:t xml:space="preserve">xls </w:t>
                  </w:r>
                  <w:r>
                    <w:rPr>
                      <w:rFonts w:ascii="仿宋_GB2312" w:hAnsi="仿宋_GB2312" w:cs="仿宋_GB2312" w:eastAsia="仿宋_GB2312"/>
                      <w:sz w:val="21"/>
                    </w:rPr>
                    <w:t>格式）及查询功能。</w:t>
                  </w:r>
                </w:p>
                <w:p>
                  <w:pPr>
                    <w:pStyle w:val="null3"/>
                    <w:jc w:val="both"/>
                  </w:pPr>
                  <w:r>
                    <w:rPr>
                      <w:rFonts w:ascii="仿宋_GB2312" w:hAnsi="仿宋_GB2312" w:cs="仿宋_GB2312" w:eastAsia="仿宋_GB2312"/>
                      <w:sz w:val="21"/>
                      <w:b/>
                    </w:rPr>
                    <w:t>与</w:t>
                  </w:r>
                  <w:r>
                    <w:rPr>
                      <w:rFonts w:ascii="仿宋_GB2312" w:hAnsi="仿宋_GB2312" w:cs="仿宋_GB2312" w:eastAsia="仿宋_GB2312"/>
                      <w:sz w:val="21"/>
                      <w:b/>
                    </w:rPr>
                    <w:t>MR/VR</w:t>
                  </w:r>
                  <w:r>
                    <w:rPr>
                      <w:rFonts w:ascii="仿宋_GB2312" w:hAnsi="仿宋_GB2312" w:cs="仿宋_GB2312" w:eastAsia="仿宋_GB2312"/>
                      <w:sz w:val="21"/>
                      <w:b/>
                    </w:rPr>
                    <w:t>课程步骤的双向锚定机制</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步骤级绑定</w:t>
                  </w:r>
                  <w:r>
                    <w:rPr>
                      <w:rFonts w:ascii="仿宋_GB2312" w:hAnsi="仿宋_GB2312" w:cs="仿宋_GB2312" w:eastAsia="仿宋_GB2312"/>
                      <w:sz w:val="21"/>
                    </w:rPr>
                    <w:t>：支持将任意一道或多道题目，精确绑定到</w:t>
                  </w:r>
                  <w:r>
                    <w:rPr>
                      <w:rFonts w:ascii="仿宋_GB2312" w:hAnsi="仿宋_GB2312" w:cs="仿宋_GB2312" w:eastAsia="仿宋_GB2312"/>
                      <w:sz w:val="21"/>
                    </w:rPr>
                    <w:t>MR/VR</w:t>
                  </w:r>
                  <w:r>
                    <w:rPr>
                      <w:rFonts w:ascii="仿宋_GB2312" w:hAnsi="仿宋_GB2312" w:cs="仿宋_GB2312" w:eastAsia="仿宋_GB2312"/>
                      <w:sz w:val="21"/>
                    </w:rPr>
                    <w:t>课程中的</w:t>
                  </w:r>
                  <w:r>
                    <w:rPr>
                      <w:rFonts w:ascii="仿宋_GB2312" w:hAnsi="仿宋_GB2312" w:cs="仿宋_GB2312" w:eastAsia="仿宋_GB2312"/>
                      <w:sz w:val="21"/>
                      <w:b/>
                    </w:rPr>
                    <w:t>任意一个具体步骤</w:t>
                  </w:r>
                  <w:r>
                    <w:rPr>
                      <w:rFonts w:ascii="仿宋_GB2312" w:hAnsi="仿宋_GB2312" w:cs="仿宋_GB2312" w:eastAsia="仿宋_GB2312"/>
                      <w:sz w:val="21"/>
                    </w:rPr>
                    <w:t>节点上（例如：在</w:t>
                  </w:r>
                  <w:r>
                    <w:rPr>
                      <w:rFonts w:ascii="仿宋_GB2312" w:hAnsi="仿宋_GB2312" w:cs="仿宋_GB2312" w:eastAsia="仿宋_GB2312"/>
                      <w:sz w:val="21"/>
                    </w:rPr>
                    <w:t>“</w:t>
                  </w:r>
                  <w:r>
                    <w:rPr>
                      <w:rFonts w:ascii="仿宋_GB2312" w:hAnsi="仿宋_GB2312" w:cs="仿宋_GB2312" w:eastAsia="仿宋_GB2312"/>
                      <w:sz w:val="21"/>
                    </w:rPr>
                    <w:t>心肺复苏</w:t>
                  </w:r>
                  <w:r>
                    <w:rPr>
                      <w:rFonts w:ascii="仿宋_GB2312" w:hAnsi="仿宋_GB2312" w:cs="仿宋_GB2312" w:eastAsia="仿宋_GB2312"/>
                      <w:sz w:val="21"/>
                    </w:rPr>
                    <w:t>CPR”</w:t>
                  </w:r>
                  <w:r>
                    <w:rPr>
                      <w:rFonts w:ascii="仿宋_GB2312" w:hAnsi="仿宋_GB2312" w:cs="仿宋_GB2312" w:eastAsia="仿宋_GB2312"/>
                      <w:sz w:val="21"/>
                    </w:rPr>
                    <w:t>课程中，</w:t>
                  </w:r>
                  <w:r>
                    <w:rPr>
                      <w:rFonts w:ascii="仿宋_GB2312" w:hAnsi="仿宋_GB2312" w:cs="仿宋_GB2312" w:eastAsia="仿宋_GB2312"/>
                      <w:sz w:val="21"/>
                    </w:rPr>
                    <w:t>“</w:t>
                  </w:r>
                  <w:r>
                    <w:rPr>
                      <w:rFonts w:ascii="仿宋_GB2312" w:hAnsi="仿宋_GB2312" w:cs="仿宋_GB2312" w:eastAsia="仿宋_GB2312"/>
                      <w:sz w:val="21"/>
                    </w:rPr>
                    <w:t>完成第一组</w:t>
                  </w:r>
                  <w:r>
                    <w:rPr>
                      <w:rFonts w:ascii="仿宋_GB2312" w:hAnsi="仿宋_GB2312" w:cs="仿宋_GB2312" w:eastAsia="仿宋_GB2312"/>
                      <w:sz w:val="21"/>
                    </w:rPr>
                    <w:t>30</w:t>
                  </w:r>
                  <w:r>
                    <w:rPr>
                      <w:rFonts w:ascii="仿宋_GB2312" w:hAnsi="仿宋_GB2312" w:cs="仿宋_GB2312" w:eastAsia="仿宋_GB2312"/>
                      <w:sz w:val="21"/>
                    </w:rPr>
                    <w:t>次胸外按压</w:t>
                  </w:r>
                  <w:r>
                    <w:rPr>
                      <w:rFonts w:ascii="仿宋_GB2312" w:hAnsi="仿宋_GB2312" w:cs="仿宋_GB2312" w:eastAsia="仿宋_GB2312"/>
                      <w:sz w:val="21"/>
                    </w:rPr>
                    <w:t>”</w:t>
                  </w:r>
                  <w:r>
                    <w:rPr>
                      <w:rFonts w:ascii="仿宋_GB2312" w:hAnsi="仿宋_GB2312" w:cs="仿宋_GB2312" w:eastAsia="仿宋_GB2312"/>
                      <w:sz w:val="21"/>
                    </w:rPr>
                    <w:t>的步骤后，自动弹出绑定的</w:t>
                  </w:r>
                  <w:r>
                    <w:rPr>
                      <w:rFonts w:ascii="仿宋_GB2312" w:hAnsi="仿宋_GB2312" w:cs="仿宋_GB2312" w:eastAsia="仿宋_GB2312"/>
                      <w:sz w:val="21"/>
                    </w:rPr>
                    <w:t>“</w:t>
                  </w:r>
                  <w:r>
                    <w:rPr>
                      <w:rFonts w:ascii="仿宋_GB2312" w:hAnsi="仿宋_GB2312" w:cs="仿宋_GB2312" w:eastAsia="仿宋_GB2312"/>
                      <w:sz w:val="21"/>
                    </w:rPr>
                    <w:t>按压深度与频率的理论依据</w:t>
                  </w:r>
                  <w:r>
                    <w:rPr>
                      <w:rFonts w:ascii="仿宋_GB2312" w:hAnsi="仿宋_GB2312" w:cs="仿宋_GB2312" w:eastAsia="仿宋_GB2312"/>
                      <w:sz w:val="21"/>
                    </w:rPr>
                    <w:t>”</w:t>
                  </w:r>
                  <w:r>
                    <w:rPr>
                      <w:rFonts w:ascii="仿宋_GB2312" w:hAnsi="仿宋_GB2312" w:cs="仿宋_GB2312" w:eastAsia="仿宋_GB2312"/>
                      <w:sz w:val="21"/>
                    </w:rPr>
                    <w:t>题目）。</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条件触发</w:t>
                  </w:r>
                  <w:r>
                    <w:rPr>
                      <w:rFonts w:ascii="仿宋_GB2312" w:hAnsi="仿宋_GB2312" w:cs="仿宋_GB2312" w:eastAsia="仿宋_GB2312"/>
                      <w:sz w:val="21"/>
                    </w:rPr>
                    <w:t>：支持设置题目触发条件，如</w:t>
                  </w:r>
                  <w:r>
                    <w:rPr>
                      <w:rFonts w:ascii="仿宋_GB2312" w:hAnsi="仿宋_GB2312" w:cs="仿宋_GB2312" w:eastAsia="仿宋_GB2312"/>
                      <w:sz w:val="21"/>
                    </w:rPr>
                    <w:t>“</w:t>
                  </w:r>
                  <w:r>
                    <w:rPr>
                      <w:rFonts w:ascii="仿宋_GB2312" w:hAnsi="仿宋_GB2312" w:cs="仿宋_GB2312" w:eastAsia="仿宋_GB2312"/>
                      <w:sz w:val="21"/>
                    </w:rPr>
                    <w:t>首次操作失误时弹出</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该步骤耗时超过标准时长</w:t>
                  </w:r>
                  <w:r>
                    <w:rPr>
                      <w:rFonts w:ascii="仿宋_GB2312" w:hAnsi="仿宋_GB2312" w:cs="仿宋_GB2312" w:eastAsia="仿宋_GB2312"/>
                      <w:sz w:val="21"/>
                    </w:rPr>
                    <w:t>50%</w:t>
                  </w:r>
                  <w:r>
                    <w:rPr>
                      <w:rFonts w:ascii="仿宋_GB2312" w:hAnsi="仿宋_GB2312" w:cs="仿宋_GB2312" w:eastAsia="仿宋_GB2312"/>
                      <w:sz w:val="21"/>
                    </w:rPr>
                    <w:t>时弹出</w:t>
                  </w:r>
                  <w:r>
                    <w:rPr>
                      <w:rFonts w:ascii="仿宋_GB2312" w:hAnsi="仿宋_GB2312" w:cs="仿宋_GB2312" w:eastAsia="仿宋_GB2312"/>
                      <w:sz w:val="21"/>
                    </w:rPr>
                    <w:t>”</w:t>
                  </w:r>
                  <w:r>
                    <w:rPr>
                      <w:rFonts w:ascii="仿宋_GB2312" w:hAnsi="仿宋_GB2312" w:cs="仿宋_GB2312" w:eastAsia="仿宋_GB2312"/>
                      <w:sz w:val="21"/>
                    </w:rPr>
                    <w:t>，实现</w:t>
                  </w:r>
                  <w:r>
                    <w:rPr>
                      <w:rFonts w:ascii="仿宋_GB2312" w:hAnsi="仿宋_GB2312" w:cs="仿宋_GB2312" w:eastAsia="仿宋_GB2312"/>
                      <w:sz w:val="21"/>
                      <w:b/>
                    </w:rPr>
                    <w:t>精准的、个性化的即时干预与教学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成绩关联</w:t>
                  </w:r>
                  <w:r>
                    <w:rPr>
                      <w:rFonts w:ascii="仿宋_GB2312" w:hAnsi="仿宋_GB2312" w:cs="仿宋_GB2312" w:eastAsia="仿宋_GB2312"/>
                      <w:sz w:val="21"/>
                    </w:rPr>
                    <w:t>：学员在课程中绑定的理论题目得分，必须按可配置的</w:t>
                  </w:r>
                  <w:r>
                    <w:rPr>
                      <w:rFonts w:ascii="仿宋_GB2312" w:hAnsi="仿宋_GB2312" w:cs="仿宋_GB2312" w:eastAsia="仿宋_GB2312"/>
                      <w:sz w:val="21"/>
                    </w:rPr>
                    <w:t>权重，</w:t>
                  </w:r>
                  <w:r>
                    <w:rPr>
                      <w:rFonts w:ascii="仿宋_GB2312" w:hAnsi="仿宋_GB2312" w:cs="仿宋_GB2312" w:eastAsia="仿宋_GB2312"/>
                      <w:sz w:val="21"/>
                      <w:b/>
                    </w:rPr>
                    <w:t>实时计入该次实训的总成绩单</w:t>
                  </w:r>
                  <w:r>
                    <w:rPr>
                      <w:rFonts w:ascii="仿宋_GB2312" w:hAnsi="仿宋_GB2312" w:cs="仿宋_GB2312" w:eastAsia="仿宋_GB2312"/>
                      <w:sz w:val="21"/>
                    </w:rPr>
                    <w:t>，</w:t>
                  </w:r>
                  <w:r>
                    <w:rPr>
                      <w:rFonts w:ascii="仿宋_GB2312" w:hAnsi="仿宋_GB2312" w:cs="仿宋_GB2312" w:eastAsia="仿宋_GB2312"/>
                      <w:sz w:val="21"/>
                    </w:rPr>
                    <w:t>生成得分</w:t>
                  </w:r>
                  <w:r>
                    <w:rPr>
                      <w:rFonts w:ascii="仿宋_GB2312" w:hAnsi="仿宋_GB2312" w:cs="仿宋_GB2312" w:eastAsia="仿宋_GB2312"/>
                      <w:sz w:val="21"/>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检索功能：支持题库检索和查询，可快速定位所需题目。</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数据分析</w:t>
                  </w:r>
                  <w:r>
                    <w:rPr>
                      <w:rFonts w:ascii="仿宋_GB2312" w:hAnsi="仿宋_GB2312" w:cs="仿宋_GB2312" w:eastAsia="仿宋_GB2312"/>
                      <w:sz w:val="21"/>
                      <w:b/>
                    </w:rPr>
                    <w:t>:</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训练数据全量记录：需支持对用户每一次实训练习的关键数据进行完整记录，具体包括但不限于：练习开始时间、练习结束时间、累计练习次数、单次练习成绩及成绩构成明细等。</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个人数据仪表盘：需提供可视化仪表盘功能，支持用户快速查阅个人训练数据统计信息，包括但不限于历史成绩趋势、练习频率分布、技能掌握进度等核心指标，数据展示需直观、清晰。</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数据的安全性保障：定期备份数据，备份关键数据，备份数据进行加密管理</w:t>
                  </w:r>
                </w:p>
              </w:tc>
            </w:tr>
            <w:tr>
              <w:tc>
                <w:tcPr>
                  <w:tcW w:type="dxa" w:w="297"/>
                  <w:vMerge/>
                  <w:tcBorders>
                    <w:top w:val="none" w:color="000000" w:sz="4"/>
                    <w:left w:val="single" w:color="000000" w:sz="4"/>
                    <w:bottom w:val="single" w:color="000000" w:sz="4"/>
                    <w:right w:val="single" w:color="000000" w:sz="4"/>
                  </w:tcBorders>
                </w:tcPr>
                <w:p/>
              </w:tc>
              <w:tc>
                <w:tcPr>
                  <w:tcW w:type="dxa" w:w="266"/>
                  <w:vMerge/>
                  <w:tcBorders>
                    <w:top w:val="none" w:color="000000" w:sz="4"/>
                    <w:left w:val="single" w:color="000000" w:sz="4"/>
                    <w:bottom w:val="single" w:color="000000" w:sz="4"/>
                    <w:right w:val="single" w:color="000000" w:sz="4"/>
                  </w:tcBorders>
                </w:tcPr>
                <w:p/>
              </w:tc>
              <w:tc>
                <w:tcPr>
                  <w:tcW w:type="dxa" w:w="1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数据传输的安全性：</w:t>
                  </w:r>
                  <w:r>
                    <w:rPr>
                      <w:rFonts w:ascii="仿宋_GB2312" w:hAnsi="仿宋_GB2312" w:cs="仿宋_GB2312" w:eastAsia="仿宋_GB2312"/>
                      <w:sz w:val="21"/>
                    </w:rPr>
                    <w:t>API</w:t>
                  </w:r>
                  <w:r>
                    <w:rPr>
                      <w:rFonts w:ascii="仿宋_GB2312" w:hAnsi="仿宋_GB2312" w:cs="仿宋_GB2312" w:eastAsia="仿宋_GB2312"/>
                      <w:sz w:val="21"/>
                    </w:rPr>
                    <w:t>接口进行加密管理，防止非法调用</w:t>
                  </w:r>
                </w:p>
              </w:tc>
            </w:tr>
          </w:tbl>
          <w:p>
            <w:pPr>
              <w:pStyle w:val="null3"/>
              <w:jc w:val="both"/>
            </w:pPr>
            <w:r>
              <w:rPr>
                <w:rFonts w:ascii="仿宋_GB2312" w:hAnsi="仿宋_GB2312" w:cs="仿宋_GB2312" w:eastAsia="仿宋_GB2312"/>
                <w:sz w:val="28"/>
                <w:b/>
                <w:shd w:fill="FFFFFF" w:val="clear"/>
              </w:rPr>
              <w:t>硬件配置清单</w:t>
            </w:r>
          </w:p>
          <w:tbl>
            <w:tblPr>
              <w:tblBorders>
                <w:top w:val="none" w:color="000000" w:sz="4"/>
                <w:left w:val="none" w:color="000000" w:sz="4"/>
                <w:bottom w:val="none" w:color="000000" w:sz="4"/>
                <w:right w:val="none" w:color="000000" w:sz="4"/>
                <w:insideH w:val="none"/>
                <w:insideV w:val="none"/>
              </w:tblBorders>
            </w:tblPr>
            <w:tblGrid>
              <w:gridCol w:w="1072"/>
              <w:gridCol w:w="686"/>
              <w:gridCol w:w="795"/>
            </w:tblGrid>
            <w:tr>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是否国产</w:t>
                  </w:r>
                </w:p>
              </w:tc>
            </w:tr>
            <w:tr>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服务器</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智慧教学一体机</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2台  </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r>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XR眼镜</w:t>
                  </w:r>
                </w:p>
              </w:tc>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8台</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是</w:t>
                  </w:r>
                </w:p>
              </w:tc>
            </w:tr>
          </w:tbl>
          <w:p>
            <w:pPr>
              <w:pStyle w:val="null3"/>
              <w:jc w:val="both"/>
            </w:pPr>
            <w:r>
              <w:rPr>
                <w:rFonts w:ascii="仿宋_GB2312" w:hAnsi="仿宋_GB2312" w:cs="仿宋_GB2312" w:eastAsia="仿宋_GB2312"/>
                <w:sz w:val="21"/>
              </w:rPr>
              <w:t>1.服务器1台（国产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本地服务器配置不低于以下配置</w:t>
            </w:r>
          </w:p>
          <w:tbl>
            <w:tblPr>
              <w:tblBorders>
                <w:top w:val="none" w:color="000000" w:sz="4"/>
                <w:left w:val="none" w:color="000000" w:sz="4"/>
                <w:bottom w:val="none" w:color="000000" w:sz="4"/>
                <w:right w:val="none" w:color="000000" w:sz="4"/>
                <w:insideH w:val="none"/>
                <w:insideV w:val="none"/>
              </w:tblBorders>
            </w:tblPr>
            <w:tblGrid>
              <w:gridCol w:w="510"/>
              <w:gridCol w:w="2043"/>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w:t>
                  </w:r>
                </w:p>
              </w:tc>
              <w:tc>
                <w:tcPr>
                  <w:tcW w:type="dxa" w:w="2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中央处理器</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CPU核心数≥10核，基础主频≥2.5GHz，三级缓存≥2</w:t>
                  </w:r>
                  <w:r>
                    <w:rPr>
                      <w:rFonts w:ascii="仿宋_GB2312" w:hAnsi="仿宋_GB2312" w:cs="仿宋_GB2312" w:eastAsia="仿宋_GB2312"/>
                      <w:sz w:val="21"/>
                    </w:rPr>
                    <w:t>0</w:t>
                  </w:r>
                  <w:r>
                    <w:rPr>
                      <w:rFonts w:ascii="仿宋_GB2312" w:hAnsi="仿宋_GB2312" w:cs="仿宋_GB2312" w:eastAsia="仿宋_GB2312"/>
                      <w:sz w:val="21"/>
                    </w:rPr>
                    <w:t>MB</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≥16G  DDR4</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w:t>
                  </w: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≥1T</w:t>
                  </w:r>
                </w:p>
              </w:tc>
            </w:tr>
          </w:tbl>
          <w:p>
            <w:pPr>
              <w:pStyle w:val="null3"/>
              <w:jc w:val="both"/>
            </w:pPr>
            <w:r>
              <w:rPr>
                <w:rFonts w:ascii="仿宋_GB2312" w:hAnsi="仿宋_GB2312" w:cs="仿宋_GB2312" w:eastAsia="仿宋_GB2312"/>
                <w:sz w:val="21"/>
              </w:rPr>
              <w:t>2.智慧教学一体机2台（国产）</w:t>
            </w:r>
          </w:p>
          <w:tbl>
            <w:tblPr>
              <w:tblBorders>
                <w:top w:val="none" w:color="000000" w:sz="4"/>
                <w:left w:val="none" w:color="000000" w:sz="4"/>
                <w:bottom w:val="none" w:color="000000" w:sz="4"/>
                <w:right w:val="none" w:color="000000" w:sz="4"/>
                <w:insideH w:val="none"/>
                <w:insideV w:val="none"/>
              </w:tblBorders>
            </w:tblPr>
            <w:tblGrid>
              <w:gridCol w:w="510"/>
              <w:gridCol w:w="2043"/>
            </w:tblGrid>
            <w:tr>
              <w:tc>
                <w:tcPr>
                  <w:tcW w:type="dxa" w:w="5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智慧教学一体机</w:t>
                  </w:r>
                </w:p>
              </w:tc>
              <w:tc>
                <w:tcPr>
                  <w:tcW w:type="dxa" w:w="2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75英寸，传屏器+智能笔+落地支架</w:t>
                  </w:r>
                </w:p>
              </w:tc>
            </w:tr>
            <w:tr>
              <w:tc>
                <w:tcPr>
                  <w:tcW w:type="dxa" w:w="510"/>
                  <w:vMerge/>
                  <w:tcBorders>
                    <w:top w:val="single" w:color="000000" w:sz="4"/>
                    <w:left w:val="single" w:color="000000" w:sz="4"/>
                    <w:bottom w:val="single" w:color="000000" w:sz="4"/>
                    <w:right w:val="single" w:color="000000" w:sz="4"/>
                  </w:tcBorders>
                </w:tcP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w:t>
                  </w:r>
                  <w:r>
                    <w:rPr>
                      <w:rFonts w:ascii="仿宋_GB2312" w:hAnsi="仿宋_GB2312" w:cs="仿宋_GB2312" w:eastAsia="仿宋_GB2312"/>
                      <w:sz w:val="21"/>
                    </w:rPr>
                    <w:t>不低于</w:t>
                  </w:r>
                  <w:r>
                    <w:rPr>
                      <w:rFonts w:ascii="仿宋_GB2312" w:hAnsi="仿宋_GB2312" w:cs="仿宋_GB2312" w:eastAsia="仿宋_GB2312"/>
                      <w:sz w:val="21"/>
                    </w:rPr>
                    <w:t>11代I7处理器；</w:t>
                  </w:r>
                </w:p>
              </w:tc>
            </w:tr>
            <w:tr>
              <w:tc>
                <w:tcPr>
                  <w:tcW w:type="dxa" w:w="510"/>
                  <w:vMerge/>
                  <w:tcBorders>
                    <w:top w:val="single" w:color="000000" w:sz="4"/>
                    <w:left w:val="single" w:color="000000" w:sz="4"/>
                    <w:bottom w:val="single" w:color="000000" w:sz="4"/>
                    <w:right w:val="single" w:color="000000" w:sz="4"/>
                  </w:tcBorders>
                </w:tcP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8G运行+256G储存</w:t>
                  </w:r>
                </w:p>
              </w:tc>
            </w:tr>
            <w:tr>
              <w:tc>
                <w:tcPr>
                  <w:tcW w:type="dxa" w:w="510"/>
                  <w:vMerge/>
                  <w:tcBorders>
                    <w:top w:val="single" w:color="000000" w:sz="4"/>
                    <w:left w:val="single" w:color="000000" w:sz="4"/>
                    <w:bottom w:val="single" w:color="000000" w:sz="4"/>
                    <w:right w:val="single" w:color="000000" w:sz="4"/>
                  </w:tcBorders>
                </w:tcP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摄像头：</w:t>
                  </w:r>
                  <w:r>
                    <w:rPr>
                      <w:rFonts w:ascii="仿宋_GB2312" w:hAnsi="仿宋_GB2312" w:cs="仿宋_GB2312" w:eastAsia="仿宋_GB2312"/>
                      <w:sz w:val="21"/>
                    </w:rPr>
                    <w:t>≥</w:t>
                  </w:r>
                  <w:r>
                    <w:rPr>
                      <w:rFonts w:ascii="仿宋_GB2312" w:hAnsi="仿宋_GB2312" w:cs="仿宋_GB2312" w:eastAsia="仿宋_GB2312"/>
                      <w:sz w:val="21"/>
                    </w:rPr>
                    <w:t>4800万像素（AI智能取景/支持视频会议）；</w:t>
                  </w:r>
                </w:p>
              </w:tc>
            </w:tr>
            <w:tr>
              <w:tc>
                <w:tcPr>
                  <w:tcW w:type="dxa" w:w="510"/>
                  <w:vMerge/>
                  <w:tcBorders>
                    <w:top w:val="single" w:color="000000" w:sz="4"/>
                    <w:left w:val="single" w:color="000000" w:sz="4"/>
                    <w:bottom w:val="single" w:color="000000" w:sz="4"/>
                    <w:right w:val="single" w:color="000000" w:sz="4"/>
                  </w:tcBorders>
                </w:tcP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麦克风：拾音距离</w:t>
                  </w:r>
                  <w:r>
                    <w:rPr>
                      <w:rFonts w:ascii="仿宋_GB2312" w:hAnsi="仿宋_GB2312" w:cs="仿宋_GB2312" w:eastAsia="仿宋_GB2312"/>
                      <w:sz w:val="21"/>
                    </w:rPr>
                    <w:t>≥</w:t>
                  </w:r>
                  <w:r>
                    <w:rPr>
                      <w:rFonts w:ascii="仿宋_GB2312" w:hAnsi="仿宋_GB2312" w:cs="仿宋_GB2312" w:eastAsia="仿宋_GB2312"/>
                      <w:sz w:val="21"/>
                    </w:rPr>
                    <w:t>12m（AI降噪）</w:t>
                  </w:r>
                </w:p>
              </w:tc>
            </w:tr>
            <w:tr>
              <w:tc>
                <w:tcPr>
                  <w:tcW w:type="dxa" w:w="510"/>
                  <w:vMerge/>
                  <w:tcBorders>
                    <w:top w:val="single" w:color="000000" w:sz="4"/>
                    <w:left w:val="single" w:color="000000" w:sz="4"/>
                    <w:bottom w:val="single" w:color="000000" w:sz="4"/>
                    <w:right w:val="single" w:color="000000" w:sz="4"/>
                  </w:tcBorders>
                </w:tcP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扬声器：</w:t>
                  </w:r>
                  <w:r>
                    <w:rPr>
                      <w:rFonts w:ascii="仿宋_GB2312" w:hAnsi="仿宋_GB2312" w:cs="仿宋_GB2312" w:eastAsia="仿宋_GB2312"/>
                      <w:sz w:val="21"/>
                    </w:rPr>
                    <w:t>≥40W</w:t>
                  </w:r>
                </w:p>
              </w:tc>
            </w:tr>
            <w:tr>
              <w:tc>
                <w:tcPr>
                  <w:tcW w:type="dxa" w:w="510"/>
                  <w:vMerge/>
                  <w:tcBorders>
                    <w:top w:val="single" w:color="000000" w:sz="4"/>
                    <w:left w:val="single" w:color="000000" w:sz="4"/>
                    <w:bottom w:val="single" w:color="000000" w:sz="4"/>
                    <w:right w:val="single" w:color="000000" w:sz="4"/>
                  </w:tcBorders>
                </w:tcPr>
                <w:p/>
              </w:tc>
              <w:tc>
                <w:tcPr>
                  <w:tcW w:type="dxa" w:w="2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4K</w:t>
                  </w:r>
                </w:p>
              </w:tc>
            </w:tr>
          </w:tbl>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XR眼镜8台</w:t>
            </w:r>
            <w:r>
              <w:rPr>
                <w:rFonts w:ascii="仿宋_GB2312" w:hAnsi="仿宋_GB2312" w:cs="仿宋_GB2312" w:eastAsia="仿宋_GB2312"/>
                <w:sz w:val="21"/>
              </w:rPr>
              <w:t>（</w:t>
            </w:r>
            <w:r>
              <w:rPr>
                <w:rFonts w:ascii="仿宋_GB2312" w:hAnsi="仿宋_GB2312" w:cs="仿宋_GB2312" w:eastAsia="仿宋_GB2312"/>
                <w:sz w:val="21"/>
              </w:rPr>
              <w:t>国产）</w:t>
            </w:r>
          </w:p>
          <w:tbl>
            <w:tblPr>
              <w:tblBorders>
                <w:top w:val="none" w:color="000000" w:sz="4"/>
                <w:left w:val="none" w:color="000000" w:sz="4"/>
                <w:bottom w:val="none" w:color="000000" w:sz="4"/>
                <w:right w:val="none" w:color="000000" w:sz="4"/>
                <w:insideH w:val="none"/>
                <w:insideV w:val="none"/>
              </w:tblBorders>
            </w:tblPr>
            <w:tblGrid>
              <w:gridCol w:w="267"/>
              <w:gridCol w:w="815"/>
              <w:gridCol w:w="1471"/>
            </w:tblGrid>
            <w:tr>
              <w:tc>
                <w:tcPr>
                  <w:tcW w:type="dxa" w:w="267"/>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XR</w:t>
                  </w:r>
                </w:p>
                <w:p>
                  <w:pPr>
                    <w:pStyle w:val="null3"/>
                    <w:jc w:val="left"/>
                  </w:pPr>
                  <w:r>
                    <w:rPr>
                      <w:rFonts w:ascii="仿宋_GB2312" w:hAnsi="仿宋_GB2312" w:cs="仿宋_GB2312" w:eastAsia="仿宋_GB2312"/>
                      <w:sz w:val="21"/>
                    </w:rPr>
                    <w:t>眼镜</w:t>
                  </w:r>
                </w:p>
              </w:tc>
              <w:tc>
                <w:tcPr>
                  <w:tcW w:type="dxa" w:w="81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处理器及存储</w:t>
                  </w:r>
                </w:p>
              </w:tc>
              <w:tc>
                <w:tcPr>
                  <w:tcW w:type="dxa" w:w="1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CPU≥6核，基频≥1.9GHz，</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singl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GPU </w:t>
                  </w:r>
                  <w:r>
                    <w:rPr>
                      <w:rFonts w:ascii="仿宋_GB2312" w:hAnsi="仿宋_GB2312" w:cs="仿宋_GB2312" w:eastAsia="仿宋_GB2312"/>
                      <w:sz w:val="21"/>
                    </w:rPr>
                    <w:t>INT8 算力≥15TOPS</w:t>
                  </w:r>
                  <w:r>
                    <w:rPr>
                      <w:rFonts w:ascii="仿宋_GB2312" w:hAnsi="仿宋_GB2312" w:cs="仿宋_GB2312" w:eastAsia="仿宋_GB2312"/>
                      <w:sz w:val="21"/>
                    </w:rPr>
                    <w:t>，</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singl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≥12GB LPDDR5</w:t>
                  </w:r>
                  <w:r>
                    <w:rPr>
                      <w:rFonts w:ascii="仿宋_GB2312" w:hAnsi="仿宋_GB2312" w:cs="仿宋_GB2312" w:eastAsia="仿宋_GB2312"/>
                      <w:sz w:val="21"/>
                    </w:rPr>
                    <w:t>，</w:t>
                  </w:r>
                  <w:r>
                    <w:rPr>
                      <w:rFonts w:ascii="仿宋_GB2312" w:hAnsi="仿宋_GB2312" w:cs="仿宋_GB2312" w:eastAsia="仿宋_GB2312"/>
                      <w:sz w:val="21"/>
                    </w:rPr>
                    <w:t>存储</w:t>
                  </w:r>
                  <w:r>
                    <w:rPr>
                      <w:rFonts w:ascii="仿宋_GB2312" w:hAnsi="仿宋_GB2312" w:cs="仿宋_GB2312" w:eastAsia="仿宋_GB2312"/>
                      <w:sz w:val="21"/>
                    </w:rPr>
                    <w:t>≥256GB</w:t>
                  </w:r>
                </w:p>
              </w:tc>
            </w:tr>
            <w:tr>
              <w:tc>
                <w:tcPr>
                  <w:tcW w:type="dxa" w:w="267"/>
                  <w:vMerge/>
                  <w:tcBorders>
                    <w:top w:val="single" w:color="000000" w:sz="4"/>
                    <w:left w:val="single" w:color="000000" w:sz="4"/>
                    <w:bottom w:val="none" w:color="000000" w:sz="4"/>
                    <w:right w:val="single" w:color="000000" w:sz="4"/>
                  </w:tcBorders>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连接</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b/>
                    </w:rPr>
                    <w:t>Wi-Fi 7（802.11be）</w:t>
                  </w:r>
                  <w:r>
                    <w:rPr>
                      <w:rFonts w:ascii="仿宋_GB2312" w:hAnsi="仿宋_GB2312" w:cs="仿宋_GB2312" w:eastAsia="仿宋_GB2312"/>
                      <w:sz w:val="21"/>
                    </w:rPr>
                    <w:t xml:space="preserve"> 标准，并支持低延迟无线串流（端到端延迟≤10ms）。如有私有无线传输协议，须提供完整SDK供二次开发，且不强制绑定特定品牌外设。</w:t>
                  </w:r>
                </w:p>
              </w:tc>
            </w:tr>
            <w:tr>
              <w:tc>
                <w:tcPr>
                  <w:tcW w:type="dxa" w:w="267"/>
                  <w:vMerge/>
                  <w:tcBorders>
                    <w:top w:val="single" w:color="000000" w:sz="4"/>
                    <w:left w:val="single" w:color="000000" w:sz="4"/>
                    <w:bottom w:val="none" w:color="000000" w:sz="4"/>
                    <w:right w:val="single" w:color="000000" w:sz="4"/>
                  </w:tcBorders>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混合现实传感器</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双目彩色摄像头，</w:t>
                  </w:r>
                  <w:r>
                    <w:rPr>
                      <w:rFonts w:ascii="仿宋_GB2312" w:hAnsi="仿宋_GB2312" w:cs="仿宋_GB2312" w:eastAsia="仿宋_GB2312"/>
                      <w:sz w:val="21"/>
                      <w:b/>
                    </w:rPr>
                    <w:t>单颗像素</w:t>
                  </w:r>
                  <w:r>
                    <w:rPr>
                      <w:rFonts w:ascii="仿宋_GB2312" w:hAnsi="仿宋_GB2312" w:cs="仿宋_GB2312" w:eastAsia="仿宋_GB2312"/>
                      <w:sz w:val="21"/>
                      <w:b/>
                    </w:rPr>
                    <w:t>≥800万</w:t>
                  </w:r>
                  <w:r>
                    <w:rPr>
                      <w:rFonts w:ascii="仿宋_GB2312" w:hAnsi="仿宋_GB2312" w:cs="仿宋_GB2312" w:eastAsia="仿宋_GB2312"/>
                      <w:sz w:val="21"/>
                    </w:rPr>
                    <w:t>，支持实时高分辨率彩色透视</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b/>
                    </w:rPr>
                    <w:t>ToF（飞行时间）或结构光</w:t>
                  </w:r>
                  <w:r>
                    <w:rPr>
                      <w:rFonts w:ascii="仿宋_GB2312" w:hAnsi="仿宋_GB2312" w:cs="仿宋_GB2312" w:eastAsia="仿宋_GB2312"/>
                      <w:sz w:val="21"/>
                    </w:rPr>
                    <w:t>深度传感器，支持实时环境网格重建</w:t>
                  </w:r>
                  <w:r>
                    <w:rPr>
                      <w:rFonts w:ascii="仿宋_GB2312" w:hAnsi="仿宋_GB2312" w:cs="仿宋_GB2312" w:eastAsia="仿宋_GB2312"/>
                      <w:sz w:val="21"/>
                    </w:rPr>
                    <w:t>，</w:t>
                  </w:r>
                  <w:r>
                    <w:rPr>
                      <w:rFonts w:ascii="仿宋_GB2312" w:hAnsi="仿宋_GB2312" w:cs="仿宋_GB2312" w:eastAsia="仿宋_GB2312"/>
                      <w:sz w:val="21"/>
                    </w:rPr>
                    <w:t>用于</w:t>
                  </w:r>
                  <w:r>
                    <w:rPr>
                      <w:rFonts w:ascii="仿宋_GB2312" w:hAnsi="仿宋_GB2312" w:cs="仿宋_GB2312" w:eastAsia="仿宋_GB2312"/>
                      <w:sz w:val="21"/>
                    </w:rPr>
                    <w:t>SLAM定位的环境追踪摄像头</w:t>
                  </w:r>
                  <w:r>
                    <w:rPr>
                      <w:rFonts w:ascii="仿宋_GB2312" w:hAnsi="仿宋_GB2312" w:cs="仿宋_GB2312" w:eastAsia="仿宋_GB2312"/>
                      <w:sz w:val="21"/>
                      <w:b/>
                    </w:rPr>
                    <w:t>数量</w:t>
                  </w:r>
                  <w:r>
                    <w:rPr>
                      <w:rFonts w:ascii="仿宋_GB2312" w:hAnsi="仿宋_GB2312" w:cs="仿宋_GB2312" w:eastAsia="仿宋_GB2312"/>
                      <w:sz w:val="21"/>
                      <w:b/>
                    </w:rPr>
                    <w:t>≥4颗</w:t>
                  </w:r>
                  <w:r>
                    <w:rPr>
                      <w:rFonts w:ascii="仿宋_GB2312" w:hAnsi="仿宋_GB2312" w:cs="仿宋_GB2312" w:eastAsia="仿宋_GB2312"/>
                      <w:sz w:val="21"/>
                    </w:rPr>
                    <w:t>，支持</w:t>
                  </w:r>
                  <w:r>
                    <w:rPr>
                      <w:rFonts w:ascii="仿宋_GB2312" w:hAnsi="仿宋_GB2312" w:cs="仿宋_GB2312" w:eastAsia="仿宋_GB2312"/>
                      <w:sz w:val="21"/>
                    </w:rPr>
                    <w:t>6DoF空间定位</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b/>
                    </w:rPr>
                    <w:t>裸手识别与追踪</w:t>
                  </w:r>
                  <w:r>
                    <w:rPr>
                      <w:rFonts w:ascii="仿宋_GB2312" w:hAnsi="仿宋_GB2312" w:cs="仿宋_GB2312" w:eastAsia="仿宋_GB2312"/>
                      <w:sz w:val="21"/>
                    </w:rPr>
                    <w:t>，无需手柄可完成基础点击、滑动等交互</w:t>
                  </w:r>
                </w:p>
              </w:tc>
            </w:tr>
            <w:tr>
              <w:tc>
                <w:tcPr>
                  <w:tcW w:type="dxa" w:w="267"/>
                  <w:vMerge/>
                  <w:tcBorders>
                    <w:top w:val="single" w:color="000000" w:sz="4"/>
                    <w:left w:val="single" w:color="000000" w:sz="4"/>
                    <w:bottom w:val="none" w:color="000000" w:sz="4"/>
                    <w:right w:val="single" w:color="000000" w:sz="4"/>
                  </w:tcBorders>
                </w:tcPr>
                <w:p/>
              </w:tc>
              <w:tc>
                <w:tcPr>
                  <w:tcW w:type="dxa" w:w="8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显示及光学</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双屏显示，采用</w:t>
                  </w:r>
                  <w:r>
                    <w:rPr>
                      <w:rFonts w:ascii="仿宋_GB2312" w:hAnsi="仿宋_GB2312" w:cs="仿宋_GB2312" w:eastAsia="仿宋_GB2312"/>
                      <w:sz w:val="21"/>
                    </w:rPr>
                    <w:t>Pancake折叠光路光学方案</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单眼分辨率</w:t>
                  </w:r>
                  <w:r>
                    <w:rPr>
                      <w:rFonts w:ascii="仿宋_GB2312" w:hAnsi="仿宋_GB2312" w:cs="仿宋_GB2312" w:eastAsia="仿宋_GB2312"/>
                      <w:sz w:val="21"/>
                    </w:rPr>
                    <w:t>不低于</w:t>
                  </w:r>
                  <w:r>
                    <w:rPr>
                      <w:rFonts w:ascii="仿宋_GB2312" w:hAnsi="仿宋_GB2312" w:cs="仿宋_GB2312" w:eastAsia="仿宋_GB2312"/>
                      <w:sz w:val="21"/>
                    </w:rPr>
                    <w:t>2064 × 2208（或等效总像素数，如 2160×2160 亦可）</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像素密度</w:t>
                  </w:r>
                  <w:r>
                    <w:rPr>
                      <w:rFonts w:ascii="仿宋_GB2312" w:hAnsi="仿宋_GB2312" w:cs="仿宋_GB2312" w:eastAsia="仿宋_GB2312"/>
                      <w:sz w:val="21"/>
                    </w:rPr>
                    <w:t>PPI ≥ 1100</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刷新率</w:t>
                  </w:r>
                  <w:r>
                    <w:rPr>
                      <w:rFonts w:ascii="仿宋_GB2312" w:hAnsi="仿宋_GB2312" w:cs="仿宋_GB2312" w:eastAsia="仿宋_GB2312"/>
                      <w:sz w:val="21"/>
                    </w:rPr>
                    <w:t>支持</w:t>
                  </w:r>
                  <w:r>
                    <w:rPr>
                      <w:rFonts w:ascii="仿宋_GB2312" w:hAnsi="仿宋_GB2312" w:cs="仿宋_GB2312" w:eastAsia="仿宋_GB2312"/>
                      <w:sz w:val="21"/>
                    </w:rPr>
                    <w:t>90Hz 及以上刷新率</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视场角</w:t>
                  </w:r>
                  <w:r>
                    <w:rPr>
                      <w:rFonts w:ascii="仿宋_GB2312" w:hAnsi="仿宋_GB2312" w:cs="仿宋_GB2312" w:eastAsia="仿宋_GB2312"/>
                      <w:sz w:val="21"/>
                    </w:rPr>
                    <w:t>对角线视场角</w:t>
                  </w:r>
                  <w:r>
                    <w:rPr>
                      <w:rFonts w:ascii="仿宋_GB2312" w:hAnsi="仿宋_GB2312" w:cs="仿宋_GB2312" w:eastAsia="仿宋_GB2312"/>
                      <w:sz w:val="21"/>
                    </w:rPr>
                    <w:t>≥ 100°</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角分辨率</w:t>
                  </w:r>
                  <w:r>
                    <w:rPr>
                      <w:rFonts w:ascii="仿宋_GB2312" w:hAnsi="仿宋_GB2312" w:cs="仿宋_GB2312" w:eastAsia="仿宋_GB2312"/>
                      <w:sz w:val="21"/>
                    </w:rPr>
                    <w:t>平均</w:t>
                  </w:r>
                  <w:r>
                    <w:rPr>
                      <w:rFonts w:ascii="仿宋_GB2312" w:hAnsi="仿宋_GB2312" w:cs="仿宋_GB2312" w:eastAsia="仿宋_GB2312"/>
                      <w:sz w:val="21"/>
                    </w:rPr>
                    <w:t>PPD ≥ 20，中心区域 PPD ≥ 22</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瞳距调节</w:t>
                  </w:r>
                  <w:r>
                    <w:rPr>
                      <w:rFonts w:ascii="仿宋_GB2312" w:hAnsi="仿宋_GB2312" w:cs="仿宋_GB2312" w:eastAsia="仿宋_GB2312"/>
                      <w:sz w:val="21"/>
                    </w:rPr>
                    <w:t>支持物理瞳距调节，调节范围</w:t>
                  </w:r>
                  <w:r>
                    <w:rPr>
                      <w:rFonts w:ascii="仿宋_GB2312" w:hAnsi="仿宋_GB2312" w:cs="仿宋_GB2312" w:eastAsia="仿宋_GB2312"/>
                      <w:sz w:val="21"/>
                    </w:rPr>
                    <w:t>≥ 56mm–72mm，调节方式可为手动或电动。</w:t>
                  </w:r>
                </w:p>
              </w:tc>
            </w:tr>
            <w:tr>
              <w:tc>
                <w:tcPr>
                  <w:tcW w:type="dxa" w:w="267"/>
                  <w:vMerge/>
                  <w:tcBorders>
                    <w:top w:val="single" w:color="000000" w:sz="4"/>
                    <w:left w:val="single" w:color="000000" w:sz="4"/>
                    <w:bottom w:val="none" w:color="000000" w:sz="4"/>
                    <w:right w:val="single" w:color="000000" w:sz="4"/>
                  </w:tcBorders>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音频</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双立体声扬声器，支持近耳定向发声</w:t>
                  </w:r>
                  <w:r>
                    <w:rPr>
                      <w:rFonts w:ascii="仿宋_GB2312" w:hAnsi="仿宋_GB2312" w:cs="仿宋_GB2312" w:eastAsia="仿宋_GB2312"/>
                      <w:sz w:val="21"/>
                    </w:rPr>
                    <w:t>，</w:t>
                  </w:r>
                  <w:r>
                    <w:rPr>
                      <w:rFonts w:ascii="仿宋_GB2312" w:hAnsi="仿宋_GB2312" w:cs="仿宋_GB2312" w:eastAsia="仿宋_GB2312"/>
                      <w:sz w:val="21"/>
                      <w:b/>
                    </w:rPr>
                    <w:t>≥ 3 麦克风阵列</w:t>
                  </w:r>
                  <w:r>
                    <w:rPr>
                      <w:rFonts w:ascii="仿宋_GB2312" w:hAnsi="仿宋_GB2312" w:cs="仿宋_GB2312" w:eastAsia="仿宋_GB2312"/>
                      <w:sz w:val="21"/>
                    </w:rPr>
                    <w:t>，支持空间音频录制及语音降噪</w:t>
                  </w:r>
                </w:p>
              </w:tc>
            </w:tr>
            <w:tr>
              <w:tc>
                <w:tcPr>
                  <w:tcW w:type="dxa" w:w="267"/>
                  <w:vMerge/>
                  <w:tcBorders>
                    <w:top w:val="single" w:color="000000" w:sz="4"/>
                    <w:left w:val="single" w:color="000000" w:sz="4"/>
                    <w:bottom w:val="none" w:color="000000" w:sz="4"/>
                    <w:right w:val="single" w:color="000000" w:sz="4"/>
                  </w:tcBorders>
                </w:tcPr>
                <w:p/>
              </w:tc>
              <w:tc>
                <w:tcPr>
                  <w:tcW w:type="dxa" w:w="81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电池及充电</w:t>
                  </w: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5700mAh 额定容量， 5770mAh 典型容量</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QC4.0/PD3.0 快充，最高支持 45W 快充</w:t>
                  </w:r>
                </w:p>
              </w:tc>
            </w:tr>
            <w:tr>
              <w:tc>
                <w:tcPr>
                  <w:tcW w:type="dxa" w:w="267"/>
                  <w:vMerge/>
                  <w:tcBorders>
                    <w:top w:val="single" w:color="000000" w:sz="4"/>
                    <w:left w:val="single" w:color="000000" w:sz="4"/>
                    <w:bottom w:val="none" w:color="000000" w:sz="4"/>
                    <w:right w:val="single" w:color="000000" w:sz="4"/>
                  </w:tcBorders>
                </w:tcPr>
                <w:p/>
              </w:tc>
              <w:tc>
                <w:tcPr>
                  <w:tcW w:type="dxa" w:w="815"/>
                  <w:vMerge/>
                  <w:tcBorders>
                    <w:top w:val="none" w:color="000000" w:sz="4"/>
                    <w:left w:val="none" w:color="000000" w:sz="4"/>
                    <w:bottom w:val="none" w:color="000000" w:sz="4"/>
                    <w:right w:val="single" w:color="000000" w:sz="4"/>
                  </w:tcBorders>
                </w:tcPr>
                <w:p/>
              </w:tc>
              <w:tc>
                <w:tcPr>
                  <w:tcW w:type="dxa" w:w="1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手柄供电：</w:t>
                  </w:r>
                  <w:r>
                    <w:rPr>
                      <w:rFonts w:ascii="仿宋_GB2312" w:hAnsi="仿宋_GB2312" w:cs="仿宋_GB2312" w:eastAsia="仿宋_GB2312"/>
                      <w:sz w:val="21"/>
                    </w:rPr>
                    <w:t>5 号电池 *2</w:t>
                  </w:r>
                </w:p>
              </w:tc>
            </w:tr>
          </w:tbl>
          <w:p>
            <w:pPr>
              <w:pStyle w:val="null3"/>
              <w:jc w:val="both"/>
            </w:pPr>
            <w:r>
              <w:rPr>
                <w:rFonts w:ascii="仿宋_GB2312" w:hAnsi="仿宋_GB2312" w:cs="仿宋_GB2312" w:eastAsia="仿宋_GB2312"/>
                <w:sz w:val="21"/>
                <w:b/>
                <w:shd w:fill="FFFFFF" w:val="clear"/>
              </w:rPr>
              <w:t>三、</w:t>
            </w:r>
            <w:r>
              <w:rPr>
                <w:rFonts w:ascii="仿宋_GB2312" w:hAnsi="仿宋_GB2312" w:cs="仿宋_GB2312" w:eastAsia="仿宋_GB2312"/>
                <w:sz w:val="21"/>
                <w:b/>
                <w:shd w:fill="FFFFFF" w:val="clear"/>
              </w:rPr>
              <w:t>软件配置清单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后台管理系统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数字化全科医学技能课程</w:t>
            </w:r>
            <w:r>
              <w:rPr>
                <w:rFonts w:ascii="仿宋_GB2312" w:hAnsi="仿宋_GB2312" w:cs="仿宋_GB2312" w:eastAsia="仿宋_GB2312"/>
                <w:sz w:val="21"/>
              </w:rPr>
              <w:t>8套（每套含12门MR课程+6门VR课程）</w:t>
            </w:r>
          </w:p>
          <w:p>
            <w:pPr>
              <w:pStyle w:val="null3"/>
              <w:jc w:val="both"/>
            </w:pPr>
            <w:r>
              <w:rPr>
                <w:rFonts w:ascii="仿宋_GB2312" w:hAnsi="仿宋_GB2312" w:cs="仿宋_GB2312" w:eastAsia="仿宋_GB2312"/>
                <w:sz w:val="21"/>
                <w:b/>
                <w:shd w:fill="FFFFFF" w:val="clear"/>
              </w:rPr>
              <w:t>四、</w:t>
            </w:r>
            <w:r>
              <w:rPr>
                <w:rFonts w:ascii="仿宋_GB2312" w:hAnsi="仿宋_GB2312" w:cs="仿宋_GB2312" w:eastAsia="仿宋_GB2312"/>
                <w:sz w:val="21"/>
                <w:b/>
                <w:shd w:fill="FFFFFF" w:val="clear"/>
              </w:rPr>
              <w:t>备品备件</w:t>
            </w:r>
          </w:p>
          <w:p>
            <w:pPr>
              <w:pStyle w:val="null3"/>
              <w:jc w:val="both"/>
            </w:pPr>
            <w:r>
              <w:rPr>
                <w:rFonts w:ascii="仿宋_GB2312" w:hAnsi="仿宋_GB2312" w:cs="仿宋_GB2312" w:eastAsia="仿宋_GB2312"/>
                <w:sz w:val="21"/>
              </w:rPr>
              <w:t>无</w:t>
            </w:r>
          </w:p>
          <w:p>
            <w:pPr>
              <w:pStyle w:val="null3"/>
              <w:jc w:val="both"/>
            </w:pPr>
            <w:r>
              <w:rPr>
                <w:rFonts w:ascii="仿宋_GB2312" w:hAnsi="仿宋_GB2312" w:cs="仿宋_GB2312" w:eastAsia="仿宋_GB2312"/>
                <w:sz w:val="21"/>
                <w:b/>
                <w:shd w:fill="FFFFFF" w:val="clear"/>
              </w:rPr>
              <w:t>五、</w:t>
            </w:r>
            <w:r>
              <w:rPr>
                <w:rFonts w:ascii="仿宋_GB2312" w:hAnsi="仿宋_GB2312" w:cs="仿宋_GB2312" w:eastAsia="仿宋_GB2312"/>
                <w:sz w:val="21"/>
                <w:b/>
                <w:shd w:fill="FFFFFF" w:val="clear"/>
              </w:rPr>
              <w:t>质量要求</w:t>
            </w:r>
          </w:p>
          <w:p>
            <w:pPr>
              <w:pStyle w:val="null3"/>
              <w:jc w:val="both"/>
            </w:pPr>
            <w:r>
              <w:rPr>
                <w:rFonts w:ascii="仿宋_GB2312" w:hAnsi="仿宋_GB2312" w:cs="仿宋_GB2312" w:eastAsia="仿宋_GB2312"/>
                <w:sz w:val="21"/>
              </w:rPr>
              <w:t>系统课程符合全科医疗教学的教材辅导要求：住院医师规范化培训内容与标准</w:t>
            </w:r>
            <w:r>
              <w:rPr>
                <w:rFonts w:ascii="仿宋_GB2312" w:hAnsi="仿宋_GB2312" w:cs="仿宋_GB2312" w:eastAsia="仿宋_GB2312"/>
                <w:sz w:val="21"/>
              </w:rPr>
              <w:t>-全科培训细则。</w:t>
            </w:r>
          </w:p>
          <w:p>
            <w:pPr>
              <w:pStyle w:val="null3"/>
              <w:jc w:val="both"/>
            </w:pPr>
            <w:r>
              <w:rPr>
                <w:rFonts w:ascii="仿宋_GB2312" w:hAnsi="仿宋_GB2312" w:cs="仿宋_GB2312" w:eastAsia="仿宋_GB2312"/>
                <w:sz w:val="21"/>
                <w:b/>
                <w:shd w:fill="FFFFFF" w:val="clear"/>
              </w:rPr>
              <w:t>六、</w:t>
            </w:r>
            <w:r>
              <w:rPr>
                <w:rFonts w:ascii="仿宋_GB2312" w:hAnsi="仿宋_GB2312" w:cs="仿宋_GB2312" w:eastAsia="仿宋_GB2312"/>
                <w:sz w:val="21"/>
                <w:b/>
                <w:shd w:fill="FFFFFF" w:val="clear"/>
              </w:rPr>
              <w:t>适应标准</w:t>
            </w:r>
          </w:p>
          <w:p>
            <w:pPr>
              <w:pStyle w:val="null3"/>
              <w:jc w:val="both"/>
            </w:pPr>
            <w:r>
              <w:rPr>
                <w:rFonts w:ascii="仿宋_GB2312" w:hAnsi="仿宋_GB2312" w:cs="仿宋_GB2312" w:eastAsia="仿宋_GB2312"/>
                <w:sz w:val="21"/>
              </w:rPr>
              <w:t>符合《医院信息系统软件基本功能规范》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接到采购人通知之日起60个日历日内完成服务要求。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甲乙双方共同参照磋商文件、响应文件、合同和承诺条款的有关内容、配置要求等，在乙方完成安装调试并经测试合格后的30个工作日内，进行统一验收。甲方在收到乙方验收通知书及相关验收资料后通知乙方，甲乙双方共同对系统进行验收，并由乙方将验收报告提交甲方。验收工作由甲乙双方所属部门组织，经相关负责人确认验收通过并签字、盖章，则视为甲乙双方确认验收通过。验收过程和步骤应符合国家、部委有关规定，符合质量检验、商检部门和医院的规定。甲方对交付成果提出异议的，乙方应在接到异议之日起5个工作日内，选择以下一种或多种方式解决异议，相应的异议处理方式应经甲方认可： 1）上门修复、调试；2）指定时间内无偿更新到品质、性能更优良的软件系统。 2.验收标准：符合采购人与成交供应商签订的经济合同；符合谈判、响应文件的技术要求、商务要求； 符合产品原样本技术数据； 符合国家有关技术规范和标准；所有安装、验收的手续费用由乙方自行办理和承担。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进度款，合同签订，系统上线后30日历日内，达到付款条件起30个工作日内，支付合同总金额的30.0%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进度款，系统整体验收合格后30日历日内，达到付款条件起30个工作日内，支付合同总金额的60.0%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进度款，1年质保期满年后，达到付款条件起30个工作日内，支付合同总金额的10.0%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1.整体系统建设安全、性能稳定，遵循国家相关标准和规范。 2.项目质保期:项目整体建设完成并验收合格之日起质保1年（含原系统），质保期内供应商提供不少于1人的驻场服务，供应商提供一年无偿驻场服务。 3.供应商针对本项目提供完成且切实可行的服务方案，提供项目驻场及原厂技术团队服务，提供7×24小时热线电话、远程网络、现场等服务方式。供应商驻场工程师在1小时内给予响应；驻场工程师不能解决的重大故障，服务团队应在接到医院服务请求后8小时内到达现场。 4.质保期过后，甲乙双方另行签订维保服务合同。 5.实施范围：本项目所有采购内容。 6.供应商本次实施的软件系统为最新版本，并且在项目实施过程中无条件满足符合国家技术类标准和业务规范的需求修改，需一并满足不得另行收取费用。 7.项目组成员稳定性：项目建设期内，供应商必须保证项目组成员稳定，无特殊事由且未经采购人同意不得随意更换。确需进行人员调整、更换，由供应商提供书面说明，经采购人同意后方可进行调换。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响应文件截止时间不足一年的可提供成立后任意时段的资产负债表），或响应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供应商为向采购人提供相应服务的法人或其他组织；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服务费用说明一览表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按竞争性磋商文件的规定提交磋商保证金。</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按竞争性磋商文件要求签署、盖章</w:t>
            </w:r>
          </w:p>
        </w:tc>
        <w:tc>
          <w:tcPr>
            <w:tcW w:type="dxa" w:w="3322"/>
          </w:tcPr>
          <w:p>
            <w:pPr>
              <w:pStyle w:val="null3"/>
            </w:pPr>
            <w:r>
              <w:rPr>
                <w:rFonts w:ascii="仿宋_GB2312" w:hAnsi="仿宋_GB2312" w:cs="仿宋_GB2312" w:eastAsia="仿宋_GB2312"/>
              </w:rPr>
              <w:t>按竞争性磋商文件要求签署、盖章。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磋商报价唯一，磋商报价未超过预算金额或者最高限价。</w:t>
            </w:r>
          </w:p>
        </w:tc>
        <w:tc>
          <w:tcPr>
            <w:tcW w:type="dxa" w:w="1661"/>
          </w:tcPr>
          <w:p>
            <w:pPr>
              <w:pStyle w:val="null3"/>
            </w:pPr>
            <w:r>
              <w:rPr>
                <w:rFonts w:ascii="仿宋_GB2312" w:hAnsi="仿宋_GB2312" w:cs="仿宋_GB2312" w:eastAsia="仿宋_GB2312"/>
              </w:rPr>
              <w:t>服务费用说明一览表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商务应答表 服务内容及服务要求应答表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根据供应商针对服务要求响应情况进行评审，完全响应并满足服务要求的得40.00分，其中 ①技术参数中其他参数为一般技术参数，共200项，每负偏离一项扣0.2分，扣完为止。 备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供应商提供的整体服务的思路及要点需包含①整体实施方案；②核心需求把握度；重难点深度分析；需求适配针对性③MR课程系统建设；④VR课程系统建设；⑤系统后台建设，共5项内容，每项满分3分，总分15分。 其中，每项以具体内容与本项目及所投服务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供应商提供的服务质量保障措施方案需包含：核心环节质量管控措施、整改机制，共1项内容，每项满分3分，总分3分。 其中，每项以具体内容与本项目及所投服务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供应商提供的服务开展的组织措施及制度方案需包含①组织机构方案、有关管理制度；②应急保障能力，共2项内容，每项满分3分，总分6分。 其中，每项以具体内容与本项目及所投服务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供应商提供的服务开展的流程及规范方案需包含①服务流程及实施；②各环节衔接保障措施；内外部沟通机制，共2项内容，每项满分3分，总分6分。 其中，每项以具体内容与本项目及所投服务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供应商提供的服务团队配备情况需包含①人员配置情况表；②各流程节点岗位职责划分及岗位管理机制，共2项内容，每项满分3分，总分6分。 其中，每项以具体内容与本项目及所投服务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供应商提供的项目配套服务设备需包含①售后服务方案；②培训方案；③后期维保服务方案，共3项内容，每项满分3分，总分9分。 其中，每项以具体内容与本项目及所投服务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供应商应在响应文件中提供该供应商自2023年1月1日起至今的类似业绩证明材料，每提供一份有效类似业绩证明材料的得1分，满分5分。 备注：以供应商提供的合同复印件或扫描件为准，时间以合同签订日期的时间为准。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详见附件：服务费用说明一览表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