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B1E4DA">
      <w:pPr>
        <w:pStyle w:val="4"/>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bookmarkStart w:id="0" w:name="_GoBack"/>
      <w:bookmarkEnd w:id="0"/>
    </w:p>
    <w:p w14:paraId="49FF8280">
      <w:pPr>
        <w:pStyle w:val="4"/>
        <w:rPr>
          <w:rFonts w:ascii="仿宋_GB2312" w:hAnsi="仿宋_GB2312" w:eastAsia="仿宋_GB2312" w:cs="仿宋_GB2312"/>
          <w:b/>
          <w:bCs/>
          <w:sz w:val="28"/>
          <w:szCs w:val="28"/>
        </w:rPr>
      </w:pPr>
      <w:r>
        <w:rPr>
          <w:rFonts w:ascii="仿宋_GB2312" w:hAnsi="仿宋_GB2312" w:eastAsia="仿宋_GB2312" w:cs="仿宋_GB2312"/>
          <w:b/>
          <w:bCs/>
          <w:sz w:val="28"/>
          <w:szCs w:val="28"/>
        </w:rPr>
        <w:t>采购包1：</w:t>
      </w:r>
    </w:p>
    <w:p w14:paraId="66CF3146">
      <w:pPr>
        <w:pStyle w:val="4"/>
      </w:pPr>
      <w:r>
        <w:rPr>
          <w:rFonts w:ascii="仿宋_GB2312" w:hAnsi="仿宋_GB2312" w:eastAsia="仿宋_GB2312" w:cs="仿宋_GB2312"/>
          <w:b/>
          <w:sz w:val="24"/>
        </w:rPr>
        <w:t>一、项目背景</w:t>
      </w:r>
    </w:p>
    <w:p w14:paraId="22457A2A">
      <w:pPr>
        <w:pStyle w:val="4"/>
        <w:ind w:firstLine="480"/>
        <w:jc w:val="both"/>
      </w:pPr>
      <w:r>
        <w:rPr>
          <w:rFonts w:ascii="仿宋_GB2312" w:hAnsi="仿宋_GB2312" w:eastAsia="仿宋_GB2312" w:cs="仿宋_GB2312"/>
          <w:sz w:val="24"/>
        </w:rPr>
        <w:t>投注机作为我省电脑福利彩票销售网络的核心基础设施，承担着彩票销售、兑奖、促销、缴款、查询等关键功能，是连接购彩者与福彩销售体系的重要桥梁。本次采购满足维保条件的5000台设备，覆盖全省11个地市、107个区县的销售网点。投注机设备的稳定运行直接关系到彩票销售的安全可靠性、资金结算的准确性及彩票代销者和购彩者的使用体验，是福彩事业健康发展的重要技术保障。为确保投注设备稳定运行，需要向有专业技术能力的第三方采购维修维护服务。</w:t>
      </w:r>
    </w:p>
    <w:p w14:paraId="1A39CF27">
      <w:pPr>
        <w:pStyle w:val="4"/>
      </w:pPr>
      <w:r>
        <w:rPr>
          <w:rFonts w:ascii="仿宋_GB2312" w:hAnsi="仿宋_GB2312" w:eastAsia="仿宋_GB2312" w:cs="仿宋_GB2312"/>
          <w:b/>
          <w:sz w:val="24"/>
        </w:rPr>
        <w:t>二、服务内容</w:t>
      </w:r>
    </w:p>
    <w:p w14:paraId="739682AC">
      <w:pPr>
        <w:pStyle w:val="4"/>
        <w:ind w:firstLine="480"/>
        <w:jc w:val="both"/>
      </w:pPr>
      <w:r>
        <w:rPr>
          <w:rFonts w:ascii="仿宋_GB2312" w:hAnsi="仿宋_GB2312" w:eastAsia="仿宋_GB2312" w:cs="仿宋_GB2312"/>
          <w:sz w:val="24"/>
        </w:rPr>
        <w:t>1、维保内容：为陕西省内共约5000台将过免费维护期的福彩投注机提供维护服务。</w:t>
      </w:r>
    </w:p>
    <w:p w14:paraId="27297BB6">
      <w:pPr>
        <w:pStyle w:val="4"/>
        <w:ind w:firstLine="480"/>
        <w:jc w:val="both"/>
      </w:pPr>
      <w:r>
        <w:rPr>
          <w:rFonts w:ascii="仿宋_GB2312" w:hAnsi="仿宋_GB2312" w:eastAsia="仿宋_GB2312" w:cs="仿宋_GB2312"/>
          <w:sz w:val="24"/>
        </w:rPr>
        <w:t>2、型号占比：</w:t>
      </w:r>
    </w:p>
    <w:p w14:paraId="64D11D39">
      <w:pPr>
        <w:pStyle w:val="4"/>
        <w:ind w:firstLine="720"/>
        <w:jc w:val="both"/>
      </w:pPr>
      <w:r>
        <w:rPr>
          <w:rFonts w:ascii="仿宋_GB2312" w:hAnsi="仿宋_GB2312" w:eastAsia="仿宋_GB2312" w:cs="仿宋_GB2312"/>
          <w:sz w:val="24"/>
        </w:rPr>
        <w:t>CP6100B型机运行台数： 1305台</w:t>
      </w:r>
    </w:p>
    <w:p w14:paraId="11220FAF">
      <w:pPr>
        <w:pStyle w:val="4"/>
        <w:ind w:firstLine="720"/>
        <w:jc w:val="both"/>
      </w:pPr>
      <w:r>
        <w:rPr>
          <w:rFonts w:ascii="仿宋_GB2312" w:hAnsi="仿宋_GB2312" w:eastAsia="仿宋_GB2312" w:cs="仿宋_GB2312"/>
          <w:sz w:val="24"/>
        </w:rPr>
        <w:t>CP6100D型机运行台数： 1025台</w:t>
      </w:r>
    </w:p>
    <w:p w14:paraId="370A1939">
      <w:pPr>
        <w:pStyle w:val="4"/>
        <w:ind w:firstLine="720"/>
        <w:jc w:val="both"/>
      </w:pPr>
      <w:r>
        <w:rPr>
          <w:rFonts w:ascii="仿宋_GB2312" w:hAnsi="仿宋_GB2312" w:eastAsia="仿宋_GB2312" w:cs="仿宋_GB2312"/>
          <w:sz w:val="24"/>
        </w:rPr>
        <w:t>CP7200型机运行台数：  2670台</w:t>
      </w:r>
    </w:p>
    <w:p w14:paraId="50B92F09">
      <w:pPr>
        <w:pStyle w:val="4"/>
      </w:pPr>
      <w:r>
        <w:rPr>
          <w:rFonts w:ascii="仿宋_GB2312" w:hAnsi="仿宋_GB2312" w:eastAsia="仿宋_GB2312" w:cs="仿宋_GB2312"/>
          <w:b/>
          <w:sz w:val="24"/>
        </w:rPr>
        <w:t>四、技术服务要求</w:t>
      </w:r>
    </w:p>
    <w:p w14:paraId="742A8EDD">
      <w:pPr>
        <w:pStyle w:val="4"/>
        <w:ind w:firstLine="480"/>
        <w:jc w:val="both"/>
      </w:pPr>
      <w:r>
        <w:rPr>
          <w:rFonts w:ascii="仿宋_GB2312" w:hAnsi="仿宋_GB2312" w:eastAsia="仿宋_GB2312" w:cs="仿宋_GB2312"/>
          <w:sz w:val="24"/>
        </w:rPr>
        <w:t>★1、为满足正常维护工作的需要，投标人须在采购人所在地设立省级客户服务中心，配备常驻合格技术维护人员不少于10名。其中服务中心负责人（主任）1名，负责投注机维护工作和维护人员的管理，要求陕南陕北各派1名驻地维护员，分别负责陕南和陕北地区维护工作。以上内容须提供加盖投标人公章的承诺函。</w:t>
      </w:r>
    </w:p>
    <w:p w14:paraId="7B230C35">
      <w:pPr>
        <w:pStyle w:val="4"/>
        <w:ind w:firstLine="480"/>
        <w:jc w:val="both"/>
      </w:pPr>
      <w:r>
        <w:rPr>
          <w:rFonts w:ascii="仿宋_GB2312" w:hAnsi="仿宋_GB2312" w:eastAsia="仿宋_GB2312" w:cs="仿宋_GB2312"/>
          <w:sz w:val="24"/>
        </w:rPr>
        <w:t>2、投标人省级客户服务中心须是全权代表投标人的常设机构，代表投标人履行全省福彩投注机和自助中奖查询机维护服务职责，具体服务内容包括：</w:t>
      </w:r>
    </w:p>
    <w:p w14:paraId="7D501254">
      <w:pPr>
        <w:pStyle w:val="4"/>
        <w:ind w:firstLine="480"/>
        <w:jc w:val="both"/>
      </w:pPr>
      <w:r>
        <w:rPr>
          <w:rFonts w:ascii="仿宋_GB2312" w:hAnsi="仿宋_GB2312" w:eastAsia="仿宋_GB2312" w:cs="仿宋_GB2312"/>
          <w:sz w:val="24"/>
        </w:rPr>
        <w:t>（1）负责提供全省福彩投注机软硬件和自助中奖查询机等终端设备按制定的服务标准做好维护和维修工作。</w:t>
      </w:r>
    </w:p>
    <w:p w14:paraId="4B30AE0D">
      <w:pPr>
        <w:pStyle w:val="4"/>
        <w:ind w:firstLine="480"/>
        <w:jc w:val="both"/>
      </w:pPr>
      <w:r>
        <w:rPr>
          <w:rFonts w:ascii="仿宋_GB2312" w:hAnsi="仿宋_GB2312" w:eastAsia="仿宋_GB2312" w:cs="仿宋_GB2312"/>
          <w:sz w:val="24"/>
        </w:rPr>
        <w:t>（2）提供全省技术人员关于投注机软硬件和自助中奖查询机等终端设备的技术支持和使用维护培训。</w:t>
      </w:r>
    </w:p>
    <w:p w14:paraId="71005B66">
      <w:pPr>
        <w:pStyle w:val="4"/>
        <w:ind w:firstLine="480"/>
        <w:jc w:val="both"/>
      </w:pPr>
      <w:r>
        <w:rPr>
          <w:rFonts w:ascii="仿宋_GB2312" w:hAnsi="仿宋_GB2312" w:eastAsia="仿宋_GB2312" w:cs="仿宋_GB2312"/>
          <w:sz w:val="24"/>
        </w:rPr>
        <w:t>（3）在采购人所在地建立耗材配件库，确保充足的维修备件，以满足日常维修需要。</w:t>
      </w:r>
    </w:p>
    <w:p w14:paraId="0E88977F">
      <w:pPr>
        <w:pStyle w:val="4"/>
        <w:ind w:firstLine="480"/>
        <w:jc w:val="both"/>
      </w:pPr>
      <w:r>
        <w:rPr>
          <w:rFonts w:ascii="仿宋_GB2312" w:hAnsi="仿宋_GB2312" w:eastAsia="仿宋_GB2312" w:cs="仿宋_GB2312"/>
          <w:sz w:val="24"/>
        </w:rPr>
        <w:t>（4）在各地市福彩中心建立耗材配件分库，根据地市中心配件申请进行发货和配件的清点、验收工作，以及废件的回收。</w:t>
      </w:r>
    </w:p>
    <w:p w14:paraId="71440E19">
      <w:pPr>
        <w:pStyle w:val="4"/>
        <w:ind w:firstLine="480"/>
        <w:jc w:val="both"/>
      </w:pPr>
      <w:r>
        <w:rPr>
          <w:rFonts w:ascii="仿宋_GB2312" w:hAnsi="仿宋_GB2312" w:eastAsia="仿宋_GB2312" w:cs="仿宋_GB2312"/>
          <w:sz w:val="24"/>
        </w:rPr>
        <w:t>（5）提供站点销售人员关于投注机和自助中奖查询机等终端设备的技术支持和操作使用培训。</w:t>
      </w:r>
    </w:p>
    <w:p w14:paraId="61E06DB5">
      <w:pPr>
        <w:pStyle w:val="4"/>
        <w:ind w:firstLine="480"/>
        <w:jc w:val="both"/>
      </w:pPr>
      <w:r>
        <w:rPr>
          <w:rFonts w:ascii="仿宋_GB2312" w:hAnsi="仿宋_GB2312" w:eastAsia="仿宋_GB2312" w:cs="仿宋_GB2312"/>
          <w:sz w:val="24"/>
        </w:rPr>
        <w:t>3、投标人所提供服务内容费用包括在合同价格中，客户服务人员自付工作期间产生的所有费用。</w:t>
      </w:r>
    </w:p>
    <w:p w14:paraId="559C4F94">
      <w:pPr>
        <w:pStyle w:val="4"/>
        <w:ind w:firstLine="480"/>
        <w:jc w:val="both"/>
      </w:pPr>
      <w:r>
        <w:rPr>
          <w:rFonts w:ascii="仿宋_GB2312" w:hAnsi="仿宋_GB2312" w:eastAsia="仿宋_GB2312" w:cs="仿宋_GB2312"/>
          <w:sz w:val="24"/>
        </w:rPr>
        <w:t>4、定期（每年2次）对全省所有投注机、自助中奖查询机软、硬件进行巡检维护，并向采购人提供详尽的巡检维护报告。</w:t>
      </w:r>
    </w:p>
    <w:p w14:paraId="42C4FD23">
      <w:pPr>
        <w:pStyle w:val="4"/>
        <w:ind w:firstLine="480"/>
        <w:jc w:val="both"/>
      </w:pPr>
      <w:r>
        <w:rPr>
          <w:rFonts w:ascii="仿宋_GB2312" w:hAnsi="仿宋_GB2312" w:eastAsia="仿宋_GB2312" w:cs="仿宋_GB2312"/>
          <w:sz w:val="24"/>
        </w:rPr>
        <w:t>5、在保证系统稳定性前提下，根据业务发展需要，投标人对现有投注机、自助中奖查询机进行软件升级时，不能影响正常的彩票销售及兑奖查询。</w:t>
      </w:r>
    </w:p>
    <w:p w14:paraId="44BFE875">
      <w:pPr>
        <w:pStyle w:val="4"/>
        <w:ind w:firstLine="480"/>
        <w:jc w:val="both"/>
      </w:pPr>
      <w:r>
        <w:rPr>
          <w:rFonts w:ascii="仿宋_GB2312" w:hAnsi="仿宋_GB2312" w:eastAsia="仿宋_GB2312" w:cs="仿宋_GB2312"/>
          <w:sz w:val="24"/>
        </w:rPr>
        <w:t>6、投标人提供一站式服务，保证故障响应时间不超过2小时，到达现场时间市区不超过4小时，偏远地区到达现场时间不超过24小时；保证投注机及自助中奖查询机故障12小时内排除（偏远地区保证故障24小时内排除），若中标人不能在12小时（偏远地市24小时）内解决问题，必须向故障站点提供相关的备用机。</w:t>
      </w:r>
    </w:p>
    <w:p w14:paraId="52372727">
      <w:pPr>
        <w:pStyle w:val="4"/>
        <w:ind w:firstLine="480"/>
        <w:jc w:val="both"/>
      </w:pPr>
      <w:r>
        <w:rPr>
          <w:rFonts w:ascii="仿宋_GB2312" w:hAnsi="仿宋_GB2312" w:eastAsia="仿宋_GB2312" w:cs="仿宋_GB2312"/>
          <w:sz w:val="24"/>
        </w:rPr>
        <w:t>7、投标人保证维护更换过设备的投注机、自助中奖查询机的正常使用，并能无缝接入采购人现有彩票销售系统。</w:t>
      </w:r>
    </w:p>
    <w:p w14:paraId="410C8D9D">
      <w:pPr>
        <w:pStyle w:val="4"/>
        <w:ind w:firstLine="480"/>
        <w:jc w:val="both"/>
      </w:pPr>
      <w:r>
        <w:rPr>
          <w:rFonts w:ascii="仿宋_GB2312" w:hAnsi="仿宋_GB2312" w:eastAsia="仿宋_GB2312" w:cs="仿宋_GB2312"/>
          <w:sz w:val="24"/>
        </w:rPr>
        <w:t>8、若采购人的投注机、自助中奖查询机等终端设备因洪水、地震等非人为因素及自然灾害造成的损失，投标人将负责免费维修，但更换配件费用由采购人负责。</w:t>
      </w:r>
    </w:p>
    <w:p w14:paraId="5D584E82">
      <w:pPr>
        <w:pStyle w:val="4"/>
        <w:ind w:firstLine="480"/>
        <w:jc w:val="both"/>
      </w:pPr>
      <w:r>
        <w:rPr>
          <w:rFonts w:ascii="仿宋_GB2312" w:hAnsi="仿宋_GB2312" w:eastAsia="仿宋_GB2312" w:cs="仿宋_GB2312"/>
          <w:sz w:val="24"/>
        </w:rPr>
        <w:t>9、投标人为采购人提供的维护手段根据故障大小可包括电话支持、远程维护和现场维护等，以投注机恢复正常销售为结果。</w:t>
      </w:r>
    </w:p>
    <w:p w14:paraId="226B30E1">
      <w:pPr>
        <w:pStyle w:val="4"/>
        <w:ind w:firstLine="480"/>
        <w:jc w:val="both"/>
      </w:pPr>
      <w:r>
        <w:rPr>
          <w:rFonts w:ascii="仿宋_GB2312" w:hAnsi="仿宋_GB2312" w:eastAsia="仿宋_GB2312" w:cs="仿宋_GB2312"/>
          <w:sz w:val="24"/>
        </w:rPr>
        <w:t>10、因投标人方维护人员操作失误、技术方案或施工缺陷给采购人带来经济损失，投标人方必须承担一切损失，并有义务配合采购人将影响降到最小。</w:t>
      </w:r>
    </w:p>
    <w:p w14:paraId="25D17E12">
      <w:pPr>
        <w:pStyle w:val="4"/>
        <w:ind w:firstLine="480"/>
        <w:jc w:val="both"/>
      </w:pPr>
      <w:r>
        <w:rPr>
          <w:rFonts w:ascii="仿宋_GB2312" w:hAnsi="仿宋_GB2312" w:eastAsia="仿宋_GB2312" w:cs="仿宋_GB2312"/>
          <w:sz w:val="24"/>
        </w:rPr>
        <w:t>11、投标人在服务期内对福彩投注机维护服务工作需有详细过程资料：如日常维护登记、配件库存清单登记、地市配件签收交接登记,季、年度维护报告及提升服务的建议,采购人有权随时监督抽查。</w:t>
      </w:r>
    </w:p>
    <w:p w14:paraId="4ECFB3BF">
      <w:pPr>
        <w:pStyle w:val="4"/>
        <w:ind w:firstLine="480"/>
        <w:jc w:val="both"/>
      </w:pPr>
      <w:r>
        <w:rPr>
          <w:rFonts w:ascii="仿宋_GB2312" w:hAnsi="仿宋_GB2312" w:eastAsia="仿宋_GB2312" w:cs="仿宋_GB2312"/>
          <w:sz w:val="24"/>
        </w:rPr>
        <w:t>12、投标人在服务期内提供的服务，接受省中心和地市各中心的监督和绩效考评。</w:t>
      </w:r>
    </w:p>
    <w:p w14:paraId="5232F65E">
      <w:pPr>
        <w:pStyle w:val="4"/>
      </w:pPr>
      <w:r>
        <w:rPr>
          <w:rFonts w:ascii="仿宋_GB2312" w:hAnsi="仿宋_GB2312" w:eastAsia="仿宋_GB2312" w:cs="仿宋_GB2312"/>
          <w:b/>
          <w:sz w:val="24"/>
        </w:rPr>
        <w:t>五、商务要求</w:t>
      </w:r>
    </w:p>
    <w:p w14:paraId="6080C631">
      <w:pPr>
        <w:pStyle w:val="4"/>
        <w:ind w:firstLine="480"/>
        <w:jc w:val="both"/>
      </w:pPr>
      <w:r>
        <w:rPr>
          <w:rFonts w:ascii="仿宋_GB2312" w:hAnsi="仿宋_GB2312" w:eastAsia="仿宋_GB2312" w:cs="仿宋_GB2312"/>
          <w:sz w:val="24"/>
        </w:rPr>
        <w:t>在项目运维期间，产生的一切费用及责任均由中标人承担。（提供承诺函，格式自拟）。</w:t>
      </w:r>
    </w:p>
    <w:p w14:paraId="46B1A398">
      <w:pPr>
        <w:pStyle w:val="4"/>
      </w:pPr>
      <w:r>
        <w:rPr>
          <w:rFonts w:ascii="仿宋_GB2312" w:hAnsi="仿宋_GB2312" w:eastAsia="仿宋_GB2312" w:cs="仿宋_GB2312"/>
          <w:b/>
          <w:sz w:val="24"/>
        </w:rPr>
        <w:t>六、验收要求：</w:t>
      </w:r>
    </w:p>
    <w:p w14:paraId="2277DF97">
      <w:pPr>
        <w:pStyle w:val="4"/>
        <w:ind w:firstLine="480"/>
        <w:jc w:val="both"/>
      </w:pPr>
      <w:r>
        <w:rPr>
          <w:rFonts w:ascii="仿宋_GB2312" w:hAnsi="仿宋_GB2312" w:eastAsia="仿宋_GB2312" w:cs="仿宋_GB2312"/>
          <w:sz w:val="24"/>
        </w:rPr>
        <w:t>1、投标人应按招标文件规定及投标文件承诺的服务要求、质量标准向甲方提供服务;若无特殊说明，则按国家有关部门最新颁布的标准及规范为准。</w:t>
      </w:r>
    </w:p>
    <w:p w14:paraId="6194FC73">
      <w:pPr>
        <w:pStyle w:val="4"/>
        <w:ind w:firstLine="480"/>
        <w:jc w:val="both"/>
      </w:pPr>
      <w:r>
        <w:rPr>
          <w:rFonts w:ascii="仿宋_GB2312" w:hAnsi="仿宋_GB2312" w:eastAsia="仿宋_GB2312" w:cs="仿宋_GB2312"/>
          <w:sz w:val="24"/>
        </w:rPr>
        <w:t>2、投标人应保证其提供的服务是全面和规范的，并完全符合招投标文件。如因投标人提供的服务有瑕疵造成甲方损失的，所需费用由投标人承担。</w:t>
      </w:r>
    </w:p>
    <w:p w14:paraId="3BF4F95E">
      <w:pPr>
        <w:pStyle w:val="4"/>
        <w:ind w:firstLine="480"/>
        <w:jc w:val="both"/>
      </w:pPr>
      <w:r>
        <w:rPr>
          <w:rFonts w:ascii="仿宋_GB2312" w:hAnsi="仿宋_GB2312" w:eastAsia="仿宋_GB2312" w:cs="仿宋_GB2312"/>
          <w:sz w:val="24"/>
        </w:rPr>
        <w:t>3、合同履行期内，投标人应对所提供服务出现的质量及安全问题负责处理解决并承担一切费用。</w:t>
      </w:r>
    </w:p>
    <w:p w14:paraId="7850F201">
      <w:pPr>
        <w:pStyle w:val="4"/>
        <w:ind w:firstLine="480"/>
        <w:jc w:val="both"/>
      </w:pPr>
      <w:r>
        <w:rPr>
          <w:rFonts w:ascii="仿宋_GB2312" w:hAnsi="仿宋_GB2312" w:eastAsia="仿宋_GB2312" w:cs="仿宋_GB2312"/>
          <w:sz w:val="24"/>
        </w:rPr>
        <w:t>4、技术履约验收内容:按招标文件、投标文件等服务指标进行逐项验收，各项指标均应符合验收标准及要求。</w:t>
      </w:r>
    </w:p>
    <w:p w14:paraId="7BC6A3C7">
      <w:pPr>
        <w:pStyle w:val="4"/>
        <w:ind w:firstLine="480"/>
        <w:jc w:val="both"/>
      </w:pPr>
      <w:r>
        <w:rPr>
          <w:rFonts w:ascii="仿宋_GB2312" w:hAnsi="仿宋_GB2312" w:eastAsia="仿宋_GB2312" w:cs="仿宋_GB2312"/>
          <w:sz w:val="24"/>
        </w:rPr>
        <w:t>5、履约验收标准:根据国家相关的规范及行业验收规范标准执行及《财政部关于进一步加强政府采购需求和覆约验收管理的指导意见》(财库[2016]205号)文件的规定、验收由采购人组织相关单位及专家组成验收组进行。验收标准按招标文件规定的要求和投标文件及合同承诺的内容进行验收。</w:t>
      </w:r>
    </w:p>
    <w:p w14:paraId="100EEF3E">
      <w:pPr>
        <w:pStyle w:val="4"/>
        <w:ind w:firstLine="480"/>
        <w:jc w:val="both"/>
      </w:pPr>
      <w:r>
        <w:rPr>
          <w:rFonts w:ascii="仿宋_GB2312" w:hAnsi="仿宋_GB2312" w:eastAsia="仿宋_GB2312" w:cs="仿宋_GB2312"/>
          <w:sz w:val="24"/>
        </w:rPr>
        <w:t>6、履约验收其他事项:项目验收由采购人组织专家组对项目进行验收，验收时，投标人应无条件予以配合并提供所需的全部资料。</w:t>
      </w:r>
    </w:p>
    <w:p w14:paraId="0B4586FC">
      <w:pPr>
        <w:pStyle w:val="4"/>
      </w:pPr>
      <w:r>
        <w:rPr>
          <w:rFonts w:ascii="仿宋_GB2312" w:hAnsi="仿宋_GB2312" w:eastAsia="仿宋_GB2312" w:cs="仿宋_GB2312"/>
          <w:b/>
          <w:sz w:val="24"/>
        </w:rPr>
        <w:t>七、项目考核标准</w:t>
      </w:r>
    </w:p>
    <w:p w14:paraId="367EB40F">
      <w:pPr>
        <w:pStyle w:val="4"/>
        <w:ind w:firstLine="480"/>
        <w:jc w:val="both"/>
      </w:pPr>
      <w:r>
        <w:rPr>
          <w:rFonts w:ascii="仿宋_GB2312" w:hAnsi="仿宋_GB2312" w:eastAsia="仿宋_GB2312" w:cs="仿宋_GB2312"/>
          <w:sz w:val="24"/>
        </w:rPr>
        <w:t>投注终端服务质量考评办法</w:t>
      </w:r>
    </w:p>
    <w:p w14:paraId="54BE7944">
      <w:pPr>
        <w:pStyle w:val="4"/>
        <w:ind w:firstLine="480"/>
        <w:jc w:val="both"/>
      </w:pPr>
      <w:r>
        <w:rPr>
          <w:rFonts w:ascii="仿宋_GB2312" w:hAnsi="仿宋_GB2312" w:eastAsia="仿宋_GB2312" w:cs="仿宋_GB2312"/>
          <w:sz w:val="24"/>
        </w:rPr>
        <w:t>1、项目服务质量考评</w:t>
      </w:r>
    </w:p>
    <w:p w14:paraId="34E13E0A">
      <w:pPr>
        <w:pStyle w:val="4"/>
        <w:ind w:firstLine="480"/>
        <w:jc w:val="both"/>
      </w:pPr>
      <w:r>
        <w:rPr>
          <w:rFonts w:ascii="仿宋_GB2312" w:hAnsi="仿宋_GB2312" w:eastAsia="仿宋_GB2312" w:cs="仿宋_GB2312"/>
          <w:sz w:val="24"/>
        </w:rPr>
        <w:t>以招标文件、投标文件及合同约定的服务要求和验收标准为核心，围绕服务规范性、及时性、有效性及履约完整性开展考核，兼顾过程监督与结果评估，确保服务质量达标。</w:t>
      </w:r>
    </w:p>
    <w:p w14:paraId="05CCB836">
      <w:pPr>
        <w:pStyle w:val="4"/>
        <w:ind w:firstLine="480"/>
        <w:jc w:val="both"/>
      </w:pPr>
      <w:r>
        <w:rPr>
          <w:rFonts w:ascii="仿宋_GB2312" w:hAnsi="仿宋_GB2312" w:eastAsia="仿宋_GB2312" w:cs="仿宋_GB2312"/>
          <w:sz w:val="24"/>
        </w:rPr>
        <w:t>2、维护服务执行情况考核（80分）</w:t>
      </w:r>
    </w:p>
    <w:p w14:paraId="0818DF63">
      <w:pPr>
        <w:pStyle w:val="4"/>
        <w:ind w:firstLine="480"/>
        <w:jc w:val="both"/>
      </w:pPr>
      <w:r>
        <w:rPr>
          <w:rFonts w:ascii="仿宋_GB2312" w:hAnsi="仿宋_GB2312" w:eastAsia="仿宋_GB2312" w:cs="仿宋_GB2312"/>
          <w:sz w:val="24"/>
        </w:rPr>
        <w:t>（1）能认真按服务要求完成投注终端日常维护工作，规范投注终端软件升级操作，未出现由于维护人员操作失误、设计失误等人为因素导致的重大安全事故（大范围造成投注终端业务系统中断1个小时以上）。（25分）</w:t>
      </w:r>
    </w:p>
    <w:p w14:paraId="197C0501">
      <w:pPr>
        <w:pStyle w:val="4"/>
        <w:ind w:firstLine="480"/>
        <w:jc w:val="both"/>
      </w:pPr>
      <w:r>
        <w:rPr>
          <w:rFonts w:ascii="仿宋_GB2312" w:hAnsi="仿宋_GB2312" w:eastAsia="仿宋_GB2312" w:cs="仿宋_GB2312"/>
          <w:sz w:val="24"/>
        </w:rPr>
        <w:t>（2）维护服务期内，能及时响应投注终端系统和硬件故障，故障响应时间≤2小时；故障排除市区故障排除时间≤12小时，偏远地区≤24小时；未按时解决时提供备用机。不得以任何借口拖延解决时间。（15分）</w:t>
      </w:r>
    </w:p>
    <w:p w14:paraId="59BDE51F">
      <w:pPr>
        <w:pStyle w:val="4"/>
        <w:ind w:firstLine="480"/>
        <w:jc w:val="both"/>
      </w:pPr>
      <w:r>
        <w:rPr>
          <w:rFonts w:ascii="仿宋_GB2312" w:hAnsi="仿宋_GB2312" w:eastAsia="仿宋_GB2312" w:cs="仿宋_GB2312"/>
          <w:sz w:val="24"/>
        </w:rPr>
        <w:t>（3）定期巡检，每年2次全省终端设备巡检，巡检范围必须包含每个正常销售站点，并按要求提交巡检记录和销售人员确认记录。（20分）</w:t>
      </w:r>
    </w:p>
    <w:p w14:paraId="0EE5FA3C">
      <w:pPr>
        <w:pStyle w:val="4"/>
        <w:ind w:firstLine="480"/>
        <w:jc w:val="both"/>
      </w:pPr>
      <w:r>
        <w:rPr>
          <w:rFonts w:ascii="仿宋_GB2312" w:hAnsi="仿宋_GB2312" w:eastAsia="仿宋_GB2312" w:cs="仿宋_GB2312"/>
          <w:sz w:val="24"/>
        </w:rPr>
        <w:t>（4）配件库保障，省级配件库备件充足，地市分库按申请及时发货。（10分）</w:t>
      </w:r>
    </w:p>
    <w:p w14:paraId="5740C125">
      <w:pPr>
        <w:pStyle w:val="4"/>
        <w:ind w:firstLine="480"/>
        <w:jc w:val="both"/>
      </w:pPr>
      <w:r>
        <w:rPr>
          <w:rFonts w:ascii="仿宋_GB2312" w:hAnsi="仿宋_GB2312" w:eastAsia="仿宋_GB2312" w:cs="仿宋_GB2312"/>
          <w:sz w:val="24"/>
        </w:rPr>
        <w:t>（5）中标人在服务期内，为技术人员、站点销售人员提供技术培训服务（以培训材料和培训采购人签到等记录为凭）。（5分）</w:t>
      </w:r>
    </w:p>
    <w:p w14:paraId="6EBA248B">
      <w:pPr>
        <w:pStyle w:val="4"/>
        <w:ind w:firstLine="480"/>
        <w:jc w:val="both"/>
      </w:pPr>
      <w:r>
        <w:rPr>
          <w:rFonts w:ascii="仿宋_GB2312" w:hAnsi="仿宋_GB2312" w:eastAsia="仿宋_GB2312" w:cs="仿宋_GB2312"/>
          <w:sz w:val="24"/>
        </w:rPr>
        <w:t>（6）必须保证过程资料真实性和完整性，如维护报告、需求响应文档、日常维护登记、配件库存清单、地市配件签收交接登记、巡检记录等过程资料。（5分）</w:t>
      </w:r>
    </w:p>
    <w:p w14:paraId="35B1FCE7">
      <w:pPr>
        <w:pStyle w:val="4"/>
        <w:ind w:firstLine="480"/>
        <w:jc w:val="both"/>
      </w:pPr>
      <w:r>
        <w:rPr>
          <w:rFonts w:ascii="仿宋_GB2312" w:hAnsi="仿宋_GB2312" w:eastAsia="仿宋_GB2312" w:cs="仿宋_GB2312"/>
          <w:sz w:val="24"/>
        </w:rPr>
        <w:t>3、中标人员管理机制考核（20分）</w:t>
      </w:r>
    </w:p>
    <w:p w14:paraId="3CDDB510">
      <w:pPr>
        <w:pStyle w:val="4"/>
        <w:ind w:firstLine="480"/>
        <w:jc w:val="both"/>
      </w:pPr>
      <w:r>
        <w:rPr>
          <w:rFonts w:ascii="仿宋_GB2312" w:hAnsi="仿宋_GB2312" w:eastAsia="仿宋_GB2312" w:cs="仿宋_GB2312"/>
          <w:sz w:val="24"/>
        </w:rPr>
        <w:t>（1）中标人维护人员须严格保证采购人数据的安全性，严禁发生泄露采购人机密数据或恶意攻击采购人数据等违法行为。（10分）</w:t>
      </w:r>
    </w:p>
    <w:p w14:paraId="2FB10950">
      <w:pPr>
        <w:pStyle w:val="4"/>
        <w:ind w:firstLine="480"/>
        <w:jc w:val="both"/>
      </w:pPr>
      <w:r>
        <w:rPr>
          <w:rFonts w:ascii="仿宋_GB2312" w:hAnsi="仿宋_GB2312" w:eastAsia="仿宋_GB2312" w:cs="仿宋_GB2312"/>
          <w:sz w:val="24"/>
        </w:rPr>
        <w:t>（2）用户对服务过程中服务态度、服务质量差的现象以书面或电话的形式向中标人进行投诉，经查证投诉属实，中标人应立即进行整改，并将整改结果反馈采购人方。（10分）</w:t>
      </w:r>
    </w:p>
    <w:p w14:paraId="63776E1C">
      <w:pPr>
        <w:pStyle w:val="4"/>
        <w:ind w:firstLine="480"/>
        <w:jc w:val="both"/>
      </w:pPr>
      <w:r>
        <w:rPr>
          <w:rFonts w:ascii="仿宋_GB2312" w:hAnsi="仿宋_GB2312" w:eastAsia="仿宋_GB2312" w:cs="仿宋_GB2312"/>
          <w:sz w:val="24"/>
        </w:rPr>
        <w:t>注：以上服务质量考核得分结果，作为甲方支付给乙方服务尾款合同总价的20%的支付依据：</w:t>
      </w:r>
    </w:p>
    <w:p w14:paraId="2F944BDF">
      <w:pPr>
        <w:pStyle w:val="4"/>
        <w:ind w:firstLine="480"/>
        <w:jc w:val="both"/>
      </w:pPr>
      <w:r>
        <w:rPr>
          <w:rFonts w:ascii="仿宋_GB2312" w:hAnsi="仿宋_GB2312" w:eastAsia="仿宋_GB2312" w:cs="仿宋_GB2312"/>
          <w:sz w:val="24"/>
        </w:rPr>
        <w:t>（一）考核结果达到90分（含90）-100分，支付合同总价的20%；</w:t>
      </w:r>
    </w:p>
    <w:p w14:paraId="721137A0">
      <w:pPr>
        <w:pStyle w:val="4"/>
        <w:ind w:firstLine="480"/>
        <w:jc w:val="both"/>
      </w:pPr>
      <w:r>
        <w:rPr>
          <w:rFonts w:ascii="仿宋_GB2312" w:hAnsi="仿宋_GB2312" w:eastAsia="仿宋_GB2312" w:cs="仿宋_GB2312"/>
          <w:sz w:val="24"/>
        </w:rPr>
        <w:t>（二）考核结果达到80分（含80）-90分，支付合同总价的15%；</w:t>
      </w:r>
    </w:p>
    <w:p w14:paraId="75E817FD">
      <w:pPr>
        <w:rPr>
          <w:rFonts w:ascii="仿宋_GB2312" w:hAnsi="仿宋_GB2312" w:eastAsia="仿宋_GB2312" w:cs="仿宋_GB2312"/>
          <w:sz w:val="24"/>
        </w:rPr>
      </w:pPr>
      <w:r>
        <w:rPr>
          <w:rFonts w:ascii="仿宋_GB2312" w:hAnsi="仿宋_GB2312" w:eastAsia="仿宋_GB2312" w:cs="仿宋_GB2312"/>
          <w:sz w:val="24"/>
        </w:rPr>
        <w:t>（三）考核结果低于80分，支付合同总价的10%。</w:t>
      </w:r>
    </w:p>
    <w:p w14:paraId="232F44AE">
      <w:pPr>
        <w:pStyle w:val="4"/>
        <w:rPr>
          <w:rFonts w:ascii="仿宋_GB2312" w:hAnsi="仿宋_GB2312" w:eastAsia="仿宋_GB2312" w:cs="仿宋_GB2312"/>
        </w:rPr>
      </w:pPr>
    </w:p>
    <w:p w14:paraId="7EE564B3">
      <w:pPr>
        <w:pStyle w:val="4"/>
        <w:rPr>
          <w:b/>
          <w:bCs/>
          <w:sz w:val="28"/>
          <w:szCs w:val="28"/>
        </w:rPr>
      </w:pPr>
      <w:r>
        <w:rPr>
          <w:rFonts w:ascii="仿宋_GB2312" w:hAnsi="仿宋_GB2312" w:eastAsia="仿宋_GB2312" w:cs="仿宋_GB2312"/>
          <w:b/>
          <w:bCs/>
          <w:sz w:val="28"/>
          <w:szCs w:val="28"/>
        </w:rPr>
        <w:t>采购包2：</w:t>
      </w:r>
    </w:p>
    <w:p w14:paraId="5BBA6F28">
      <w:pPr>
        <w:pStyle w:val="4"/>
        <w:jc w:val="both"/>
        <w:outlineLvl w:val="0"/>
      </w:pPr>
      <w:r>
        <w:rPr>
          <w:rFonts w:ascii="仿宋_GB2312" w:hAnsi="仿宋_GB2312" w:eastAsia="仿宋_GB2312" w:cs="仿宋_GB2312"/>
          <w:b/>
          <w:sz w:val="24"/>
        </w:rPr>
        <w:t>一、项目背景和服务要求</w:t>
      </w:r>
    </w:p>
    <w:p w14:paraId="4BD97B0B">
      <w:pPr>
        <w:pStyle w:val="4"/>
        <w:ind w:firstLine="480"/>
        <w:jc w:val="both"/>
      </w:pPr>
      <w:r>
        <w:rPr>
          <w:rFonts w:ascii="仿宋_GB2312" w:hAnsi="仿宋_GB2312" w:eastAsia="仿宋_GB2312" w:cs="仿宋_GB2312"/>
          <w:sz w:val="24"/>
        </w:rPr>
        <w:t>小型投注终端是作为传统投注终端的一种补充，分布在与传统投注站之外的社会化兼营渠道中，目前全省小型投注终端近2000台。为确保投注设备稳定运行，需要向有专业技术能力的投标人采购维修维护服务。</w:t>
      </w:r>
    </w:p>
    <w:p w14:paraId="4C5E17CB">
      <w:pPr>
        <w:pStyle w:val="4"/>
      </w:pPr>
      <w:r>
        <w:rPr>
          <w:rFonts w:ascii="仿宋_GB2312" w:hAnsi="仿宋_GB2312" w:eastAsia="仿宋_GB2312" w:cs="仿宋_GB2312"/>
          <w:b/>
          <w:sz w:val="24"/>
        </w:rPr>
        <w:t>二、项目内容</w:t>
      </w:r>
    </w:p>
    <w:p w14:paraId="2930B15C">
      <w:pPr>
        <w:pStyle w:val="4"/>
        <w:jc w:val="both"/>
        <w:outlineLvl w:val="1"/>
      </w:pPr>
      <w:r>
        <w:rPr>
          <w:rFonts w:ascii="仿宋_GB2312" w:hAnsi="仿宋_GB2312" w:eastAsia="仿宋_GB2312" w:cs="仿宋_GB2312"/>
          <w:b/>
          <w:sz w:val="24"/>
        </w:rPr>
        <w:t>1.1维保设备清单</w:t>
      </w:r>
      <w:r>
        <w:br w:type="textWrapping"/>
      </w:r>
      <w:r>
        <w:rPr>
          <w:rFonts w:ascii="仿宋_GB2312" w:hAnsi="仿宋_GB2312" w:eastAsia="仿宋_GB2312" w:cs="仿宋_GB2312"/>
          <w:b/>
          <w:sz w:val="36"/>
        </w:rPr>
        <w:t xml:space="preserve">  </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07"/>
        <w:gridCol w:w="2163"/>
        <w:gridCol w:w="3144"/>
        <w:gridCol w:w="1999"/>
      </w:tblGrid>
      <w:tr w14:paraId="08442D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AC30E7">
            <w:pPr>
              <w:pStyle w:val="4"/>
              <w:jc w:val="both"/>
            </w:pPr>
            <w:r>
              <w:rPr>
                <w:rFonts w:ascii="仿宋_GB2312" w:hAnsi="仿宋_GB2312" w:eastAsia="仿宋_GB2312" w:cs="仿宋_GB2312"/>
                <w:sz w:val="24"/>
              </w:rPr>
              <w:t>序号</w:t>
            </w:r>
          </w:p>
        </w:tc>
        <w:tc>
          <w:tcPr>
            <w:tcW w:w="127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7B7C15">
            <w:pPr>
              <w:pStyle w:val="4"/>
              <w:jc w:val="both"/>
            </w:pPr>
            <w:r>
              <w:rPr>
                <w:rFonts w:ascii="仿宋_GB2312" w:hAnsi="仿宋_GB2312" w:eastAsia="仿宋_GB2312" w:cs="仿宋_GB2312"/>
                <w:sz w:val="24"/>
              </w:rPr>
              <w:t>设备名称</w:t>
            </w:r>
          </w:p>
        </w:tc>
        <w:tc>
          <w:tcPr>
            <w:tcW w:w="184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DCB46F">
            <w:pPr>
              <w:pStyle w:val="4"/>
              <w:jc w:val="both"/>
            </w:pPr>
            <w:r>
              <w:rPr>
                <w:rFonts w:ascii="仿宋_GB2312" w:hAnsi="仿宋_GB2312" w:eastAsia="仿宋_GB2312" w:cs="仿宋_GB2312"/>
                <w:sz w:val="24"/>
              </w:rPr>
              <w:t>型号</w:t>
            </w:r>
          </w:p>
        </w:tc>
        <w:tc>
          <w:tcPr>
            <w:tcW w:w="11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1BBD7C">
            <w:pPr>
              <w:pStyle w:val="4"/>
              <w:jc w:val="both"/>
            </w:pPr>
            <w:r>
              <w:rPr>
                <w:rFonts w:ascii="仿宋_GB2312" w:hAnsi="仿宋_GB2312" w:eastAsia="仿宋_GB2312" w:cs="仿宋_GB2312"/>
                <w:sz w:val="24"/>
              </w:rPr>
              <w:t>数量</w:t>
            </w:r>
          </w:p>
        </w:tc>
      </w:tr>
      <w:tr w14:paraId="13436D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041508">
            <w:pPr>
              <w:pStyle w:val="4"/>
              <w:numPr>
                <w:ilvl w:val="0"/>
                <w:numId w:val="1"/>
              </w:numPr>
            </w:pPr>
          </w:p>
        </w:tc>
        <w:tc>
          <w:tcPr>
            <w:tcW w:w="12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F593DB">
            <w:pPr>
              <w:pStyle w:val="4"/>
              <w:jc w:val="both"/>
            </w:pPr>
            <w:r>
              <w:rPr>
                <w:rFonts w:ascii="仿宋_GB2312" w:hAnsi="仿宋_GB2312" w:eastAsia="仿宋_GB2312" w:cs="仿宋_GB2312"/>
                <w:sz w:val="24"/>
              </w:rPr>
              <w:t>小型投注终端</w:t>
            </w:r>
          </w:p>
        </w:tc>
        <w:tc>
          <w:tcPr>
            <w:tcW w:w="1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738392">
            <w:pPr>
              <w:pStyle w:val="4"/>
              <w:jc w:val="both"/>
            </w:pPr>
            <w:r>
              <w:rPr>
                <w:rFonts w:ascii="仿宋_GB2312" w:hAnsi="仿宋_GB2312" w:eastAsia="仿宋_GB2312" w:cs="仿宋_GB2312"/>
                <w:sz w:val="24"/>
              </w:rPr>
              <w:t>TBC-100L</w:t>
            </w:r>
          </w:p>
        </w:tc>
        <w:tc>
          <w:tcPr>
            <w:tcW w:w="11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CB3F42">
            <w:pPr>
              <w:pStyle w:val="4"/>
              <w:jc w:val="both"/>
            </w:pPr>
            <w:r>
              <w:rPr>
                <w:rFonts w:ascii="仿宋_GB2312" w:hAnsi="仿宋_GB2312" w:eastAsia="仿宋_GB2312" w:cs="仿宋_GB2312"/>
                <w:sz w:val="24"/>
              </w:rPr>
              <w:t>945台</w:t>
            </w:r>
          </w:p>
        </w:tc>
      </w:tr>
      <w:tr w14:paraId="6867E5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402A59">
            <w:pPr>
              <w:pStyle w:val="4"/>
              <w:numPr>
                <w:ilvl w:val="0"/>
                <w:numId w:val="1"/>
              </w:numPr>
            </w:pPr>
          </w:p>
        </w:tc>
        <w:tc>
          <w:tcPr>
            <w:tcW w:w="12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10563C">
            <w:pPr>
              <w:pStyle w:val="4"/>
              <w:jc w:val="both"/>
            </w:pPr>
            <w:r>
              <w:rPr>
                <w:rFonts w:ascii="仿宋_GB2312" w:hAnsi="仿宋_GB2312" w:eastAsia="仿宋_GB2312" w:cs="仿宋_GB2312"/>
                <w:sz w:val="24"/>
              </w:rPr>
              <w:t>单屏小型投注终端</w:t>
            </w:r>
          </w:p>
        </w:tc>
        <w:tc>
          <w:tcPr>
            <w:tcW w:w="1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97B6E">
            <w:pPr>
              <w:pStyle w:val="4"/>
              <w:jc w:val="both"/>
            </w:pPr>
            <w:r>
              <w:rPr>
                <w:rFonts w:ascii="仿宋_GB2312" w:hAnsi="仿宋_GB2312" w:eastAsia="仿宋_GB2312" w:cs="仿宋_GB2312"/>
                <w:sz w:val="24"/>
              </w:rPr>
              <w:t>TBC-100</w:t>
            </w:r>
          </w:p>
        </w:tc>
        <w:tc>
          <w:tcPr>
            <w:tcW w:w="11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C1FE0D">
            <w:pPr>
              <w:pStyle w:val="4"/>
              <w:jc w:val="both"/>
            </w:pPr>
            <w:r>
              <w:rPr>
                <w:rFonts w:ascii="仿宋_GB2312" w:hAnsi="仿宋_GB2312" w:eastAsia="仿宋_GB2312" w:cs="仿宋_GB2312"/>
                <w:sz w:val="24"/>
              </w:rPr>
              <w:t>300台</w:t>
            </w:r>
          </w:p>
        </w:tc>
      </w:tr>
      <w:tr w14:paraId="07B88E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65E4A3">
            <w:pPr>
              <w:pStyle w:val="4"/>
              <w:numPr>
                <w:ilvl w:val="0"/>
                <w:numId w:val="1"/>
              </w:numPr>
            </w:pPr>
          </w:p>
        </w:tc>
        <w:tc>
          <w:tcPr>
            <w:tcW w:w="127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739140">
            <w:pPr>
              <w:pStyle w:val="4"/>
              <w:jc w:val="both"/>
            </w:pPr>
            <w:r>
              <w:rPr>
                <w:rFonts w:ascii="仿宋_GB2312" w:hAnsi="仿宋_GB2312" w:eastAsia="仿宋_GB2312" w:cs="仿宋_GB2312"/>
                <w:sz w:val="24"/>
              </w:rPr>
              <w:t>双屏小型投注终端</w:t>
            </w:r>
          </w:p>
        </w:tc>
        <w:tc>
          <w:tcPr>
            <w:tcW w:w="18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94C268">
            <w:pPr>
              <w:pStyle w:val="4"/>
              <w:jc w:val="both"/>
            </w:pPr>
            <w:r>
              <w:rPr>
                <w:rFonts w:ascii="仿宋_GB2312" w:hAnsi="仿宋_GB2312" w:eastAsia="仿宋_GB2312" w:cs="仿宋_GB2312"/>
                <w:sz w:val="24"/>
              </w:rPr>
              <w:t>TBC-200</w:t>
            </w:r>
          </w:p>
        </w:tc>
        <w:tc>
          <w:tcPr>
            <w:tcW w:w="11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19BEAA">
            <w:pPr>
              <w:pStyle w:val="4"/>
              <w:jc w:val="both"/>
            </w:pPr>
            <w:r>
              <w:rPr>
                <w:rFonts w:ascii="仿宋_GB2312" w:hAnsi="仿宋_GB2312" w:eastAsia="仿宋_GB2312" w:cs="仿宋_GB2312"/>
                <w:sz w:val="24"/>
              </w:rPr>
              <w:t>350台</w:t>
            </w:r>
          </w:p>
        </w:tc>
      </w:tr>
      <w:tr w14:paraId="0D0BB6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825" w:type="pct"/>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408AF">
            <w:pPr>
              <w:pStyle w:val="4"/>
              <w:jc w:val="center"/>
            </w:pPr>
            <w:r>
              <w:rPr>
                <w:rFonts w:ascii="仿宋_GB2312" w:hAnsi="仿宋_GB2312" w:eastAsia="仿宋_GB2312" w:cs="仿宋_GB2312"/>
                <w:sz w:val="24"/>
              </w:rPr>
              <w:t>总计</w:t>
            </w:r>
          </w:p>
        </w:tc>
        <w:tc>
          <w:tcPr>
            <w:tcW w:w="11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A89B6">
            <w:pPr>
              <w:pStyle w:val="4"/>
              <w:jc w:val="both"/>
            </w:pPr>
            <w:r>
              <w:rPr>
                <w:rFonts w:ascii="仿宋_GB2312" w:hAnsi="仿宋_GB2312" w:eastAsia="仿宋_GB2312" w:cs="仿宋_GB2312"/>
                <w:sz w:val="24"/>
              </w:rPr>
              <w:t>1595台</w:t>
            </w:r>
          </w:p>
        </w:tc>
      </w:tr>
    </w:tbl>
    <w:p w14:paraId="05166374">
      <w:pPr>
        <w:pStyle w:val="4"/>
        <w:jc w:val="both"/>
        <w:outlineLvl w:val="1"/>
      </w:pPr>
      <w:r>
        <w:rPr>
          <w:rFonts w:ascii="仿宋_GB2312" w:hAnsi="仿宋_GB2312" w:eastAsia="仿宋_GB2312" w:cs="仿宋_GB2312"/>
          <w:b/>
          <w:sz w:val="24"/>
        </w:rPr>
        <w:t>1.2总体服务要求</w:t>
      </w:r>
    </w:p>
    <w:p w14:paraId="366FCFF9">
      <w:pPr>
        <w:pStyle w:val="4"/>
        <w:ind w:firstLine="480"/>
        <w:jc w:val="both"/>
      </w:pPr>
      <w:r>
        <w:rPr>
          <w:rFonts w:ascii="仿宋_GB2312" w:hAnsi="仿宋_GB2312" w:eastAsia="仿宋_GB2312" w:cs="仿宋_GB2312"/>
          <w:sz w:val="24"/>
        </w:rPr>
        <w:t>为满足正常维护工作的需要，投标人应在采购人所在地设有服务团队。定期巡检确认硬件设备运行状况，及时发现硬件设备故障和隐患，并在发生故障时及时响应并排除故障；维护软件系统正常使用，根据需要进行软件系统升级，确保整套系统安全稳定运行；做好与各系统投标人的对接，确保售彩活动有序正常进行。</w:t>
      </w:r>
    </w:p>
    <w:p w14:paraId="49D0AD21">
      <w:pPr>
        <w:pStyle w:val="4"/>
        <w:jc w:val="both"/>
        <w:outlineLvl w:val="1"/>
      </w:pPr>
      <w:r>
        <w:rPr>
          <w:rFonts w:ascii="仿宋_GB2312" w:hAnsi="仿宋_GB2312" w:eastAsia="仿宋_GB2312" w:cs="仿宋_GB2312"/>
          <w:b/>
          <w:sz w:val="24"/>
        </w:rPr>
        <w:t>1.3具体服务要求</w:t>
      </w:r>
    </w:p>
    <w:p w14:paraId="2C4A23EA">
      <w:pPr>
        <w:pStyle w:val="4"/>
        <w:numPr>
          <w:ilvl w:val="1"/>
          <w:numId w:val="2"/>
        </w:numPr>
      </w:pPr>
      <w:r>
        <w:rPr>
          <w:rFonts w:ascii="仿宋_GB2312" w:hAnsi="仿宋_GB2312" w:eastAsia="仿宋_GB2312" w:cs="仿宋_GB2312"/>
          <w:sz w:val="24"/>
        </w:rPr>
        <w:t>在服务期内，对全省提供7×24小时的故障排除服务，在接到设备报修通知后，1小时内回复，市区4小时内到达指定现场排除故障；偏远地区12小时内解决。维护人员持续跟进直到故障排除设备完全恢复正常使用为止。对于无法修复的，负责更换产品或提供备用产品。</w:t>
      </w:r>
    </w:p>
    <w:p w14:paraId="444524ED">
      <w:pPr>
        <w:pStyle w:val="4"/>
        <w:numPr>
          <w:ilvl w:val="1"/>
          <w:numId w:val="2"/>
        </w:numPr>
        <w:jc w:val="both"/>
      </w:pPr>
      <w:r>
        <w:rPr>
          <w:rFonts w:ascii="仿宋_GB2312" w:hAnsi="仿宋_GB2312" w:eastAsia="仿宋_GB2312" w:cs="仿宋_GB2312"/>
          <w:sz w:val="24"/>
        </w:rPr>
        <w:t>投标人需设有设备、备件存储仓库。确保可及时更换，对于不能修复的终端产品由投标人协调厂家进行更换，所产生相关费用均由投标人承担。</w:t>
      </w:r>
    </w:p>
    <w:p w14:paraId="2FC05C1F">
      <w:pPr>
        <w:pStyle w:val="4"/>
        <w:numPr>
          <w:ilvl w:val="1"/>
          <w:numId w:val="2"/>
        </w:numPr>
        <w:jc w:val="both"/>
      </w:pPr>
      <w:r>
        <w:rPr>
          <w:rFonts w:ascii="仿宋_GB2312" w:hAnsi="仿宋_GB2312" w:eastAsia="仿宋_GB2312" w:cs="仿宋_GB2312"/>
          <w:sz w:val="24"/>
        </w:rPr>
        <w:t>如有更换部件必须是原厂正品，更换部件的质保不以服务期终止为准。</w:t>
      </w:r>
    </w:p>
    <w:p w14:paraId="0AB8EBC2">
      <w:pPr>
        <w:pStyle w:val="4"/>
        <w:numPr>
          <w:ilvl w:val="1"/>
          <w:numId w:val="2"/>
        </w:numPr>
        <w:jc w:val="both"/>
      </w:pPr>
      <w:r>
        <w:rPr>
          <w:rFonts w:ascii="仿宋_GB2312" w:hAnsi="仿宋_GB2312" w:eastAsia="仿宋_GB2312" w:cs="仿宋_GB2312"/>
          <w:sz w:val="24"/>
        </w:rPr>
        <w:t>服务期内保证投注机与行业安全认证系统、社会化渠道管理平台系统、销售系统、站点综合安全接入系统实现无缝对接，随时同各系统投标人进行对接，解决系统衔接故障问题，保证售彩活动正常进行。</w:t>
      </w:r>
    </w:p>
    <w:p w14:paraId="63BEC0C4">
      <w:pPr>
        <w:pStyle w:val="4"/>
        <w:numPr>
          <w:ilvl w:val="1"/>
          <w:numId w:val="2"/>
        </w:numPr>
        <w:jc w:val="both"/>
      </w:pPr>
      <w:r>
        <w:rPr>
          <w:rFonts w:ascii="仿宋_GB2312" w:hAnsi="仿宋_GB2312" w:eastAsia="仿宋_GB2312" w:cs="仿宋_GB2312"/>
          <w:sz w:val="24"/>
        </w:rPr>
        <w:t>定期对全省便捷终端开展检查维护，对发现的问题和隐患及时解决和采取防范措施，每年向采购人提交年中及年度两份维护服务报告。</w:t>
      </w:r>
    </w:p>
    <w:p w14:paraId="6F0F1657">
      <w:pPr>
        <w:pStyle w:val="4"/>
        <w:numPr>
          <w:ilvl w:val="1"/>
          <w:numId w:val="2"/>
        </w:numPr>
        <w:jc w:val="both"/>
      </w:pPr>
      <w:r>
        <w:rPr>
          <w:rFonts w:ascii="仿宋_GB2312" w:hAnsi="仿宋_GB2312" w:eastAsia="仿宋_GB2312" w:cs="仿宋_GB2312"/>
          <w:sz w:val="24"/>
        </w:rPr>
        <w:t>根据采购人需求进行软件升级与增强，较大改动的软件升级与增强必须先进行测试试点工作，经采购人书面同意后方可大面积推广。</w:t>
      </w:r>
    </w:p>
    <w:p w14:paraId="72D882A2">
      <w:pPr>
        <w:pStyle w:val="4"/>
        <w:numPr>
          <w:ilvl w:val="1"/>
          <w:numId w:val="2"/>
        </w:numPr>
        <w:jc w:val="both"/>
      </w:pPr>
      <w:r>
        <w:rPr>
          <w:rFonts w:ascii="仿宋_GB2312" w:hAnsi="仿宋_GB2312" w:eastAsia="仿宋_GB2312" w:cs="仿宋_GB2312"/>
          <w:sz w:val="24"/>
        </w:rPr>
        <w:t>依据技术支持积极主动的原则，将定期对采购人的网络系统进行检测工作，以预防一部分系统故障的发生。</w:t>
      </w:r>
    </w:p>
    <w:p w14:paraId="55B87053">
      <w:pPr>
        <w:pStyle w:val="4"/>
        <w:numPr>
          <w:ilvl w:val="1"/>
          <w:numId w:val="2"/>
        </w:numPr>
        <w:jc w:val="both"/>
      </w:pPr>
      <w:r>
        <w:rPr>
          <w:rFonts w:ascii="仿宋_GB2312" w:hAnsi="仿宋_GB2312" w:eastAsia="仿宋_GB2312" w:cs="仿宋_GB2312"/>
          <w:sz w:val="24"/>
        </w:rPr>
        <w:t>负责为采购人技术人员提供技术培训，至少包括:便捷终端维护、操作培训，并随时提供技术咨询和技术支援。</w:t>
      </w:r>
    </w:p>
    <w:p w14:paraId="0FB7684A">
      <w:pPr>
        <w:pStyle w:val="4"/>
        <w:numPr>
          <w:ilvl w:val="1"/>
          <w:numId w:val="2"/>
        </w:numPr>
        <w:jc w:val="both"/>
      </w:pPr>
      <w:r>
        <w:rPr>
          <w:rFonts w:ascii="仿宋_GB2312" w:hAnsi="仿宋_GB2312" w:eastAsia="仿宋_GB2312" w:cs="仿宋_GB2312"/>
          <w:sz w:val="24"/>
        </w:rPr>
        <w:t>负责为便捷终端使用人员（福彩销售人员）提供使用和操作培训。</w:t>
      </w:r>
    </w:p>
    <w:p w14:paraId="51F5CDA2">
      <w:pPr>
        <w:pStyle w:val="4"/>
        <w:numPr>
          <w:ilvl w:val="1"/>
          <w:numId w:val="2"/>
        </w:numPr>
        <w:jc w:val="both"/>
      </w:pPr>
      <w:r>
        <w:rPr>
          <w:rFonts w:ascii="仿宋_GB2312" w:hAnsi="仿宋_GB2312" w:eastAsia="仿宋_GB2312" w:cs="仿宋_GB2312"/>
          <w:sz w:val="24"/>
        </w:rPr>
        <w:t>国家重大节假日，安排值班人员负责全省便捷终端维护服务工作。</w:t>
      </w:r>
    </w:p>
    <w:p w14:paraId="0138CCA4">
      <w:pPr>
        <w:pStyle w:val="4"/>
        <w:jc w:val="both"/>
        <w:outlineLvl w:val="1"/>
      </w:pPr>
      <w:r>
        <w:rPr>
          <w:rFonts w:ascii="仿宋_GB2312" w:hAnsi="仿宋_GB2312" w:eastAsia="仿宋_GB2312" w:cs="仿宋_GB2312"/>
          <w:b/>
          <w:sz w:val="24"/>
        </w:rPr>
        <w:t>三、投注终端服务质量考评办法</w:t>
      </w:r>
    </w:p>
    <w:p w14:paraId="467B3301">
      <w:pPr>
        <w:pStyle w:val="4"/>
        <w:ind w:firstLine="480"/>
        <w:jc w:val="both"/>
      </w:pPr>
      <w:r>
        <w:rPr>
          <w:rFonts w:ascii="仿宋_GB2312" w:hAnsi="仿宋_GB2312" w:eastAsia="仿宋_GB2312" w:cs="仿宋_GB2312"/>
          <w:sz w:val="24"/>
        </w:rPr>
        <w:t>项目服务质量考评以招标文件、投标文件及合同约定的服务要求和验收标准为核心，围绕服务规范性、及时性、有效性及履约完整性开展考核，兼顾过程监督与结果评估，确保服务质量达标。</w:t>
      </w:r>
    </w:p>
    <w:p w14:paraId="148F03F8">
      <w:pPr>
        <w:pStyle w:val="4"/>
        <w:ind w:firstLine="480"/>
        <w:jc w:val="both"/>
      </w:pPr>
      <w:r>
        <w:rPr>
          <w:rFonts w:ascii="仿宋_GB2312" w:hAnsi="仿宋_GB2312" w:eastAsia="仿宋_GB2312" w:cs="仿宋_GB2312"/>
          <w:sz w:val="24"/>
        </w:rPr>
        <w:t>1、维护服务执行情况考核（80分）</w:t>
      </w:r>
    </w:p>
    <w:p w14:paraId="6C88C621">
      <w:pPr>
        <w:pStyle w:val="4"/>
        <w:ind w:firstLine="480"/>
        <w:jc w:val="both"/>
      </w:pPr>
      <w:r>
        <w:rPr>
          <w:rFonts w:ascii="仿宋_GB2312" w:hAnsi="仿宋_GB2312" w:eastAsia="仿宋_GB2312" w:cs="仿宋_GB2312"/>
          <w:sz w:val="24"/>
        </w:rPr>
        <w:t>（1）能认真按服务要求完成投注终端日常维护工作，规范投注终端软件升级操作，未出现由于维护人员操作失误、设计失误等人为因素导致的重大安全事故（大范围造成投注终端业务系统中断1个小时以上）。（25分）</w:t>
      </w:r>
    </w:p>
    <w:p w14:paraId="6F63D296">
      <w:pPr>
        <w:pStyle w:val="4"/>
        <w:ind w:firstLine="480"/>
        <w:jc w:val="both"/>
      </w:pPr>
      <w:r>
        <w:rPr>
          <w:rFonts w:ascii="仿宋_GB2312" w:hAnsi="仿宋_GB2312" w:eastAsia="仿宋_GB2312" w:cs="仿宋_GB2312"/>
          <w:sz w:val="24"/>
        </w:rPr>
        <w:t>（2）维护服务期内，能及时响应投注终端系统和硬件故障，故障响应时间≤1小时；故障排除市区故障排除时间≤4小时，偏远地区≤12小时；未按时解决时提供备用机。不得以任何借口拖延解决时间。（25分）</w:t>
      </w:r>
    </w:p>
    <w:p w14:paraId="7D0028DF">
      <w:pPr>
        <w:pStyle w:val="4"/>
        <w:ind w:firstLine="480"/>
        <w:jc w:val="both"/>
      </w:pPr>
      <w:r>
        <w:rPr>
          <w:rFonts w:ascii="仿宋_GB2312" w:hAnsi="仿宋_GB2312" w:eastAsia="仿宋_GB2312" w:cs="仿宋_GB2312"/>
          <w:sz w:val="24"/>
        </w:rPr>
        <w:t>（3）定期巡检，每年1次全省终端设备巡检，巡检范围必须包含每个正常销售站点，并按要求提交巡检记录和销售人员确认记录。（10分）</w:t>
      </w:r>
    </w:p>
    <w:p w14:paraId="485F4931">
      <w:pPr>
        <w:pStyle w:val="4"/>
        <w:ind w:firstLine="480"/>
        <w:jc w:val="both"/>
      </w:pPr>
      <w:r>
        <w:rPr>
          <w:rFonts w:ascii="仿宋_GB2312" w:hAnsi="仿宋_GB2312" w:eastAsia="仿宋_GB2312" w:cs="仿宋_GB2312"/>
          <w:sz w:val="24"/>
        </w:rPr>
        <w:t>（4）配件库保障，省级配件库备件充足。（5分）</w:t>
      </w:r>
    </w:p>
    <w:p w14:paraId="1AEA5EBE">
      <w:pPr>
        <w:pStyle w:val="4"/>
        <w:ind w:firstLine="480"/>
        <w:jc w:val="both"/>
      </w:pPr>
      <w:r>
        <w:rPr>
          <w:rFonts w:ascii="仿宋_GB2312" w:hAnsi="仿宋_GB2312" w:eastAsia="仿宋_GB2312" w:cs="仿宋_GB2312"/>
          <w:sz w:val="24"/>
        </w:rPr>
        <w:t>（5）中标人在服务期内，为技术人员、站点销售人员提供技术培训服务（以培训材料和培训采购人签到等记录为凭）。（5分）</w:t>
      </w:r>
    </w:p>
    <w:p w14:paraId="38EF8C87">
      <w:pPr>
        <w:pStyle w:val="4"/>
        <w:ind w:firstLine="480"/>
        <w:jc w:val="both"/>
      </w:pPr>
      <w:r>
        <w:rPr>
          <w:rFonts w:ascii="仿宋_GB2312" w:hAnsi="仿宋_GB2312" w:eastAsia="仿宋_GB2312" w:cs="仿宋_GB2312"/>
          <w:sz w:val="24"/>
        </w:rPr>
        <w:t>（6）必须保证过程资料真实性和完整性，如维护报告、需求响应文档、日常维护登记、配件库存清单、巡检记录等过程资料。（10分）</w:t>
      </w:r>
    </w:p>
    <w:p w14:paraId="1EC69BC4">
      <w:pPr>
        <w:pStyle w:val="4"/>
        <w:ind w:firstLine="480"/>
        <w:jc w:val="both"/>
      </w:pPr>
      <w:r>
        <w:rPr>
          <w:rFonts w:ascii="仿宋_GB2312" w:hAnsi="仿宋_GB2312" w:eastAsia="仿宋_GB2312" w:cs="仿宋_GB2312"/>
          <w:sz w:val="24"/>
        </w:rPr>
        <w:t>2、中标人员管理机制考核（20分）</w:t>
      </w:r>
    </w:p>
    <w:p w14:paraId="59FAB33A">
      <w:pPr>
        <w:pStyle w:val="4"/>
        <w:ind w:firstLine="480"/>
        <w:jc w:val="both"/>
      </w:pPr>
      <w:r>
        <w:rPr>
          <w:rFonts w:ascii="仿宋_GB2312" w:hAnsi="仿宋_GB2312" w:eastAsia="仿宋_GB2312" w:cs="仿宋_GB2312"/>
          <w:sz w:val="24"/>
        </w:rPr>
        <w:t>（1）中标人维护人员须严格保证采购人数据的安全性，严禁发生泄露采购人机密数据或恶意攻击采购人数据等违法行为。（10分）</w:t>
      </w:r>
    </w:p>
    <w:p w14:paraId="5CAA7EE0">
      <w:pPr>
        <w:pStyle w:val="4"/>
        <w:ind w:firstLine="480"/>
        <w:jc w:val="both"/>
      </w:pPr>
      <w:r>
        <w:rPr>
          <w:rFonts w:ascii="仿宋_GB2312" w:hAnsi="仿宋_GB2312" w:eastAsia="仿宋_GB2312" w:cs="仿宋_GB2312"/>
          <w:sz w:val="24"/>
        </w:rPr>
        <w:t>（2）采购人对服务过程中服务态度、服务质量差的现象以书面或电话的形式向中标人进行投诉，经查证投诉属实，中标人应立即进行整改，并将整改结果反馈采购人方。（10分）</w:t>
      </w:r>
    </w:p>
    <w:p w14:paraId="123E811A">
      <w:pPr>
        <w:pStyle w:val="4"/>
        <w:ind w:firstLine="480"/>
        <w:jc w:val="both"/>
      </w:pPr>
      <w:r>
        <w:rPr>
          <w:rFonts w:ascii="仿宋_GB2312" w:hAnsi="仿宋_GB2312" w:eastAsia="仿宋_GB2312" w:cs="仿宋_GB2312"/>
          <w:sz w:val="24"/>
        </w:rPr>
        <w:t>注：以服务质量考核结果作为合同总价的20%的支付依据，考核结果达到80分及以上支付合同总价的20%。</w:t>
      </w:r>
    </w:p>
    <w:p w14:paraId="12888AC8">
      <w:pPr>
        <w:pStyle w:val="4"/>
        <w:jc w:val="both"/>
        <w:outlineLvl w:val="1"/>
      </w:pPr>
      <w:r>
        <w:rPr>
          <w:rFonts w:ascii="仿宋_GB2312" w:hAnsi="仿宋_GB2312" w:eastAsia="仿宋_GB2312" w:cs="仿宋_GB2312"/>
          <w:b/>
          <w:sz w:val="24"/>
        </w:rPr>
        <w:t>四、商务条款</w:t>
      </w:r>
    </w:p>
    <w:p w14:paraId="49FFB1CC">
      <w:pPr>
        <w:rPr>
          <w:rFonts w:hint="default" w:ascii="仿宋_GB2312" w:hAnsi="仿宋_GB2312" w:eastAsia="仿宋_GB2312" w:cs="仿宋_GB2312"/>
          <w:sz w:val="24"/>
          <w:lang w:val="en-US" w:eastAsia="zh-CN"/>
        </w:rPr>
      </w:pPr>
      <w:r>
        <w:rPr>
          <w:rFonts w:ascii="仿宋_GB2312" w:hAnsi="仿宋_GB2312" w:eastAsia="仿宋_GB2312" w:cs="仿宋_GB2312"/>
          <w:sz w:val="24"/>
        </w:rPr>
        <w:t>在项目运维期间，产生的一切费用及责任均由中标人承担。（提供承诺函，格式自拟）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pPr>
    </w:lvl>
    <w:lvl w:ilvl="1" w:tentative="0">
      <w:start w:val="1"/>
      <w:numFmt w:val="decimal"/>
      <w:lvlText w:val="%2."/>
      <w:lvlJc w:val="left"/>
      <w:pPr>
        <w:ind w:left="360"/>
      </w:pPr>
    </w:lvl>
  </w:abstractNum>
  <w:abstractNum w:abstractNumId="1">
    <w:nsid w:val="0053208E"/>
    <w:multiLevelType w:val="singleLevel"/>
    <w:tmpl w:val="0053208E"/>
    <w:lvl w:ilvl="0" w:tentative="0">
      <w:start w:val="1"/>
      <w:numFmt w:val="decimal"/>
      <w:lvlText w:val="%1."/>
      <w:lvlJc w:val="left"/>
      <w:pPr>
        <w:ind w:left="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494F82"/>
    <w:rsid w:val="37494F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2026-09-10T11:53:00Z</dcterms:created>
  <dc:creator>.L</dc:creator>
  <cp:lastModifiedBy>.L</cp:lastModifiedBy>
  <dcterms:modified xsi:type="dcterms:W3CDTF">2026-09-10T11:55:24Z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8F01C830D8D14E87A343E88A590D8E18_11</vt:lpwstr>
  </property>
  <property fmtid="{D5CDD505-2E9C-101B-9397-08002B2CF9AE}" pid="4" name="KSOTemplateDocerSaveRecord">
    <vt:lpwstr>eyJoZGlkIjoiYWU1MGY2MTY2Y2EwNmNlZTVlZmViZjQzZDRhOWY5OWMiLCJ1c2VySWQiOiI3ODE3NDc4MzEifQ==</vt:lpwstr>
  </property>
</Properties>
</file>