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西安市未央区城市管理和综合执法局西安市未央区2026年庭院燃气管道老化更新改造项目施工图设计竞争性磋商公告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西安市未央区2026年庭院燃气管道老化更新改造项目施工图设计</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2026年06月08日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项目编号：ZJXG2026048</w:t>
      </w:r>
    </w:p>
    <w:p>
      <w:pPr>
        <w:pStyle w:val="null3"/>
      </w:pPr>
      <w:r>
        <w:rPr>
          <w:rFonts w:ascii="仿宋_GB2312" w:hAnsi="仿宋_GB2312" w:cs="仿宋_GB2312" w:eastAsia="仿宋_GB2312"/>
        </w:rPr>
        <w:t>项目名称：西安市未央区2026年庭院燃气管道老化更新改造项目施工图设计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预算金额：708,645.00元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采购包1：30日历天，实际以招标人委托单为准</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合同包1(西安市未央区2026年庭院燃气管道老化更新改造项目施工图设计)特定资格要求如下: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(3)提供递交响应文件截止之日前一年内任意一个月的纳税证明或完税证明，依法免税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(4)提供递交响应文件截止之日前一年内任意一个月的社会保障资金缴存单据或社保机构开具的社会保险参保缴费情况证明，依法不需要缴纳社会保障资金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(7)法定代表人授权书及被授权人身份证（法定代表人直接参加磋商的须提供其法定代表人身份证），非法人单位参照执行。供应商需在项目电子化交易系统中按要求上传相应证明文件并进行电子签章。</w:t>
      </w:r>
    </w:p>
    <w:p>
      <w:pPr>
        <w:pStyle w:val="null3"/>
      </w:pPr>
      <w:r>
        <w:rPr>
          <w:rFonts w:ascii="仿宋_GB2312" w:hAnsi="仿宋_GB2312" w:cs="仿宋_GB2312" w:eastAsia="仿宋_GB2312"/>
        </w:rPr>
        <w:t>(8)供应商应具有工程设计综合甲级资质或市政行业工程设计乙级及以上资质或市政行业（城镇燃气工程）专业设计丙级及以上资质，并具有特种设备压力管道GB1级设计许可证。供应商需在项目电子化交易系统中按要求上传相应证明文件并进行电子签章；</w:t>
      </w:r>
    </w:p>
    <w:p>
      <w:pPr>
        <w:pStyle w:val="null3"/>
      </w:pPr>
      <w:r>
        <w:rPr>
          <w:rFonts w:ascii="仿宋_GB2312" w:hAnsi="仿宋_GB2312" w:cs="仿宋_GB2312" w:eastAsia="仿宋_GB2312"/>
        </w:rPr>
        <w:t>(9)拟派项目负责人须具备注册公用设备工程师（动力）执业资格（在本单位注册）。供应商需在项目电子化交易系统中按要求上传相应证明文件并进行电子签章；</w:t>
      </w:r>
    </w:p>
    <w:p>
      <w:pPr>
        <w:pStyle w:val="null3"/>
      </w:pPr>
      <w:r>
        <w:rPr>
          <w:rFonts w:ascii="仿宋_GB2312" w:hAnsi="仿宋_GB2312" w:cs="仿宋_GB2312" w:eastAsia="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(11)本项目不接受联合体投标，供应商需在项目电子化交易系统中按要求上传相应证明文件并进行电子签章。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2026年05月29日 </w:t>
      </w:r>
      <w:r>
        <w:rPr>
          <w:rFonts w:ascii="仿宋_GB2312" w:hAnsi="仿宋_GB2312" w:cs="仿宋_GB2312" w:eastAsia="仿宋_GB2312"/>
        </w:rPr>
        <w:t>至</w:t>
      </w:r>
      <w:r>
        <w:rPr>
          <w:rFonts w:ascii="仿宋_GB2312" w:hAnsi="仿宋_GB2312" w:cs="仿宋_GB2312" w:eastAsia="仿宋_GB2312"/>
        </w:rPr>
        <w:t xml:space="preserve"> 2026年06月04日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2026年06月08日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2026年06月08日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西安市未央区城市管理和综合执法局</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陕西省西安市未央区连心路51号</w:t>
      </w:r>
    </w:p>
    <w:p>
      <w:pPr>
        <w:pStyle w:val="null3"/>
      </w:pPr>
      <w:r>
        <w:rPr>
          <w:rFonts w:ascii="仿宋_GB2312" w:hAnsi="仿宋_GB2312" w:cs="仿宋_GB2312" w:eastAsia="仿宋_GB2312"/>
        </w:rPr>
        <w:t>联系方式：</w:t>
      </w:r>
      <w:r>
        <w:rPr>
          <w:rFonts w:ascii="仿宋_GB2312" w:hAnsi="仿宋_GB2312" w:cs="仿宋_GB2312" w:eastAsia="仿宋_GB2312"/>
        </w:rPr>
        <w:t>029-86103010</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梁加豪</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