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版本号：ZXGC-2026CG-0220260601001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城固县历史流出耕地过渡期恢复方案编制及永久基本农田年度评估调整项目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ZXGC-2026CG-02</w:t>
      </w:r>
      <w:r>
        <w:br/>
      </w:r>
      <w:r>
        <w:br/>
      </w:r>
      <w:r>
        <w:br/>
      </w:r>
    </w:p>
    <w:p>
      <w:pPr>
        <w:pStyle w:val="null3"/>
        <w:jc w:val="center"/>
        <w:outlineLvl w:val="2"/>
      </w:pPr>
      <w:r>
        <w:rPr>
          <w:rFonts w:ascii="仿宋_GB2312" w:hAnsi="仿宋_GB2312" w:cs="仿宋_GB2312" w:eastAsia="仿宋_GB2312"/>
          <w:sz w:val="28"/>
          <w:b/>
        </w:rPr>
        <w:t>城固县自然资源局</w:t>
      </w:r>
    </w:p>
    <w:p>
      <w:pPr>
        <w:pStyle w:val="null3"/>
        <w:jc w:val="center"/>
        <w:outlineLvl w:val="2"/>
      </w:pPr>
      <w:r>
        <w:rPr>
          <w:rFonts w:ascii="仿宋_GB2312" w:hAnsi="仿宋_GB2312" w:cs="仿宋_GB2312" w:eastAsia="仿宋_GB2312"/>
          <w:sz w:val="28"/>
          <w:b/>
        </w:rPr>
        <w:t>陕西众欣共创工程项目管理有限公司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陕西众欣共创工程项目管理有限公司</w:t>
      </w:r>
      <w:r>
        <w:rPr>
          <w:rFonts w:ascii="仿宋_GB2312" w:hAnsi="仿宋_GB2312" w:cs="仿宋_GB2312" w:eastAsia="仿宋_GB2312"/>
        </w:rPr>
        <w:t>（以下简称“代理机构”）受</w:t>
      </w:r>
      <w:r>
        <w:rPr>
          <w:rFonts w:ascii="仿宋_GB2312" w:hAnsi="仿宋_GB2312" w:cs="仿宋_GB2312" w:eastAsia="仿宋_GB2312"/>
        </w:rPr>
        <w:t>城固县自然资源局</w:t>
      </w:r>
      <w:r>
        <w:rPr>
          <w:rFonts w:ascii="仿宋_GB2312" w:hAnsi="仿宋_GB2312" w:cs="仿宋_GB2312" w:eastAsia="仿宋_GB2312"/>
        </w:rPr>
        <w:t>委托，拟对</w:t>
      </w:r>
      <w:r>
        <w:rPr>
          <w:rFonts w:ascii="仿宋_GB2312" w:hAnsi="仿宋_GB2312" w:cs="仿宋_GB2312" w:eastAsia="仿宋_GB2312"/>
        </w:rPr>
        <w:t>城固县历史流出耕地过渡期恢复方案编制及永久基本农田年度评估调整项目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ZXGC-2026CG-02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城固县历史流出耕地过渡期恢复方案编制及永久基本农田年度评估调整项目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省级下发数据提取符合要求的图斑制作工作底图，分析耕地流出时点节点，对流出耕地进行外业实地调查，明确可逐步恢复以及需逐步置换的图斑位置、完成底图完善工作、初步测算统计表等，形成数据库及方案文本成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采购包1（城固县历史流出耕地过渡期恢复方案编制及永久基本农田年度评估调整项目）：属于专门面向中小企业采购。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2、法定代表人授权委托书：法定代表人授权书及被授权人身份证。（法定代表人直接磋商只须提交其身份证原件）。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4、资格证书：供应商应当具备主管部门颁发的土地规划乙级及以上资质。</w:t>
      </w:r>
    </w:p>
    <w:p>
      <w:pPr>
        <w:pStyle w:val="null3"/>
      </w:pPr>
      <w:r>
        <w:rPr>
          <w:rFonts w:ascii="仿宋_GB2312" w:hAnsi="仿宋_GB2312" w:cs="仿宋_GB2312" w:eastAsia="仿宋_GB2312"/>
        </w:rPr>
        <w:t>5、中小企业声明函：本项目专门面向中小企业，供应商须提供《中小企业声明函》。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城固县西环二路中段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7233433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陕西众欣共创工程项目管理有限公司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世纪城北门外向西100米商铺信达财务隔壁</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沈舒文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0916-2531009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开户名称：陕西众欣共创工程项目管理有限公司</w:t>
            </w:r>
          </w:p>
          <w:p>
            <w:pPr>
              <w:pStyle w:val="null3"/>
            </w:pPr>
            <w:r>
              <w:rPr>
                <w:rFonts w:ascii="仿宋_GB2312" w:hAnsi="仿宋_GB2312" w:cs="仿宋_GB2312" w:eastAsia="仿宋_GB2312"/>
              </w:rPr>
              <w:t>开户银行：招商银行西安未央路支行</w:t>
            </w:r>
          </w:p>
          <w:p>
            <w:pPr>
              <w:pStyle w:val="null3"/>
            </w:pPr>
            <w:r>
              <w:rPr>
                <w:rFonts w:ascii="仿宋_GB2312" w:hAnsi="仿宋_GB2312" w:cs="仿宋_GB2312" w:eastAsia="仿宋_GB2312"/>
              </w:rPr>
              <w:t>银行账号：129910647910701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代理服务费收费标准：招标代理服务费按中华人民共和国国家发展计划委员会颁发的计价格[2002]1980号文《招标代理服务收费管理暂行办法》、国家发改委[2003]857号文及发改价格[2011]534号件中规定的“ 服务招标 ”计费标准计取。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城固县自然资源局</w:t>
      </w:r>
      <w:r>
        <w:rPr>
          <w:rFonts w:ascii="仿宋_GB2312" w:hAnsi="仿宋_GB2312" w:cs="仿宋_GB2312" w:eastAsia="仿宋_GB2312"/>
        </w:rPr>
        <w:t>和</w:t>
      </w:r>
      <w:r>
        <w:rPr>
          <w:rFonts w:ascii="仿宋_GB2312" w:hAnsi="仿宋_GB2312" w:cs="仿宋_GB2312" w:eastAsia="仿宋_GB2312"/>
        </w:rPr>
        <w:t>陕西众欣共创工程项目管理有限公司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陕西众欣共创工程项目管理有限公司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陕西众欣共创工程项目管理有限公司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满足国家及行业质量验收合格标准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联系人：沈舒文</w:t>
      </w:r>
    </w:p>
    <w:p>
      <w:pPr>
        <w:pStyle w:val="null3"/>
      </w:pPr>
      <w:r>
        <w:rPr>
          <w:rFonts w:ascii="仿宋_GB2312" w:hAnsi="仿宋_GB2312" w:cs="仿宋_GB2312" w:eastAsia="仿宋_GB2312"/>
        </w:rPr>
        <w:t>联系电话：0916-2531009</w:t>
      </w:r>
    </w:p>
    <w:p>
      <w:pPr>
        <w:pStyle w:val="null3"/>
      </w:pPr>
      <w:r>
        <w:rPr>
          <w:rFonts w:ascii="仿宋_GB2312" w:hAnsi="仿宋_GB2312" w:cs="仿宋_GB2312" w:eastAsia="仿宋_GB2312"/>
        </w:rPr>
        <w:t>地址：世纪城北门外向西100米商铺信达财务隔壁</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省级下发数据提取符合要求的图斑制作工作底图，分析耕地流出时点节点，对流出耕地进行外业实地调查，明确可逐步恢复以及需逐步置换的图斑位置、完成底图完善工作、初步测算统计表等，形成数据库及方案文本成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城固县历史流出耕地过渡期恢复方案编制及永久基本农田年度评估调整技术服务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标的名称：城固县历史流出耕地过渡期恢复方案编制及永久基本农田年度评估调整技术服务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rPr>
              <w:t>一、项目基本情况：</w:t>
            </w:r>
          </w:p>
          <w:p>
            <w:pPr>
              <w:pStyle w:val="null3"/>
            </w:pPr>
            <w:r>
              <w:rPr>
                <w:rFonts w:ascii="仿宋_GB2312" w:hAnsi="仿宋_GB2312" w:cs="仿宋_GB2312" w:eastAsia="仿宋_GB2312"/>
                <w:sz w:val="15"/>
              </w:rPr>
              <w:t>按照省级下发数据提取符合要求的图斑制作工作底图，分析耕地流出时点节点，对流出耕地进行外业实地调查，明确可逐步恢复以及需逐步置换的图斑位置、完成底图完善工作、初步测算统计表等，形成数据库及方案文本成果。</w:t>
            </w:r>
          </w:p>
          <w:p>
            <w:pPr>
              <w:pStyle w:val="null3"/>
            </w:pPr>
            <w:r>
              <w:rPr>
                <w:rFonts w:ascii="仿宋_GB2312" w:hAnsi="仿宋_GB2312" w:cs="仿宋_GB2312" w:eastAsia="仿宋_GB2312"/>
                <w:sz w:val="15"/>
              </w:rPr>
              <w:t>二、工作内容：</w:t>
            </w:r>
          </w:p>
          <w:p>
            <w:pPr>
              <w:pStyle w:val="null3"/>
            </w:pPr>
            <w:r>
              <w:rPr>
                <w:rFonts w:ascii="仿宋_GB2312" w:hAnsi="仿宋_GB2312" w:cs="仿宋_GB2312" w:eastAsia="仿宋_GB2312"/>
                <w:sz w:val="15"/>
              </w:rPr>
              <w:t>1.资料收集；2.评估拟调出规模;3.内业分析;4.外业核实/举证;5.梳理填写调出类型;6.确定补划图斑;7.编制方案;8.制作更新包;9.县级成果上报。</w:t>
            </w:r>
          </w:p>
          <w:p>
            <w:pPr>
              <w:pStyle w:val="null3"/>
            </w:pPr>
            <w:r>
              <w:rPr>
                <w:rFonts w:ascii="仿宋_GB2312" w:hAnsi="仿宋_GB2312" w:cs="仿宋_GB2312" w:eastAsia="仿宋_GB2312"/>
                <w:sz w:val="15"/>
              </w:rPr>
              <w:t>三、技术要求：</w:t>
            </w:r>
          </w:p>
          <w:p>
            <w:pPr>
              <w:pStyle w:val="null3"/>
            </w:pPr>
            <w:r>
              <w:rPr>
                <w:rFonts w:ascii="仿宋_GB2312" w:hAnsi="仿宋_GB2312" w:cs="仿宋_GB2312" w:eastAsia="仿宋_GB2312"/>
                <w:sz w:val="15"/>
              </w:rPr>
              <w:t>依据《中华人民共和国土地管理法》《中华人民共和国耕地保护法》《基本农田保护条例》《永久基本农田保护红线管理办法》等国家及地方相关法律法规，第三次全国国土调查技术规程、国土变更调查技术规程、耕地质量等级调查评价规程、永久基本农田划定技术标准、地理信息数据采集、地理信息空间数据规范与建库规范等，全面查清辖区内历史耕地流出的数量、分布、类型、成因及流转轨迹，精准界定流出耕地的范围、地类变更情况与利用现状，严格区分合法合规与违法违规流出情形，建立完整的历史耕地流出台账与数据库；全面评估辖区内永久基本农田现状布局、质量等级、利用状况及合规性，精准甄别不适宜继续划为永久基本农田的地块，科学遴选优质耕地补充划入，通过规范、有序的评估调整，实现永久基本农田总量不减少、质量有提升、布局更优化、集中连片度更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城固县自然资源局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满足国家及行业质量验收合格标准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进度款，达到付款条件起 30 日内，达到付款条件起30个工作日内，支付合同总金额的100.0%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以甲乙双方签订的服务合同为准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法定代表人授权书及被授权人身份证。（法定代表人直接磋商只须提交其身份证原件）。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供应商应当具备主管部门颁发的土地规划乙级及以上资质。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本项目专门面向中小企业，供应商须提供《中小企业声明函》。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投标文件格式、盖章、签署、投标报价、投标技术响应、投标商务响应等符合招标文件要求</w:t>
            </w:r>
          </w:p>
        </w:tc>
        <w:tc>
          <w:tcPr>
            <w:tcW w:type="dxa" w:w="3322"/>
          </w:tcPr>
          <w:p>
            <w:pPr>
              <w:pStyle w:val="null3"/>
            </w:pPr>
            <w:r>
              <w:rPr>
                <w:rFonts w:ascii="仿宋_GB2312" w:hAnsi="仿宋_GB2312" w:cs="仿宋_GB2312" w:eastAsia="仿宋_GB2312"/>
              </w:rPr>
              <w:t>投标文件格式、盖章、签署、投标技术响应（技术参数要求均为实质性要求）、投标商务响应等符合招标文件要求，无重大缺漏项或重大负偏离。</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汉中市政府采购供应商资格承诺函.docx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项目采购需求分析</w:t>
            </w:r>
          </w:p>
        </w:tc>
        <w:tc>
          <w:tcPr>
            <w:tcW w:type="dxa" w:w="2492"/>
          </w:tcPr>
          <w:p>
            <w:pPr>
              <w:pStyle w:val="null3"/>
            </w:pPr>
            <w:r>
              <w:rPr>
                <w:rFonts w:ascii="仿宋_GB2312" w:hAnsi="仿宋_GB2312" w:cs="仿宋_GB2312" w:eastAsia="仿宋_GB2312"/>
              </w:rPr>
              <w:t>一、评审内容：针对本项目提供项目采购需求分析，包括但不限于 ①对工作内容理解； ②对项目重点难点分析； ③重难点工作解决方案。 二、评审依据：各项内容全面详细、阐述条理清晰详尽、符合本项目采购需求，能有效保障本项目实施的得12分，每有一项内容存在缺陷，扣1-4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一、评审内容：针对本项目提供总体实施方案，包括但不限于 ①项目研究方法；②项目技术路线；③项目工作成果；④项目调研方案。 二、评审依据：各项内容全面详细、阐述条理清晰详尽、符合本项目采购需求，能有效保障本项目实施的得12分，每有一项内容存在缺陷，扣1-3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项目进度计划及质量保障措施</w:t>
            </w:r>
          </w:p>
        </w:tc>
        <w:tc>
          <w:tcPr>
            <w:tcW w:type="dxa" w:w="2492"/>
          </w:tcPr>
          <w:p>
            <w:pPr>
              <w:pStyle w:val="null3"/>
            </w:pPr>
            <w:r>
              <w:rPr>
                <w:rFonts w:ascii="仿宋_GB2312" w:hAnsi="仿宋_GB2312" w:cs="仿宋_GB2312" w:eastAsia="仿宋_GB2312"/>
              </w:rPr>
              <w:t>一、评审内容：针对本项目提供项目进度计划及质量保障措施，包括但不限于 ①项目进度计划安排；②项目进度保障措施；③服务质量保障措施；④知识产权保护及数据资料保密方案。 二、评审依据：各项内容全面详细、阐述条理清晰详尽、符合本项目采购需求，能有效保障本项目实施的得12分，每有一项内容存在缺陷，扣1-3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突发情况处理方案及合理化建议</w:t>
            </w:r>
          </w:p>
        </w:tc>
        <w:tc>
          <w:tcPr>
            <w:tcW w:type="dxa" w:w="2492"/>
          </w:tcPr>
          <w:p>
            <w:pPr>
              <w:pStyle w:val="null3"/>
            </w:pPr>
            <w:r>
              <w:rPr>
                <w:rFonts w:ascii="仿宋_GB2312" w:hAnsi="仿宋_GB2312" w:cs="仿宋_GB2312" w:eastAsia="仿宋_GB2312"/>
              </w:rPr>
              <w:t>一、评审内容：针对本项目提供突发情况处理方案及合理化建议，包括但不限于：①应对遇突发情况或临时任务时的保障服务；②突发情况的处理措施；③合理化建议。 二、评审依据：各项内容全面详细、阐述条理清晰详尽、符合本项目采购需求，能有效保障本项目实施的得9分，每有一项内容存在缺陷，扣1-3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1.投标供应商拟投入本项目的项目负责人具备注册城乡规划师证书的，加4分；2.项目负责人具有中级工程师职称的，加2分；具有高级工程师职称的加4分。 注：投标人除提供以上证书外还需提供近一年内任意一个月社保缴纳证明，加盖投标供应商公章，不提供不得分。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供应商提供2023年5月1日至今所完成的类似项目业绩的，每提供一项得2分，最高得4分。 注： ①日期以合同签订之日为准； ②证明材料须提供项目完整合同复印件并加盖公章。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一、评审内容：针对本项目提供完善的服务，包括但不限于： ①项目整体管理方案，②项目保密控制方案，③针对本项目的售后服务承诺，包括但不限于售后响应时效、遇突发情况或临时任务时的保障服务、售后服务人员组织架构等；④根据项目需求结合自身能力提供售后服务方案。 二、评审依据：各项内容全面详细、阐述条理明确清晰、符合本项目采购需求，能有效保障本项目实施的得12分，每有一项内容存在缺陷，扣1-3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一、评审内容：针对本项目提供项目团队人员配备，包括但不限于：①项目服务团队架构及工作人员投入计划；②项目人员岗位划分及工作职责；③项目人员管理制度。 二、评审依据：各项内容全面详细、阐述条理清晰详尽、符合本项目采购需求，能有效保障本项目实施的得9分，每有一项内容存在缺陷，扣1-3分，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成果保障及验收方案</w:t>
            </w:r>
          </w:p>
        </w:tc>
        <w:tc>
          <w:tcPr>
            <w:tcW w:type="dxa" w:w="2492"/>
          </w:tcPr>
          <w:p>
            <w:pPr>
              <w:pStyle w:val="null3"/>
            </w:pPr>
            <w:r>
              <w:rPr>
                <w:rFonts w:ascii="仿宋_GB2312" w:hAnsi="仿宋_GB2312" w:cs="仿宋_GB2312" w:eastAsia="仿宋_GB2312"/>
              </w:rPr>
              <w:t>一、评审内容：针对本项目提供成果保障及验收方案，包括但不限于：①服务成果完整性保证措施；②成果质量保证；③成果验收方案；④全过程资料的收集、整理及移交。 二、评审依据：各项内容全面详细、阐述条理清晰详尽、符合本项目采购需求，能有效保障本项目实施的得12分，每有一项内容存在缺陷，扣1-3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 商基准价，其价格得分为满分。其他供应商的价格得分统一按照下列公式计算： 磋商报价 得分=（磋商基准价/最终磋商报价）×价格权值（10%）×100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