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版本号：LZBB2026-239（XDZ2026-217-J-48）20260811002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西安高新区城乡一体化供水工程监理采购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LZBB2026-239（XDZ2026-217-J-48）</w:t>
      </w:r>
      <w:r>
        <w:br/>
      </w:r>
      <w:r>
        <w:br/>
      </w:r>
      <w:r>
        <w:br/>
      </w:r>
    </w:p>
    <w:p>
      <w:pPr>
        <w:pStyle w:val="null3"/>
        <w:jc w:val="center"/>
        <w:outlineLvl w:val="2"/>
      </w:pPr>
      <w:r>
        <w:rPr>
          <w:rFonts w:ascii="仿宋_GB2312" w:hAnsi="仿宋_GB2312" w:cs="仿宋_GB2312" w:eastAsia="仿宋_GB2312"/>
          <w:sz w:val="28"/>
          <w:b/>
        </w:rPr>
        <w:t>西安高新技术产业开发区公共项目建设管理中心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委托，拟对</w:t>
      </w:r>
      <w:r>
        <w:rPr>
          <w:rFonts w:ascii="仿宋_GB2312" w:hAnsi="仿宋_GB2312" w:cs="仿宋_GB2312" w:eastAsia="仿宋_GB2312"/>
        </w:rPr>
        <w:t>西安高新区城乡一体化供水工程监理采购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LZBB2026-239（XDZ2026-217-J-48）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西安高新区城乡一体化供水工程监理采购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本项目拟对西安高新区城乡一体化供水工程监理采购进行采购，具体详见采购文件。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及社保缴纳证明：提供近六个月任意一个月的税收缴纳凭证及社会保险缴纳的凭证。依法免税或不需要缴纳社会保障资金的供应商，应提供相应文件证明其依法免税或不需要缴纳社会保障资金。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3、财务状况报告：供应商提供2025年度经审计的财务审计报告（事业法人可提供部门决算报告）；或提供开标日前三个月内基本存款账户银行出具的资信证明及基本存款账户银行相关证明资料；或提供专业担保机构出具的投标担保函。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4、企业资质：供应商具备工程监理综合类资质甲级或市政公用工程监理乙级（含）及以上资质；供应商需在项目电子化交易系统中按要求上传相应证明文件并进行电子签章</w:t>
      </w:r>
    </w:p>
    <w:p>
      <w:pPr>
        <w:pStyle w:val="null3"/>
      </w:pPr>
      <w:r>
        <w:rPr>
          <w:rFonts w:ascii="仿宋_GB2312" w:hAnsi="仿宋_GB2312" w:cs="仿宋_GB2312" w:eastAsia="仿宋_GB2312"/>
        </w:rPr>
        <w:t>5、拟派项目总监理工程师：拟派项目总监理工程师具备市政公用工程专业注册监理工程师资格，且在本单位注册，如拟派总监理工程师有担任其他在监工程的总监理工程师，则在监工程不得超过2个（含），同时需提供在监项目建设单位的同意意见书；供应商需在项目电子化交易系统中按要求上传相应证明文件并进行电子签章</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其中：重大违法记录是指供应商因违法经营受到刑事处罚或者责令停产停业、吊销许可证或者执照、较大数额罚款等行政处罚；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7、履行合同所必需的设备和专业技术能力书面声明函：履行合同所必需的设备和专业技术能力书面声明函；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8、供应商信用状况：供应商不得为“信用中国”网站（www.creditchina.gov.cn）中列入重大税收违法失信主体的供应商，不得为中国执行信息公开网（https://zxgk.court.gov.cn/）列入失信被执行人的供应商，不得为中国政府采购网（www.ccgp.gov.cn）政府采购严重违法失信行为记录名单中被财政部门禁止参加政府采购活动的供应商。以开标后网站查询结果为准。</w:t>
      </w:r>
    </w:p>
    <w:p>
      <w:pPr>
        <w:pStyle w:val="null3"/>
      </w:pPr>
      <w:r>
        <w:rPr>
          <w:rFonts w:ascii="仿宋_GB2312" w:hAnsi="仿宋_GB2312" w:cs="仿宋_GB2312" w:eastAsia="仿宋_GB2312"/>
        </w:rPr>
        <w:t>9、授权委托书：被授权人参与磋商的须提供法定代表人授权书、被授权人身份证及本单位连续三个月的社会保险缴纳证明；法定代表人直接参加磋商的须提供其法定代表人身份证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西安高新技术产业开发区公共项目建设管理中心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西安高新区丝路创智谷5号楼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何伟宁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029-81161742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高维、王飞、安力、张波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029-88228899-625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采购包1：353,400.00元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代理服务费收费标准：1、参照国家计委颁发的《磋商代理服务收费管理暂行办法》（计价格[2002]1980号）和《关于磋商代理服务收费有关问题的通知》（发改办价格[2003]857号）的服务类标准计取。 2、成交单位在领取成交通知书之前，按采购预算为基数须向代理机构支付磋商代理服务费。 3、磋商代理服务费以转账或现金形式缴纳至以下账户：开户名称：龙寰项目管理咨询有限公司，开户银行：平安银行西安高新路支行，账 号：30201278019048。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联系人：高维</w:t>
      </w:r>
    </w:p>
    <w:p>
      <w:pPr>
        <w:pStyle w:val="null3"/>
      </w:pPr>
      <w:r>
        <w:rPr>
          <w:rFonts w:ascii="仿宋_GB2312" w:hAnsi="仿宋_GB2312" w:cs="仿宋_GB2312" w:eastAsia="仿宋_GB2312"/>
        </w:rPr>
        <w:t>联系电话：029-88228899-625</w:t>
      </w:r>
    </w:p>
    <w:p>
      <w:pPr>
        <w:pStyle w:val="null3"/>
      </w:pPr>
      <w:r>
        <w:rPr>
          <w:rFonts w:ascii="仿宋_GB2312" w:hAnsi="仿宋_GB2312" w:cs="仿宋_GB2312" w:eastAsia="仿宋_GB2312"/>
        </w:rPr>
        <w:t>地址：西安市高新区太白南路181号西部电子社区A座A区501室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本项目拟对西安高新区城乡一体化供水工程监理采购进行采购，具体详见采购文件。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353,400.00</w:t>
      </w:r>
    </w:p>
    <w:p>
      <w:pPr>
        <w:pStyle w:val="null3"/>
      </w:pPr>
      <w:r>
        <w:rPr>
          <w:rFonts w:ascii="仿宋_GB2312" w:hAnsi="仿宋_GB2312" w:cs="仿宋_GB2312" w:eastAsia="仿宋_GB2312"/>
        </w:rPr>
        <w:t>采购包最高限价（元）: 353,400.00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西安高新区城乡一体化供水工程监理采购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353,400.00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标的名称：西安高新区城乡一体化供水工程监理采购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一、工程名称：西安高新区城乡一体化供水工程（一期）</w:t>
            </w:r>
          </w:p>
          <w:p>
            <w:pPr>
              <w:pStyle w:val="null3"/>
            </w:pPr>
            <w:r>
              <w:rPr>
                <w:rFonts w:ascii="仿宋_GB2312" w:hAnsi="仿宋_GB2312" w:cs="仿宋_GB2312" w:eastAsia="仿宋_GB2312"/>
              </w:rPr>
              <w:t>二、项目名称：监理服务</w:t>
            </w:r>
          </w:p>
          <w:p>
            <w:pPr>
              <w:pStyle w:val="null3"/>
            </w:pPr>
            <w:r>
              <w:rPr>
                <w:rFonts w:ascii="仿宋_GB2312" w:hAnsi="仿宋_GB2312" w:cs="仿宋_GB2312" w:eastAsia="仿宋_GB2312"/>
              </w:rPr>
              <w:t>三、项目概况及建设内容：本项目供水范围为高新区细柳街办、五星街办、东大街办共</w:t>
            </w:r>
            <w:r>
              <w:rPr>
                <w:rFonts w:ascii="仿宋_GB2312" w:hAnsi="仿宋_GB2312" w:cs="仿宋_GB2312" w:eastAsia="仿宋_GB2312"/>
              </w:rPr>
              <w:t>3个街道办所辖21个自然村（含西安市第一社会福利院），供水服务人口4.46万人，设计水平年工程最高日用水量供水规模5829m³，项目总投资2137.46万元。主要建设内容：新建村外dn110-dn315输水主干管约13.4km，新建消火栓14套，新建流量计25套，新建排气阀15套，新建闸阀105套，新建泄水阀18套，新建减压阀组8套，配套更换入户智能水表11844块，配套更换损坏的阀门，新增智慧水务系统1套。</w:t>
            </w:r>
          </w:p>
          <w:p>
            <w:pPr>
              <w:pStyle w:val="null3"/>
            </w:pPr>
            <w:r>
              <w:rPr>
                <w:rFonts w:ascii="仿宋_GB2312" w:hAnsi="仿宋_GB2312" w:cs="仿宋_GB2312" w:eastAsia="仿宋_GB2312"/>
              </w:rPr>
              <w:t>四、采购依据</w:t>
            </w:r>
          </w:p>
          <w:p>
            <w:pPr>
              <w:pStyle w:val="null3"/>
            </w:pPr>
            <w:r>
              <w:rPr>
                <w:rFonts w:ascii="仿宋_GB2312" w:hAnsi="仿宋_GB2312" w:cs="仿宋_GB2312" w:eastAsia="仿宋_GB2312"/>
              </w:rPr>
              <w:t>根据《建设工程监理规范》（</w:t>
            </w:r>
            <w:r>
              <w:rPr>
                <w:rFonts w:ascii="仿宋_GB2312" w:hAnsi="仿宋_GB2312" w:cs="仿宋_GB2312" w:eastAsia="仿宋_GB2312"/>
              </w:rPr>
              <w:t>GB50319-2013）、《建设工程施工质量验收统一标准》（GB50300-2013）等相关文件规定，需对西安高新区城乡一体化农村供水工程（一期）采购监理服务。</w:t>
            </w:r>
          </w:p>
          <w:p>
            <w:pPr>
              <w:pStyle w:val="null3"/>
            </w:pPr>
            <w:r>
              <w:rPr>
                <w:rFonts w:ascii="仿宋_GB2312" w:hAnsi="仿宋_GB2312" w:cs="仿宋_GB2312" w:eastAsia="仿宋_GB2312"/>
              </w:rPr>
              <w:t>五、服务工期：自合同签订之日起至竣工验收合格且结算审核完成，并至质量缺陷期结束。</w:t>
            </w:r>
          </w:p>
          <w:p>
            <w:pPr>
              <w:pStyle w:val="null3"/>
            </w:pPr>
            <w:r>
              <w:rPr>
                <w:rFonts w:ascii="仿宋_GB2312" w:hAnsi="仿宋_GB2312" w:cs="仿宋_GB2312" w:eastAsia="仿宋_GB2312"/>
              </w:rPr>
              <w:t>六、本次采购范围及服务内容</w:t>
            </w:r>
          </w:p>
          <w:p>
            <w:pPr>
              <w:pStyle w:val="null3"/>
            </w:pPr>
            <w:r>
              <w:rPr>
                <w:rFonts w:ascii="仿宋_GB2312" w:hAnsi="仿宋_GB2312" w:cs="仿宋_GB2312" w:eastAsia="仿宋_GB2312"/>
              </w:rPr>
              <w:t>西安高新区城乡一体化农村供水工程（一期）全过程监理服务，包括施工图纸范围内包含的施工、设备（智慧水务）全过程监理及竣工验收、资料整理交付、工程竣工结算阶段及工程保修阶段。为招标人提供包括但不限于以下服务内容：</w:t>
            </w:r>
          </w:p>
          <w:p>
            <w:pPr>
              <w:pStyle w:val="null3"/>
            </w:pPr>
            <w:r>
              <w:rPr>
                <w:rFonts w:ascii="仿宋_GB2312" w:hAnsi="仿宋_GB2312" w:cs="仿宋_GB2312" w:eastAsia="仿宋_GB2312"/>
              </w:rPr>
              <w:t>（一）提供建设工程施工，设备（智慧水务）采购阶段的质量、进度、造价控制管理和安全生产监督管理方面的协调管理服务，协助招标人使本项目</w:t>
            </w:r>
            <w:r>
              <w:rPr>
                <w:rFonts w:ascii="仿宋_GB2312" w:hAnsi="仿宋_GB2312" w:cs="仿宋_GB2312" w:eastAsia="仿宋_GB2312"/>
              </w:rPr>
              <w:t>“按期、保质、高效、节约”的完成建设目标。</w:t>
            </w:r>
          </w:p>
          <w:p>
            <w:pPr>
              <w:pStyle w:val="null3"/>
            </w:pPr>
            <w:r>
              <w:rPr>
                <w:rFonts w:ascii="仿宋_GB2312" w:hAnsi="仿宋_GB2312" w:cs="仿宋_GB2312" w:eastAsia="仿宋_GB2312"/>
              </w:rPr>
              <w:t>（二）工程监理服务商应当审查施工组织设计中的安全技术措施或者专项施工方案等是否符合工程建设强制性标准级及其它相关规定。</w:t>
            </w:r>
          </w:p>
          <w:p>
            <w:pPr>
              <w:pStyle w:val="null3"/>
            </w:pPr>
            <w:r>
              <w:rPr>
                <w:rFonts w:ascii="仿宋_GB2312" w:hAnsi="仿宋_GB2312" w:cs="仿宋_GB2312" w:eastAsia="仿宋_GB2312"/>
              </w:rPr>
              <w:t>（三）本项目施工阶段，拟采购监理服务商必须通过</w:t>
            </w:r>
            <w:r>
              <w:rPr>
                <w:rFonts w:ascii="仿宋_GB2312" w:hAnsi="仿宋_GB2312" w:cs="仿宋_GB2312" w:eastAsia="仿宋_GB2312"/>
              </w:rPr>
              <w:t>“四控制、两管、一协调”（即质量控制、进度控制、投资控制、安全生产管理控制，信息管理、合同管理以及参建各方之间关系的协调等）的方法，为项目的施工及验收提供全过程的咨询、监理和技术支持。</w:t>
            </w:r>
          </w:p>
          <w:p>
            <w:pPr>
              <w:pStyle w:val="null3"/>
            </w:pPr>
            <w:r>
              <w:rPr>
                <w:rFonts w:ascii="仿宋_GB2312" w:hAnsi="仿宋_GB2312" w:cs="仿宋_GB2312" w:eastAsia="仿宋_GB2312"/>
              </w:rPr>
              <w:t>七、工程监理标准、规范</w:t>
            </w:r>
          </w:p>
          <w:p>
            <w:pPr>
              <w:pStyle w:val="null3"/>
            </w:pPr>
            <w:r>
              <w:rPr>
                <w:rFonts w:ascii="仿宋_GB2312" w:hAnsi="仿宋_GB2312" w:cs="仿宋_GB2312" w:eastAsia="仿宋_GB2312"/>
              </w:rPr>
              <w:t>1、《建设工程监理规范》（GB50319-2013）</w:t>
            </w:r>
          </w:p>
          <w:p>
            <w:pPr>
              <w:pStyle w:val="null3"/>
            </w:pPr>
            <w:r>
              <w:rPr>
                <w:rFonts w:ascii="仿宋_GB2312" w:hAnsi="仿宋_GB2312" w:cs="仿宋_GB2312" w:eastAsia="仿宋_GB2312"/>
              </w:rPr>
              <w:t>2、《建设工程施工质量验收统一标准》（GB50300-2013）</w:t>
            </w:r>
          </w:p>
          <w:p>
            <w:pPr>
              <w:pStyle w:val="null3"/>
            </w:pPr>
            <w:r>
              <w:rPr>
                <w:rFonts w:ascii="仿宋_GB2312" w:hAnsi="仿宋_GB2312" w:cs="仿宋_GB2312" w:eastAsia="仿宋_GB2312"/>
              </w:rPr>
              <w:t>3、《建设工程文件归档整理规范》（GB/T50328-2014）</w:t>
            </w:r>
          </w:p>
          <w:p>
            <w:pPr>
              <w:pStyle w:val="null3"/>
            </w:pPr>
            <w:r>
              <w:rPr>
                <w:rFonts w:ascii="仿宋_GB2312" w:hAnsi="仿宋_GB2312" w:cs="仿宋_GB2312" w:eastAsia="仿宋_GB2312"/>
              </w:rPr>
              <w:t>4、《工程测量标准》（GB50026-2020）</w:t>
            </w:r>
          </w:p>
          <w:p>
            <w:pPr>
              <w:pStyle w:val="null3"/>
            </w:pPr>
            <w:r>
              <w:rPr>
                <w:rFonts w:ascii="仿宋_GB2312" w:hAnsi="仿宋_GB2312" w:cs="仿宋_GB2312" w:eastAsia="仿宋_GB2312"/>
              </w:rPr>
              <w:t>5、《室外排水设计标准》（GB50014-2021）</w:t>
            </w:r>
          </w:p>
          <w:p>
            <w:pPr>
              <w:pStyle w:val="null3"/>
            </w:pPr>
            <w:r>
              <w:rPr>
                <w:rFonts w:ascii="仿宋_GB2312" w:hAnsi="仿宋_GB2312" w:cs="仿宋_GB2312" w:eastAsia="仿宋_GB2312"/>
              </w:rPr>
              <w:t>6、《建筑地基基础施工质量验收标准》（GB50202-2018）</w:t>
            </w:r>
          </w:p>
          <w:p>
            <w:pPr>
              <w:pStyle w:val="null3"/>
            </w:pPr>
            <w:r>
              <w:rPr>
                <w:rFonts w:ascii="仿宋_GB2312" w:hAnsi="仿宋_GB2312" w:cs="仿宋_GB2312" w:eastAsia="仿宋_GB2312"/>
              </w:rPr>
              <w:t>7、《地下防水工程质量验收规范》（GB50208-2011）</w:t>
            </w:r>
          </w:p>
          <w:p>
            <w:pPr>
              <w:pStyle w:val="null3"/>
            </w:pPr>
            <w:r>
              <w:rPr>
                <w:rFonts w:ascii="仿宋_GB2312" w:hAnsi="仿宋_GB2312" w:cs="仿宋_GB2312" w:eastAsia="仿宋_GB2312"/>
              </w:rPr>
              <w:t>8、《建筑基坑支护技术规程》（JGJ120-2012）</w:t>
            </w:r>
          </w:p>
          <w:p>
            <w:pPr>
              <w:pStyle w:val="null3"/>
            </w:pPr>
            <w:r>
              <w:rPr>
                <w:rFonts w:ascii="仿宋_GB2312" w:hAnsi="仿宋_GB2312" w:cs="仿宋_GB2312" w:eastAsia="仿宋_GB2312"/>
              </w:rPr>
              <w:t>9、《混凝土结构工程施工质量验收规范》（GB50204-2015）</w:t>
            </w:r>
          </w:p>
          <w:p>
            <w:pPr>
              <w:pStyle w:val="null3"/>
            </w:pPr>
            <w:r>
              <w:rPr>
                <w:rFonts w:ascii="仿宋_GB2312" w:hAnsi="仿宋_GB2312" w:cs="仿宋_GB2312" w:eastAsia="仿宋_GB2312"/>
              </w:rPr>
              <w:t>10、《钢筋机械连接技术规程》（JGJ107-2016）</w:t>
            </w:r>
          </w:p>
          <w:p>
            <w:pPr>
              <w:pStyle w:val="null3"/>
            </w:pPr>
            <w:r>
              <w:rPr>
                <w:rFonts w:ascii="仿宋_GB2312" w:hAnsi="仿宋_GB2312" w:cs="仿宋_GB2312" w:eastAsia="仿宋_GB2312"/>
              </w:rPr>
              <w:t>11、《钢筋焊接及验收规范》（JGJ18-2012）</w:t>
            </w:r>
          </w:p>
          <w:p>
            <w:pPr>
              <w:pStyle w:val="null3"/>
            </w:pPr>
            <w:r>
              <w:rPr>
                <w:rFonts w:ascii="仿宋_GB2312" w:hAnsi="仿宋_GB2312" w:cs="仿宋_GB2312" w:eastAsia="仿宋_GB2312"/>
              </w:rPr>
              <w:t>12、《砌体结构工程施工质量验收规范》（GB50203-2011）</w:t>
            </w:r>
          </w:p>
          <w:p>
            <w:pPr>
              <w:pStyle w:val="null3"/>
            </w:pPr>
            <w:r>
              <w:rPr>
                <w:rFonts w:ascii="仿宋_GB2312" w:hAnsi="仿宋_GB2312" w:cs="仿宋_GB2312" w:eastAsia="仿宋_GB2312"/>
              </w:rPr>
              <w:t>13、《建设工程项目管理规范》（GB/T50326-2017）</w:t>
            </w:r>
          </w:p>
          <w:p>
            <w:pPr>
              <w:pStyle w:val="null3"/>
            </w:pPr>
            <w:r>
              <w:rPr>
                <w:rFonts w:ascii="仿宋_GB2312" w:hAnsi="仿宋_GB2312" w:cs="仿宋_GB2312" w:eastAsia="仿宋_GB2312"/>
              </w:rPr>
              <w:t>14、《建筑与市政工程施工现场临时用电安全技术标准》（JGJ/T 46-2024 ）</w:t>
            </w:r>
          </w:p>
          <w:p>
            <w:pPr>
              <w:pStyle w:val="null3"/>
            </w:pPr>
            <w:r>
              <w:rPr>
                <w:rFonts w:ascii="仿宋_GB2312" w:hAnsi="仿宋_GB2312" w:cs="仿宋_GB2312" w:eastAsia="仿宋_GB2312"/>
              </w:rPr>
              <w:t>15、《给排水管道工程施工及验收规范》（GB50268-2012）</w:t>
            </w:r>
          </w:p>
          <w:p>
            <w:pPr>
              <w:pStyle w:val="null3"/>
            </w:pPr>
            <w:r>
              <w:rPr>
                <w:rFonts w:ascii="仿宋_GB2312" w:hAnsi="仿宋_GB2312" w:cs="仿宋_GB2312" w:eastAsia="仿宋_GB2312"/>
              </w:rPr>
              <w:t>16、《通风与空调工程施工质量验收规范》（GB50243-2016）</w:t>
            </w:r>
          </w:p>
          <w:p>
            <w:pPr>
              <w:pStyle w:val="null3"/>
            </w:pPr>
            <w:r>
              <w:rPr>
                <w:rFonts w:ascii="仿宋_GB2312" w:hAnsi="仿宋_GB2312" w:cs="仿宋_GB2312" w:eastAsia="仿宋_GB2312"/>
              </w:rPr>
              <w:t>17、《机械设备安装工程施工及验收通用规范》（GB50231-2009）</w:t>
            </w:r>
          </w:p>
          <w:p>
            <w:pPr>
              <w:pStyle w:val="null3"/>
            </w:pPr>
            <w:r>
              <w:rPr>
                <w:rFonts w:ascii="仿宋_GB2312" w:hAnsi="仿宋_GB2312" w:cs="仿宋_GB2312" w:eastAsia="仿宋_GB2312"/>
              </w:rPr>
              <w:t>18、《建筑电气工程施工质量验收规范》（GB50303-2015）</w:t>
            </w:r>
          </w:p>
          <w:p>
            <w:pPr>
              <w:pStyle w:val="null3"/>
            </w:pPr>
            <w:r>
              <w:rPr>
                <w:rFonts w:ascii="仿宋_GB2312" w:hAnsi="仿宋_GB2312" w:cs="仿宋_GB2312" w:eastAsia="仿宋_GB2312"/>
              </w:rPr>
              <w:t>19、《建筑节能工程施工质量验收标准》（GB50411-2019）</w:t>
            </w:r>
          </w:p>
          <w:p>
            <w:pPr>
              <w:pStyle w:val="null3"/>
            </w:pPr>
            <w:r>
              <w:rPr>
                <w:rFonts w:ascii="仿宋_GB2312" w:hAnsi="仿宋_GB2312" w:cs="仿宋_GB2312" w:eastAsia="仿宋_GB2312"/>
              </w:rPr>
              <w:t>20、《建筑施工安全检查标准》（JGJ59-2011）</w:t>
            </w:r>
          </w:p>
          <w:p>
            <w:pPr>
              <w:pStyle w:val="null3"/>
            </w:pPr>
            <w:r>
              <w:rPr>
                <w:rFonts w:ascii="仿宋_GB2312" w:hAnsi="仿宋_GB2312" w:cs="仿宋_GB2312" w:eastAsia="仿宋_GB2312"/>
              </w:rPr>
              <w:t>21、《建筑机械使用安全技术规程》（JGJ33-2012）</w:t>
            </w:r>
          </w:p>
          <w:p>
            <w:pPr>
              <w:pStyle w:val="null3"/>
            </w:pPr>
            <w:r>
              <w:rPr>
                <w:rFonts w:ascii="仿宋_GB2312" w:hAnsi="仿宋_GB2312" w:cs="仿宋_GB2312" w:eastAsia="仿宋_GB2312"/>
              </w:rPr>
              <w:t>22、《施工现场机械设备检查技术规范》（JGJ160-2016）</w:t>
            </w:r>
          </w:p>
          <w:p>
            <w:pPr>
              <w:pStyle w:val="null3"/>
            </w:pPr>
            <w:r>
              <w:rPr>
                <w:rFonts w:ascii="仿宋_GB2312" w:hAnsi="仿宋_GB2312" w:cs="仿宋_GB2312" w:eastAsia="仿宋_GB2312"/>
              </w:rPr>
              <w:t>23、《建筑装饰装修工程质量验收标准》（GB50210-2018）</w:t>
            </w:r>
          </w:p>
          <w:p>
            <w:pPr>
              <w:pStyle w:val="null3"/>
            </w:pPr>
            <w:r>
              <w:rPr>
                <w:rFonts w:ascii="仿宋_GB2312" w:hAnsi="仿宋_GB2312" w:cs="仿宋_GB2312" w:eastAsia="仿宋_GB2312"/>
              </w:rPr>
              <w:t>24、本项目设计文件有关技术指标和标准图集。</w:t>
            </w:r>
          </w:p>
          <w:p>
            <w:pPr>
              <w:pStyle w:val="null3"/>
            </w:pPr>
            <w:r>
              <w:rPr>
                <w:rFonts w:ascii="仿宋_GB2312" w:hAnsi="仿宋_GB2312" w:cs="仿宋_GB2312" w:eastAsia="仿宋_GB2312"/>
                <w:sz w:val="21"/>
              </w:rPr>
              <w:t>如上述标准及规范要求与最新国家、省、市标准有出入者，则以最新标准为准；未尽的工程质量技术要求均按现行国家、省、市有关规范和标准执行。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自合同签订之日起至竣工验收合格且结算审核完成，并至质量缺陷期结束。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进度款，合同签订后，达到付款条件起21个工作日内，支付合同总金额的30.0%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进度款，本项目土建及设备安装工程完工并通过初步验收后，达到付款条件起28个工作日内，支付合同总金额的40.0%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本项目竣工验收合格且结算审核完成后，经甲方绩效评价达到良及以上后，甲方依据工程结算审定金额为基数，按照合同约定固定费率计算，向丙方支付至监理合同结算款，达到付款条件起28个工作日内，支付合同总金额的27.0%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进度款，质量缺陷期满后，达到付款条件起28个工作日内，支付合同总金额的3.0%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3、因系统设置实际付款方式为：（1）监理酬金采用固定费率包干，中标费率一经确定，合同履行期间不作调整； （2） 计费口径严格限定为：监理服务范围内经第三方审计的竣工建筑安装工程结算总价，征地拆迁费、前期费、预备费、建设期利息、设备购置费（约定除外）不计入计费基数； （3） 分阶段支付：本合同金额暂定 元；合同签订后21日内，甲方向乙方支付签约暂定合同价的30%作为预付款；本项目土建及设备安装工程完工并通过初步验收后28日内，甲方向丙方支付至签约暂定合同价的70%；本项目竣工验收合格且结算审核完成后28日内，经甲方绩效评价达到良及以上后，甲方依据工程结算审定金额为基数，按照合同约定固定费率计算，向丙方支付至监理合同结算款的97%；质量缺陷期满后28日内，甲方付清余款。 （4）因招标人原因增加监理服务范围、额外延长监理驻场时间的，双方另行协商增补费用；非招标人原因工期延误，监理费不予增加。 （5）在甲方付款前，由乙方对丙方上报付款资料进行审核后并将相关会签资料作为附件上报甲方，丙方应向甲方出具等额的增值税普通发票，丙方所出具的增值税普通发票必须符合国家标准且合法有效，如丙方未按时提供增值税普通发票或提供的增值税普通发票不符合国家规定等原因，甲方有权延迟支付相应费用而不被视为违约，亦无须承担任何违约责任，且丙方不得以此为由拖延履行本合同义务。 （6）如本项目延期，其中因项目暂停导致的延期，暂停时间不计监理费。 （7）在工程款支付时，发包人可以选用支票、电汇、网上银行转账、银行承兑汇票、商业承兑汇票、信用证、应收账款保理、实物资产抵偿等方式支付。当发包人选择以上任何一种方式支付工程款时，承包人不得有任何异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磋商响应文件格式.docx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磋商响应文件格式.docx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磋商响应文件格式.docx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磋商响应文件格式.docx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税收缴纳及社保缴纳证明</w:t>
            </w:r>
          </w:p>
        </w:tc>
        <w:tc>
          <w:tcPr>
            <w:tcW w:type="dxa" w:w="3322"/>
          </w:tcPr>
          <w:p>
            <w:pPr>
              <w:pStyle w:val="null3"/>
            </w:pPr>
            <w:r>
              <w:rPr>
                <w:rFonts w:ascii="仿宋_GB2312" w:hAnsi="仿宋_GB2312" w:cs="仿宋_GB2312" w:eastAsia="仿宋_GB2312"/>
              </w:rPr>
              <w:t>提供近六个月任意一个月的税收缴纳凭证及社会保险缴纳的凭证。依法免税或不需要缴纳社会保障资金的供应商，应提供相应文件证明其依法免税或不需要缴纳社会保障资金。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磋商响应文件格式.docx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财务审计报告（事业法人可提供部门决算报告）；或提供开标日前三个月内基本存款账户银行出具的资信证明及基本存款账户银行相关证明资料；或提供专业担保机构出具的投标担保函。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磋商响应文件格式.docx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供应商具备工程监理综合类资质甲级或市政公用工程监理乙级（含）及以上资质；供应商需在项目电子化交易系统中按要求上传相应证明文件并进行电子签章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磋商响应文件格式.docx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拟派项目总监理工程师</w:t>
            </w:r>
          </w:p>
        </w:tc>
        <w:tc>
          <w:tcPr>
            <w:tcW w:type="dxa" w:w="3322"/>
          </w:tcPr>
          <w:p>
            <w:pPr>
              <w:pStyle w:val="null3"/>
            </w:pPr>
            <w:r>
              <w:rPr>
                <w:rFonts w:ascii="仿宋_GB2312" w:hAnsi="仿宋_GB2312" w:cs="仿宋_GB2312" w:eastAsia="仿宋_GB2312"/>
              </w:rPr>
              <w:t>拟派项目总监理工程师具备市政公用工程专业注册监理工程师资格，且在本单位注册，如拟派总监理工程师有担任其他在监工程的总监理工程师，则在监工程不得超过2个（含），同时需提供在监项目建设单位的同意意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磋商响应文件格式.docx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磋商响应文件格式.docx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履行合同所必需的设备和专业技术能力书面声明函；此项可提供基本资格条件承诺函；供应商需在项目电子化交易系统中按要求上传相应证明文件并进行电子签章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磋商响应文件格式.docx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s://zxgk.court.gov.cn/）列入失信被执行人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磋商响应文件格式.docx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被授权人参与磋商的须提供法定代表人授权书、被授权人身份证及本单位连续三个月的社会保险缴纳证明；法定代表人直接参加磋商的须提供其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磋商响应文件格式.docx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磋商响应文件格式.docx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磋商响应文件格式.docx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磋商响应文件格式.docx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磋商响应文件格式.docx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磋商响应文件格式.docx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服务工期</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磋商响应文件格式.docx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监理实施方案内容至少包括①对项目的理解分析；②监理总体的工作目标；③监理内容；④服务方式；⑤监理流程等。以上内容全面详细、阐述条理清晰详尽、符合本项目采购需求得10分，响应内容每缺一项内容扣2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磋商响应文件格式.docx</w:t>
            </w:r>
          </w:p>
        </w:tc>
      </w:tr>
      <w:tr>
        <w:tc>
          <w:tcPr>
            <w:tcW w:type="dxa" w:w="831"/>
            <w:vMerge/>
          </w:tcPr>
          <w:p/>
        </w:tc>
        <w:tc>
          <w:tcPr>
            <w:tcW w:type="dxa" w:w="1661"/>
          </w:tcPr>
          <w:p>
            <w:pPr>
              <w:pStyle w:val="null3"/>
            </w:pPr>
            <w:r>
              <w:rPr>
                <w:rFonts w:ascii="仿宋_GB2312" w:hAnsi="仿宋_GB2312" w:cs="仿宋_GB2312" w:eastAsia="仿宋_GB2312"/>
              </w:rPr>
              <w:t>项目整体控制措施</w:t>
            </w:r>
          </w:p>
        </w:tc>
        <w:tc>
          <w:tcPr>
            <w:tcW w:type="dxa" w:w="2492"/>
          </w:tcPr>
          <w:p>
            <w:pPr>
              <w:pStyle w:val="null3"/>
            </w:pPr>
            <w:r>
              <w:rPr>
                <w:rFonts w:ascii="仿宋_GB2312" w:hAnsi="仿宋_GB2312" w:cs="仿宋_GB2312" w:eastAsia="仿宋_GB2312"/>
              </w:rPr>
              <w:t>项目整体控制措施内容至少包括①项目进度保障措施；②项目质量控制的方法和措施；③人员作业安全措施；④变更控制的方法和措施；⑤投资控制的方法和措施。以上内容全面详细、阐述条理清晰详尽、符合本项目采购需求得10分，响应内容每缺一项内容扣2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磋商响应文件格式.docx</w:t>
            </w:r>
          </w:p>
        </w:tc>
      </w:tr>
      <w:tr>
        <w:tc>
          <w:tcPr>
            <w:tcW w:type="dxa" w:w="831"/>
            <w:vMerge/>
          </w:tcPr>
          <w:p/>
        </w:tc>
        <w:tc>
          <w:tcPr>
            <w:tcW w:type="dxa" w:w="1661"/>
          </w:tcPr>
          <w:p>
            <w:pPr>
              <w:pStyle w:val="null3"/>
            </w:pPr>
            <w:r>
              <w:rPr>
                <w:rFonts w:ascii="仿宋_GB2312" w:hAnsi="仿宋_GB2312" w:cs="仿宋_GB2312" w:eastAsia="仿宋_GB2312"/>
              </w:rPr>
              <w:t>拟投入本项目的监理现场设施配备</w:t>
            </w:r>
          </w:p>
        </w:tc>
        <w:tc>
          <w:tcPr>
            <w:tcW w:type="dxa" w:w="2492"/>
          </w:tcPr>
          <w:p>
            <w:pPr>
              <w:pStyle w:val="null3"/>
            </w:pPr>
            <w:r>
              <w:rPr>
                <w:rFonts w:ascii="仿宋_GB2312" w:hAnsi="仿宋_GB2312" w:cs="仿宋_GB2312" w:eastAsia="仿宋_GB2312"/>
              </w:rPr>
              <w:t>拟投入本项目的监理现场设施配备内容至少包括①设备、仪器种类；②设备、仪器使用年限；③设备、仪器可行性；④设备品牌等。以上内容全面详细、阐述条理清晰详尽、符合本项目采购需求得10分，评审内容每缺一项内容扣2.5分。响应内容有瑕疵的，每出现一次扣1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磋商响应文件格式.docx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内容至少包括①应急组织机构；②应急响应时间；③应急保障措施；④调动人员的数量等。以上内容全面详细、阐述条理清晰详尽、符合本项目采购需求得10分，评审内容每缺一项内容扣2.5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磋商响应文件格式.docx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供应商根据项目情况提供完整的内部管理服务措施，包括：①上岗人员管理制度；②日常管理制度；③服务标准考核制度；④内部监督考核制度。每提供一种制度得2.5分，满分10分。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磋商响应文件格式.docx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服务承诺包括①服务质量保证承诺；②售后服务措施承诺，以上内容每提供1个承诺得5分，满分10分。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磋商响应文件格式.docx</w:t>
            </w:r>
          </w:p>
        </w:tc>
      </w:tr>
      <w:tr>
        <w:tc>
          <w:tcPr>
            <w:tcW w:type="dxa" w:w="831"/>
            <w:vMerge/>
          </w:tcPr>
          <w:p/>
        </w:tc>
        <w:tc>
          <w:tcPr>
            <w:tcW w:type="dxa" w:w="1661"/>
          </w:tcPr>
          <w:p>
            <w:pPr>
              <w:pStyle w:val="null3"/>
            </w:pPr>
            <w:r>
              <w:rPr>
                <w:rFonts w:ascii="仿宋_GB2312" w:hAnsi="仿宋_GB2312" w:cs="仿宋_GB2312" w:eastAsia="仿宋_GB2312"/>
              </w:rPr>
              <w:t>拟派项目总监</w:t>
            </w:r>
          </w:p>
        </w:tc>
        <w:tc>
          <w:tcPr>
            <w:tcW w:type="dxa" w:w="2492"/>
          </w:tcPr>
          <w:p>
            <w:pPr>
              <w:pStyle w:val="null3"/>
            </w:pPr>
            <w:r>
              <w:rPr>
                <w:rFonts w:ascii="仿宋_GB2312" w:hAnsi="仿宋_GB2312" w:cs="仿宋_GB2312" w:eastAsia="仿宋_GB2312"/>
              </w:rPr>
              <w:t>1、年龄：在 30-50周岁之间计2分，其它年龄者计1分； 2、职称：具有中级及以上职称计3分，中级以下职称不计分； 3、学历：具有本科及以上学历得2分，其他不得分。 4、2023年1月1日至今作为项目总监完成的类似业绩，每提供一项计2.5 分，满分5分。未提供不计分。（提供合同复印件加盖公章，需体现项目总监姓名，如上述文件不能体现项目总监姓名的，可提供业主出具的相关证明扫描件。未提供不得分） 注：上述评审标准未提供相关证明资料不计分。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磋商响应文件格式.docx</w:t>
            </w:r>
          </w:p>
        </w:tc>
      </w:tr>
      <w:tr>
        <w:tc>
          <w:tcPr>
            <w:tcW w:type="dxa" w:w="831"/>
            <w:vMerge/>
          </w:tcPr>
          <w:p/>
        </w:tc>
        <w:tc>
          <w:tcPr>
            <w:tcW w:type="dxa" w:w="1661"/>
          </w:tcPr>
          <w:p>
            <w:pPr>
              <w:pStyle w:val="null3"/>
            </w:pPr>
            <w:r>
              <w:rPr>
                <w:rFonts w:ascii="仿宋_GB2312" w:hAnsi="仿宋_GB2312" w:cs="仿宋_GB2312" w:eastAsia="仿宋_GB2312"/>
              </w:rPr>
              <w:t>现场监理人员配备</w:t>
            </w:r>
          </w:p>
        </w:tc>
        <w:tc>
          <w:tcPr>
            <w:tcW w:type="dxa" w:w="2492"/>
          </w:tcPr>
          <w:p>
            <w:pPr>
              <w:pStyle w:val="null3"/>
            </w:pPr>
            <w:r>
              <w:rPr>
                <w:rFonts w:ascii="仿宋_GB2312" w:hAnsi="仿宋_GB2312" w:cs="仿宋_GB2312" w:eastAsia="仿宋_GB2312"/>
              </w:rPr>
              <w:t>①基本要求：除拟派项目总监外，拟派现场监理人员应至少包含：专业监理工程师2人，安全监理工程师1人，资料员1人，此项基本要求完全满足得3分，人员配备无法满足该项基本要求的不得分。②在满足“①基本要求”的前提下，现场人员每增加一名相关专业人员加 1 分，加满5分为止。 注：以上人员须提供相关证明材料，专业以注册证书或培训证书专业为准，工作经验以毕业时间为准。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磋商响应文件格式.docx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起至今类似项目业绩每提供一份得2分，满分10分。（以磋商响应文件中合同或合同关键页（必须含封面、内容、签订时间、盖章签字页等信息）或中标（成交）通知书加盖公章的扫描件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磋商响应文件格式.docx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磋商响应文件格式.docx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磋商响应文件格式.docx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