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版本号：YSY2026-CG-010.1B220260527001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G316城固汉江特大桥及引线工程堰沟河大桥平面二维水动力数值模拟报告技术服务(三次)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YSY2026-CG-010.1B2</w:t>
      </w:r>
      <w:r>
        <w:br/>
      </w:r>
      <w:r>
        <w:br/>
      </w:r>
      <w:r>
        <w:br/>
      </w:r>
    </w:p>
    <w:p>
      <w:pPr>
        <w:pStyle w:val="null3"/>
        <w:jc w:val="center"/>
        <w:outlineLvl w:val="2"/>
      </w:pPr>
      <w:r>
        <w:rPr>
          <w:rFonts w:ascii="仿宋_GB2312" w:hAnsi="仿宋_GB2312" w:cs="仿宋_GB2312" w:eastAsia="仿宋_GB2312"/>
          <w:sz w:val="28"/>
          <w:b/>
        </w:rPr>
        <w:t>城固县交通运输局</w:t>
      </w:r>
    </w:p>
    <w:p>
      <w:pPr>
        <w:pStyle w:val="null3"/>
        <w:jc w:val="center"/>
        <w:outlineLvl w:val="2"/>
      </w:pPr>
      <w:r>
        <w:rPr>
          <w:rFonts w:ascii="仿宋_GB2312" w:hAnsi="仿宋_GB2312" w:cs="仿宋_GB2312" w:eastAsia="仿宋_GB2312"/>
          <w:sz w:val="28"/>
          <w:b/>
        </w:rPr>
        <w:t>陕西亿胜元项目管理有限公司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陕西亿胜元项目管理有限公司</w:t>
      </w:r>
      <w:r>
        <w:rPr>
          <w:rFonts w:ascii="仿宋_GB2312" w:hAnsi="仿宋_GB2312" w:cs="仿宋_GB2312" w:eastAsia="仿宋_GB2312"/>
        </w:rPr>
        <w:t>（以下简称“代理机构”）受</w:t>
      </w:r>
      <w:r>
        <w:rPr>
          <w:rFonts w:ascii="仿宋_GB2312" w:hAnsi="仿宋_GB2312" w:cs="仿宋_GB2312" w:eastAsia="仿宋_GB2312"/>
        </w:rPr>
        <w:t>城固县交通运输局</w:t>
      </w:r>
      <w:r>
        <w:rPr>
          <w:rFonts w:ascii="仿宋_GB2312" w:hAnsi="仿宋_GB2312" w:cs="仿宋_GB2312" w:eastAsia="仿宋_GB2312"/>
        </w:rPr>
        <w:t>委托，拟对</w:t>
      </w:r>
      <w:r>
        <w:rPr>
          <w:rFonts w:ascii="仿宋_GB2312" w:hAnsi="仿宋_GB2312" w:cs="仿宋_GB2312" w:eastAsia="仿宋_GB2312"/>
        </w:rPr>
        <w:t>G316城固汉江特大桥及引线工程堰沟河大桥平面二维水动力数值模拟报告技术服务(三次)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YSY2026-CG-010.1B2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G316城固汉江特大桥及引线工程堰沟河大桥平面二维水动力数值模拟报告技术服务(三次)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对G316城固汉江特大桥及引线工程堰沟河大桥平面二维水动力数值模拟报告技术服务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须具有独立承担民事责任的能力，可为企业法人、事业法人、其他组织或自然人。本项目面向具有相应研究能力的科研机构、企业或高等院校参与。（企业法人须提供合法有效的营业执照（应载明统一社会信用代码）；事业法人须提供事业单位法人证书；其他组织须提供合法有效的登记证明文件；自然人须提供身份证明；供应商应按要求提供能够证明其具备相应研究能力的相关材料）。</w:t>
      </w:r>
    </w:p>
    <w:p>
      <w:pPr>
        <w:pStyle w:val="null3"/>
      </w:pPr>
      <w:r>
        <w:rPr>
          <w:rFonts w:ascii="仿宋_GB2312" w:hAnsi="仿宋_GB2312" w:cs="仿宋_GB2312" w:eastAsia="仿宋_GB2312"/>
        </w:rPr>
        <w:t>2、法定代表人或委托代理人身份证明：供应商应授权合法的人员参加磋商，法定代表人直接参与磋商时需提供法定代表人身份证明(附法定代表人身份证复印件)；被授权人参与时需提供被授权人身份证复印件及法定代表人授权委托书加盖公章。</w:t>
      </w:r>
    </w:p>
    <w:p>
      <w:pPr>
        <w:pStyle w:val="null3"/>
      </w:pPr>
      <w:r>
        <w:rPr>
          <w:rFonts w:ascii="仿宋_GB2312" w:hAnsi="仿宋_GB2312" w:cs="仿宋_GB2312" w:eastAsia="仿宋_GB2312"/>
        </w:rPr>
        <w:t>3、项目负责人资质：项目负责人须具备水利水电工程专业高级职称，供应商须提供项目负责人职称证书加盖公章。</w:t>
      </w:r>
    </w:p>
    <w:p>
      <w:pPr>
        <w:pStyle w:val="null3"/>
      </w:pPr>
      <w:r>
        <w:rPr>
          <w:rFonts w:ascii="仿宋_GB2312" w:hAnsi="仿宋_GB2312" w:cs="仿宋_GB2312" w:eastAsia="仿宋_GB2312"/>
        </w:rPr>
        <w:t>4、汉中市政府采购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须提供加盖公章的《汉中市政府采购供应商资格承诺函》；</w:t>
      </w:r>
    </w:p>
    <w:p>
      <w:pPr>
        <w:pStyle w:val="null3"/>
      </w:pPr>
      <w:r>
        <w:rPr>
          <w:rFonts w:ascii="仿宋_GB2312" w:hAnsi="仿宋_GB2312" w:cs="仿宋_GB2312" w:eastAsia="仿宋_GB2312"/>
        </w:rPr>
        <w:t>5、联合体：本项目不接受联合体投标，供应商需提供非联合体书面声明。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城固县交通运输局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城固县西环一路中段15号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城固县交通运输局经办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0916-7212904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陕西亿胜元项目管理有限公司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陕西省汉中市汉台区东一环与风景路交汇处中饮办公中心C区-8F</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龚工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0916-2102199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城固县政府采购管理股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0916-3189266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采购包1：480,000.00元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开户名称：陕西亿胜元项目管理有限公司</w:t>
            </w:r>
          </w:p>
          <w:p>
            <w:pPr>
              <w:pStyle w:val="null3"/>
            </w:pPr>
            <w:r>
              <w:rPr>
                <w:rFonts w:ascii="仿宋_GB2312" w:hAnsi="仿宋_GB2312" w:cs="仿宋_GB2312" w:eastAsia="仿宋_GB2312"/>
              </w:rPr>
              <w:t>开户银行：中国银行汉中莲湖路支行</w:t>
            </w:r>
          </w:p>
          <w:p>
            <w:pPr>
              <w:pStyle w:val="null3"/>
            </w:pPr>
            <w:r>
              <w:rPr>
                <w:rFonts w:ascii="仿宋_GB2312" w:hAnsi="仿宋_GB2312" w:cs="仿宋_GB2312" w:eastAsia="仿宋_GB2312"/>
              </w:rPr>
              <w:t>银行账号：102513126064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依据《国家计委关于印发标代理服务收费管理暂行办法的通知》(计价格【2002】1980号)和国家发改委办公厅国发的《关于招标代理服务收费有关问题的通知》(发改办价格【2003】857号)文件规定的收费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城固县交通运输局</w:t>
      </w:r>
      <w:r>
        <w:rPr>
          <w:rFonts w:ascii="仿宋_GB2312" w:hAnsi="仿宋_GB2312" w:cs="仿宋_GB2312" w:eastAsia="仿宋_GB2312"/>
        </w:rPr>
        <w:t>和</w:t>
      </w:r>
      <w:r>
        <w:rPr>
          <w:rFonts w:ascii="仿宋_GB2312" w:hAnsi="仿宋_GB2312" w:cs="仿宋_GB2312" w:eastAsia="仿宋_GB2312"/>
        </w:rPr>
        <w:t>陕西亿胜元项目管理有限公司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城固县交通运输局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陕西亿胜元项目管理有限公司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城固县交通运输局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陕西亿胜元项目管理有限公司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根据具体工作内容的相关标准进行验收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陕西亿胜元项目管理有限公司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陕西亿胜元项目管理有限公司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陕西亿胜元项目管理有限公司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联系人：龚工</w:t>
      </w:r>
    </w:p>
    <w:p>
      <w:pPr>
        <w:pStyle w:val="null3"/>
      </w:pPr>
      <w:r>
        <w:rPr>
          <w:rFonts w:ascii="仿宋_GB2312" w:hAnsi="仿宋_GB2312" w:cs="仿宋_GB2312" w:eastAsia="仿宋_GB2312"/>
        </w:rPr>
        <w:t>联系电话：0916-2102199</w:t>
      </w:r>
    </w:p>
    <w:p>
      <w:pPr>
        <w:pStyle w:val="null3"/>
      </w:pPr>
      <w:r>
        <w:rPr>
          <w:rFonts w:ascii="仿宋_GB2312" w:hAnsi="仿宋_GB2312" w:cs="仿宋_GB2312" w:eastAsia="仿宋_GB2312"/>
        </w:rPr>
        <w:t>地址：汉中市汉台区东一环与风景路交汇处中饮办公中心C区-8F</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对G316城固汉江特大桥及引线工程堰沟河大桥平面二维水动力数值模拟报告技术服务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480,000.00</w:t>
      </w:r>
    </w:p>
    <w:p>
      <w:pPr>
        <w:pStyle w:val="null3"/>
      </w:pPr>
      <w:r>
        <w:rPr>
          <w:rFonts w:ascii="仿宋_GB2312" w:hAnsi="仿宋_GB2312" w:cs="仿宋_GB2312" w:eastAsia="仿宋_GB2312"/>
        </w:rPr>
        <w:t>采购包最高限价（元）: 480,000.00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G316城固汉江特大桥及引线工程堰沟河大桥平面二维水动力数值模拟报告技术服务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标的名称：G316城固汉江特大桥及引线工程堰沟河大桥平面二维水动力数值模拟报告技术服务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实测河段平面、</w:t>
            </w:r>
            <w:r>
              <w:rPr>
                <w:rFonts w:ascii="仿宋_GB2312" w:hAnsi="仿宋_GB2312" w:cs="仿宋_GB2312" w:eastAsia="仿宋_GB2312"/>
                <w:sz w:val="24"/>
              </w:rPr>
              <w:t>地形数据，测量河道断面，构建平面二维水动力数学模型。根据设计桥梁结构形式，分析对比建桥前后桥梁壅水影响范围，根据详细的流场分布情况，对桥梁结构形式及布设方案提供意见建议，在优化方案的基础上继续进行模型构建并进一步论证。根据流速分布，水位情况等相关计算成果，为桥梁冲刷及防洪补救措施提供意见建议。要求应用的模型经实际工程验证，并通过专家审查。</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项目负责人须具备水利水电工程专业高级职称</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自合同签订后30天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报告编写及模型建立符合水利、桥梁、防洪等相关技术规范。必须满足采购人要求，通过专家论证审查，同时做好跟进技术服务工作。</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 xml:space="preserve">成果提交后，协助采购人取得上级主管部门批复文件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甲乙双方在合同履行中发生争议，应通过协商解决。如协商不成，可以向甲方所在地有管辖权的人民法院提起诉讼。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须具有独立承担民事责任的能力，可为企业法人、事业法人、其他组织或自然人。本项目面向具有相应研究能力的科研机构、企业或高等院校参与。（企业法人须提供合法有效的营业执照（应载明统一社会信用代码）；事业法人须提供事业单位法人证书；其他组织须提供合法有效的登记证明文件；自然人须提供身份证明；供应商应按要求提供能够证明其具备相应研究能力的相关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供应商应授权合法的人员参加磋商，法定代表人直接参与磋商时需提供法定代表人身份证明(附法定代表人身份证复印件)；被授权人参与时需提供被授权人身份证复印件及法定代表人授权委托书加盖公章。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项目负责人资质</w:t>
            </w:r>
          </w:p>
        </w:tc>
        <w:tc>
          <w:tcPr>
            <w:tcW w:type="dxa" w:w="3322"/>
          </w:tcPr>
          <w:p>
            <w:pPr>
              <w:pStyle w:val="null3"/>
            </w:pPr>
            <w:r>
              <w:rPr>
                <w:rFonts w:ascii="仿宋_GB2312" w:hAnsi="仿宋_GB2312" w:cs="仿宋_GB2312" w:eastAsia="仿宋_GB2312"/>
              </w:rPr>
              <w:t>项目负责人须具备水利水电工程专业高级职称，供应商须提供项目负责人职称证书加盖公章。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须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按磋商文件格式要求加盖了供应商公章和有法定代表人（或单位负责人）或其授权代表签字或加盖人名章</w:t>
            </w:r>
          </w:p>
        </w:tc>
        <w:tc>
          <w:tcPr>
            <w:tcW w:type="dxa" w:w="1661"/>
          </w:tcPr>
          <w:p>
            <w:pPr>
              <w:pStyle w:val="null3"/>
            </w:pPr>
            <w:r>
              <w:rPr>
                <w:rFonts w:ascii="仿宋_GB2312" w:hAnsi="仿宋_GB2312" w:cs="仿宋_GB2312" w:eastAsia="仿宋_GB2312"/>
              </w:rPr>
              <w:t>技术服务方案.docx 服务内容及服务邀请应答表 拟配备的项目人员.docx 中小企业声明函 商务应答表 供应商类似业绩.docx 报价表 响应文件封面 供应商应提交的相关资格证明材料.docx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有效期满足磋商文件要求的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技术服务方案.docx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供应商（2023年1月至今）独立承担过类似业绩。业绩证明材料：须提供清晰合同复印件并加盖供应商公章。每提供一个业绩得2.5分,最高得5分。（以合同签订时间为准）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供应商类似业绩.docx</w:t>
            </w:r>
          </w:p>
        </w:tc>
      </w:tr>
      <w:tr>
        <w:tc>
          <w:tcPr>
            <w:tcW w:type="dxa" w:w="831"/>
            <w:vMerge/>
          </w:tcP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针对采购人提出的各项服务内容提供具体详细可行的实施方案，方案应包括但不限于①用于本项目的设备；②参与该项目的技术人员能力和相关研究基础；③模型选择与方程构建；④对本项目的理解与分析；⑤优化意见。 以上各项内容全面详细、阐述条理清晰得30分，每缺一项扣6分，每项中的内容存在缺陷，扣1分，扣完为止。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需求理解及现状分析</w:t>
            </w:r>
          </w:p>
        </w:tc>
        <w:tc>
          <w:tcPr>
            <w:tcW w:type="dxa" w:w="2492"/>
          </w:tcPr>
          <w:p>
            <w:pPr>
              <w:pStyle w:val="null3"/>
            </w:pPr>
            <w:r>
              <w:rPr>
                <w:rFonts w:ascii="仿宋_GB2312" w:hAnsi="仿宋_GB2312" w:cs="仿宋_GB2312" w:eastAsia="仿宋_GB2312"/>
              </w:rPr>
              <w:t>供应商对本项目的涉及到的区域现状进行深入分析，包括但不限于：①项目背景与研究意义；②研究区域概况与基础资料；③模型局限性与不确定性分析；④软件与前沿技术展望。 以上各项内容全面详细、阐述条理清晰得20分，每缺一项扣5分，每项中的内容存在缺陷，扣1分，扣完为止。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项目质量保证措施</w:t>
            </w:r>
          </w:p>
        </w:tc>
        <w:tc>
          <w:tcPr>
            <w:tcW w:type="dxa" w:w="2492"/>
          </w:tcPr>
          <w:p>
            <w:pPr>
              <w:pStyle w:val="null3"/>
            </w:pPr>
            <w:r>
              <w:rPr>
                <w:rFonts w:ascii="仿宋_GB2312" w:hAnsi="仿宋_GB2312" w:cs="仿宋_GB2312" w:eastAsia="仿宋_GB2312"/>
              </w:rPr>
              <w:t>供应商编写质量保证措施确保工作优质、高效完成，包括但不限于：①模型构建方法；②关键技术处理；③模拟方案与工况设置；④模型可靠性分析与工程应用案例。 以上各项内容全面详细、阐述条理清晰得20分，每缺一项扣5分，每项中的内容存在缺陷，扣1分，扣完为止。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拟配备的其他项目人员</w:t>
            </w:r>
          </w:p>
        </w:tc>
        <w:tc>
          <w:tcPr>
            <w:tcW w:type="dxa" w:w="2492"/>
          </w:tcPr>
          <w:p>
            <w:pPr>
              <w:pStyle w:val="null3"/>
            </w:pPr>
            <w:r>
              <w:rPr>
                <w:rFonts w:ascii="仿宋_GB2312" w:hAnsi="仿宋_GB2312" w:cs="仿宋_GB2312" w:eastAsia="仿宋_GB2312"/>
              </w:rPr>
              <w:t>根据供应商拟配备的人员的数量、专业、从业经验等方面进行综合评定。 供应商除项目负责人外提供具备水利水电工程专业高级职称人员的每一个加2分，此项最高可得10分。 提供人员身份证、职称证复印件、供应商半年内为其缴纳的三个月的社保证明材料加盖公章，未提供证明资料或证明资料不全的，本项不得分。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拟配备的项目人员.docx</w:t>
            </w:r>
          </w:p>
        </w:tc>
      </w:tr>
      <w:tr>
        <w:tc>
          <w:tcPr>
            <w:tcW w:type="dxa" w:w="831"/>
            <w:vMerge/>
          </w:tcPr>
          <w:p/>
        </w:tc>
        <w:tc>
          <w:tcPr>
            <w:tcW w:type="dxa" w:w="1661"/>
          </w:tcPr>
          <w:p>
            <w:pPr>
              <w:pStyle w:val="null3"/>
            </w:pPr>
            <w:r>
              <w:rPr>
                <w:rFonts w:ascii="仿宋_GB2312" w:hAnsi="仿宋_GB2312" w:cs="仿宋_GB2312" w:eastAsia="仿宋_GB2312"/>
              </w:rPr>
              <w:t>供应商具有水利水电工程相关科研平台</w:t>
            </w:r>
          </w:p>
        </w:tc>
        <w:tc>
          <w:tcPr>
            <w:tcW w:type="dxa" w:w="2492"/>
          </w:tcPr>
          <w:p>
            <w:pPr>
              <w:pStyle w:val="null3"/>
            </w:pPr>
            <w:r>
              <w:rPr>
                <w:rFonts w:ascii="仿宋_GB2312" w:hAnsi="仿宋_GB2312" w:cs="仿宋_GB2312" w:eastAsia="仿宋_GB2312"/>
              </w:rPr>
              <w:t>项目实施过程中可能需要利用科研平台资源，供应商具有水利水电工程相关科研平台的得5分，供应商须提供相关平台证明材料并加盖公章。未提供或不能证明的不得分。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技术服务方案.docx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投标价格最低的投标报价为评标基准价，其价格分为满分10分，其他供应商的价格分统一按照下列公式计算：投标报价得分=（评标基准价/投标报价）×10，供应商不得以低于成本的报价参加投标。磋商小组认为供应商的报价明显低于其他通过符合性审查供应商的报价，有可能影响服务质量或者不能诚信履约的，应当要求其在开标现场合理的时间内提供书面说明，必要时提交相关证明材料；供应商不能证明其报价合理性的，磋商小组应当将其作为无效投标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详见附件：供应商类似业绩.docx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详见附件：技术服务方案.docx</w:t>
      </w:r>
    </w:p>
    <w:p>
      <w:pPr>
        <w:pStyle w:val="null3"/>
        <w:ind w:firstLine="960"/>
      </w:pPr>
      <w:r>
        <w:rPr>
          <w:rFonts w:ascii="仿宋_GB2312" w:hAnsi="仿宋_GB2312" w:cs="仿宋_GB2312" w:eastAsia="仿宋_GB2312"/>
        </w:rPr>
        <w:t>详见附件：拟配备的项目人员.docx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详见附件：合同条款及合同文件格式.docx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