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版本号：SXZCZB2026-ZCJT-0320（三次）20260506001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辅助器具服务（共享辅具和救助辅助器具）(三次)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SXZCZB2026-ZCJT-0320（三次）</w:t>
      </w:r>
      <w:r>
        <w:br/>
      </w:r>
      <w:r>
        <w:br/>
      </w:r>
      <w:r>
        <w:br/>
      </w:r>
    </w:p>
    <w:p>
      <w:pPr>
        <w:pStyle w:val="null3"/>
        <w:jc w:val="center"/>
        <w:outlineLvl w:val="2"/>
      </w:pPr>
      <w:r>
        <w:rPr>
          <w:rFonts w:ascii="仿宋_GB2312" w:hAnsi="仿宋_GB2312" w:cs="仿宋_GB2312" w:eastAsia="仿宋_GB2312"/>
          <w:sz w:val="28"/>
          <w:b/>
        </w:rPr>
        <w:t>陕西省残疾人辅助技术中心</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陕西省残疾人辅助技术中心</w:t>
      </w:r>
      <w:r>
        <w:rPr>
          <w:rFonts w:ascii="仿宋_GB2312" w:hAnsi="仿宋_GB2312" w:cs="仿宋_GB2312" w:eastAsia="仿宋_GB2312"/>
        </w:rPr>
        <w:t>委托，拟对</w:t>
      </w:r>
      <w:r>
        <w:rPr>
          <w:rFonts w:ascii="仿宋_GB2312" w:hAnsi="仿宋_GB2312" w:cs="仿宋_GB2312" w:eastAsia="仿宋_GB2312"/>
        </w:rPr>
        <w:t>辅助器具服务（共享辅具和救助辅助器具）(三次)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SXZCZB2026-ZCJT-0320（三次）</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辅助器具服务（共享辅具和救助辅助器具）(三次)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辅助器具服务（共享辅具和救助辅助器具）</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采购包1（辅助器具服务（共享辅具和救助辅助器具））：属于专门面向中小企业采购。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2、法人授权书：提供法定代表人授权书（附法定代表人、被授权人身份证复印件），法定代表人直接参加投标，须提供法定代表人身份证明（附法定代表人身份证复印件）；</w:t>
      </w:r>
    </w:p>
    <w:p>
      <w:pPr>
        <w:pStyle w:val="null3"/>
      </w:pPr>
      <w:r>
        <w:rPr>
          <w:rFonts w:ascii="仿宋_GB2312" w:hAnsi="仿宋_GB2312" w:cs="仿宋_GB2312" w:eastAsia="仿宋_GB2312"/>
        </w:rPr>
        <w:t>3、财务状况报告：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4、税收缴纳证明：提供递交响应文件截止日前一年内已缴纳的至少一个月的纳税证明或完税证明（任意税种），依法免税的单位应提供相关证明材料；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递交响应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6、履行本合同所必需的设备和专业技术能力的说明及承诺书：提供具有履行本合同所必需的设备和专业技术能力的说明及承诺书；</w:t>
      </w:r>
    </w:p>
    <w:p>
      <w:pPr>
        <w:pStyle w:val="null3"/>
      </w:pPr>
      <w:r>
        <w:rPr>
          <w:rFonts w:ascii="仿宋_GB2312" w:hAnsi="仿宋_GB2312" w:cs="仿宋_GB2312" w:eastAsia="仿宋_GB2312"/>
        </w:rPr>
        <w:t>7、信用记录：供应商应通过“信用中国”网站(www.creditchina.gov.cn)、中国政府采购网(www.ccgp.gov.cn)查询相关主体信用记录；</w:t>
      </w:r>
    </w:p>
    <w:p>
      <w:pPr>
        <w:pStyle w:val="null3"/>
      </w:pPr>
      <w:r>
        <w:rPr>
          <w:rFonts w:ascii="仿宋_GB2312" w:hAnsi="仿宋_GB2312" w:cs="仿宋_GB2312" w:eastAsia="仿宋_GB2312"/>
        </w:rPr>
        <w:t>8、书面声明：参加政府采购活动前3年内，在经营活动中没有重大违法记录的书面声明；</w:t>
      </w:r>
    </w:p>
    <w:p>
      <w:pPr>
        <w:pStyle w:val="null3"/>
      </w:pPr>
      <w:r>
        <w:rPr>
          <w:rFonts w:ascii="仿宋_GB2312" w:hAnsi="仿宋_GB2312" w:cs="仿宋_GB2312" w:eastAsia="仿宋_GB2312"/>
        </w:rPr>
        <w:t>9、中小企业声明函：本项目为专门面向中小企业采购；</w:t>
      </w:r>
    </w:p>
    <w:p>
      <w:pPr>
        <w:pStyle w:val="null3"/>
      </w:pPr>
      <w:r>
        <w:rPr>
          <w:rFonts w:ascii="仿宋_GB2312" w:hAnsi="仿宋_GB2312" w:cs="仿宋_GB2312" w:eastAsia="仿宋_GB2312"/>
        </w:rPr>
        <w:t>10、资质证书：供应商如为代理商的应提供《医疗器械经营许可证》或《医疗器械经营备案证》；供应商如为制造商的应提供《医疗器械生产许可证》或《医疗器械生产备案证》；</w:t>
      </w:r>
    </w:p>
    <w:p>
      <w:pPr>
        <w:pStyle w:val="null3"/>
      </w:pPr>
      <w:r>
        <w:rPr>
          <w:rFonts w:ascii="仿宋_GB2312" w:hAnsi="仿宋_GB2312" w:cs="仿宋_GB2312" w:eastAsia="仿宋_GB2312"/>
        </w:rPr>
        <w:t>11、控股管理关系：提供直接控股和管理关系清单。若与其他供应商存在单位负责人为同一人或者存在直接控股、管理关系的，则响应无效；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12、非联合体谈判（提供承诺书）：本项目不接受联合体谈判（提供承诺书）。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陕西省残疾人辅助技术中心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岳老师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86243662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胡晓均、倪沛、王欣玫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代理服务费收费标准：以中标金额为基数，依据国家计委颁发的《招标代理服务收费管理暂行 办法》（计价格[2002]1980号）和国家发展和改革委员会办公厅颁发的《关于招标代理服务收费 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陕西省残疾人辅助技术中心</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陕西省残疾人辅助技术中心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陕西省残疾人辅助技术中心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陕西至诚项目管理集团有限公司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联系人：倪沛、王欣玫、胡晓均</w:t>
      </w:r>
    </w:p>
    <w:p>
      <w:pPr>
        <w:pStyle w:val="null3"/>
      </w:pPr>
      <w:r>
        <w:rPr>
          <w:rFonts w:ascii="仿宋_GB2312" w:hAnsi="仿宋_GB2312" w:cs="仿宋_GB2312" w:eastAsia="仿宋_GB2312"/>
        </w:rPr>
        <w:t>联系电话：029-88219779</w:t>
      </w:r>
    </w:p>
    <w:p>
      <w:pPr>
        <w:pStyle w:val="null3"/>
      </w:pPr>
      <w:r>
        <w:rPr>
          <w:rFonts w:ascii="仿宋_GB2312" w:hAnsi="仿宋_GB2312" w:cs="仿宋_GB2312" w:eastAsia="仿宋_GB2312"/>
        </w:rPr>
        <w:t>地址：陕西省西安市经济技术开发区未央路171-1号银池道拉斯财富中心21楼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2026年度辅助器具服务（共享辅具和救助辅助器具）</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功能轮椅四轮助行器腋拐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标的名称：功能轮椅四轮助行器腋拐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6"/>
              <w:gridCol w:w="373"/>
              <w:gridCol w:w="1129"/>
              <w:gridCol w:w="247"/>
              <w:gridCol w:w="309"/>
              <w:gridCol w:w="247"/>
            </w:tblGrid>
            <w:tr>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产品名称</w:t>
                  </w:r>
                </w:p>
              </w:tc>
              <w:tc>
                <w:tcPr>
                  <w:tcW w:type="dxa" w:w="11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主要参数</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质保期</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功能轮椅</w:t>
                  </w:r>
                  <w:r>
                    <w:rPr>
                      <w:rFonts w:ascii="仿宋_GB2312" w:hAnsi="仿宋_GB2312" w:cs="仿宋_GB2312" w:eastAsia="仿宋_GB2312"/>
                      <w:sz w:val="24"/>
                      <w:b/>
                      <w:color w:val="000000"/>
                    </w:rPr>
                    <w:t>（核心产品）</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color w:val="000000"/>
                    </w:rPr>
                    <w:t>1.标准：符合GB/</w:t>
                  </w:r>
                  <w:r>
                    <w:rPr>
                      <w:rFonts w:ascii="仿宋_GB2312" w:hAnsi="仿宋_GB2312" w:cs="仿宋_GB2312" w:eastAsia="仿宋_GB2312"/>
                      <w:sz w:val="24"/>
                      <w:color w:val="000000"/>
                    </w:rPr>
                    <w:t xml:space="preserve">Z </w:t>
                  </w:r>
                  <w:r>
                    <w:rPr>
                      <w:rFonts w:ascii="仿宋_GB2312" w:hAnsi="仿宋_GB2312" w:cs="仿宋_GB2312" w:eastAsia="仿宋_GB2312"/>
                      <w:sz w:val="24"/>
                      <w:color w:val="000000"/>
                    </w:rPr>
                    <w:t>13800-20</w:t>
                  </w:r>
                  <w:r>
                    <w:rPr>
                      <w:rFonts w:ascii="仿宋_GB2312" w:hAnsi="仿宋_GB2312" w:cs="仿宋_GB2312" w:eastAsia="仿宋_GB2312"/>
                      <w:sz w:val="24"/>
                      <w:color w:val="000000"/>
                    </w:rPr>
                    <w:t>21</w:t>
                  </w:r>
                  <w:r>
                    <w:rPr>
                      <w:rFonts w:ascii="仿宋_GB2312" w:hAnsi="仿宋_GB2312" w:cs="仿宋_GB2312" w:eastAsia="仿宋_GB2312"/>
                      <w:sz w:val="24"/>
                      <w:color w:val="000000"/>
                    </w:rPr>
                    <w:t>《手动轮椅车》国家标准；</w:t>
                  </w:r>
                  <w:r>
                    <w:rPr>
                      <w:rFonts w:ascii="仿宋_GB2312" w:hAnsi="仿宋_GB2312" w:cs="仿宋_GB2312" w:eastAsia="仿宋_GB2312"/>
                      <w:sz w:val="24"/>
                    </w:rPr>
                    <w:t>需提供第三方质检报告。</w:t>
                  </w:r>
                </w:p>
                <w:p>
                  <w:pPr>
                    <w:pStyle w:val="null3"/>
                    <w:ind w:firstLine="480"/>
                    <w:jc w:val="both"/>
                  </w:pPr>
                  <w:r>
                    <w:rPr>
                      <w:rFonts w:ascii="仿宋_GB2312" w:hAnsi="仿宋_GB2312" w:cs="仿宋_GB2312" w:eastAsia="仿宋_GB2312"/>
                      <w:sz w:val="24"/>
                      <w:color w:val="000000"/>
                    </w:rPr>
                    <w:t>★2.车架：</w:t>
                  </w:r>
                  <w:r>
                    <w:rPr>
                      <w:rFonts w:ascii="仿宋_GB2312" w:hAnsi="仿宋_GB2312" w:cs="仿宋_GB2312" w:eastAsia="仿宋_GB2312"/>
                      <w:sz w:val="24"/>
                      <w:b/>
                      <w:color w:val="000000"/>
                      <w:u w:val="single"/>
                    </w:rPr>
                    <w:t>高强度铝合金材质，</w:t>
                  </w:r>
                  <w:r>
                    <w:rPr>
                      <w:rFonts w:ascii="仿宋_GB2312" w:hAnsi="仿宋_GB2312" w:cs="仿宋_GB2312" w:eastAsia="仿宋_GB2312"/>
                      <w:sz w:val="24"/>
                    </w:rPr>
                    <w:t>双支撑架结构（双</w:t>
                  </w:r>
                  <w:r>
                    <w:rPr>
                      <w:rFonts w:ascii="仿宋_GB2312" w:hAnsi="仿宋_GB2312" w:cs="仿宋_GB2312" w:eastAsia="仿宋_GB2312"/>
                      <w:sz w:val="24"/>
                    </w:rPr>
                    <w:t>X），</w:t>
                  </w:r>
                  <w:r>
                    <w:rPr>
                      <w:rFonts w:ascii="仿宋_GB2312" w:hAnsi="仿宋_GB2312" w:cs="仿宋_GB2312" w:eastAsia="仿宋_GB2312"/>
                      <w:sz w:val="24"/>
                      <w:b/>
                      <w:color w:val="000000"/>
                      <w:u w:val="single"/>
                    </w:rPr>
                    <w:t>直径</w:t>
                  </w:r>
                  <w:r>
                    <w:rPr>
                      <w:rFonts w:ascii="仿宋_GB2312" w:hAnsi="仿宋_GB2312" w:cs="仿宋_GB2312" w:eastAsia="仿宋_GB2312"/>
                      <w:sz w:val="24"/>
                      <w:b/>
                      <w:color w:val="000000"/>
                      <w:u w:val="single"/>
                    </w:rPr>
                    <w:t>≥22mm，厚度≥2.0mm</w:t>
                  </w:r>
                  <w:r>
                    <w:rPr>
                      <w:rFonts w:ascii="仿宋_GB2312" w:hAnsi="仿宋_GB2312" w:cs="仿宋_GB2312" w:eastAsia="仿宋_GB2312"/>
                      <w:sz w:val="24"/>
                      <w:color w:val="000000"/>
                    </w:rPr>
                    <w:t>，表面氧化或烤漆处理；</w:t>
                  </w:r>
                  <w:r>
                    <w:rPr>
                      <w:rFonts w:ascii="仿宋_GB2312" w:hAnsi="仿宋_GB2312" w:cs="仿宋_GB2312" w:eastAsia="仿宋_GB2312"/>
                      <w:sz w:val="24"/>
                    </w:rPr>
                    <w:t>提起单侧后把手时车架无摇晃，倾斜或变形</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color w:val="000000"/>
                    </w:rPr>
                    <w:t>3.扶手：上翻式或可拆卸扶手；</w:t>
                  </w:r>
                  <w:r>
                    <w:rPr>
                      <w:rFonts w:ascii="仿宋_GB2312" w:hAnsi="仿宋_GB2312" w:cs="仿宋_GB2312" w:eastAsia="仿宋_GB2312"/>
                      <w:sz w:val="24"/>
                    </w:rPr>
                    <w:t>高强度扶手护板；</w:t>
                  </w:r>
                  <w:r>
                    <w:rPr>
                      <w:rFonts w:ascii="仿宋_GB2312" w:hAnsi="仿宋_GB2312" w:cs="仿宋_GB2312" w:eastAsia="仿宋_GB2312"/>
                      <w:sz w:val="24"/>
                    </w:rPr>
                    <w:t>护板与后轮无接触</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color w:val="000000"/>
                    </w:rPr>
                    <w:t>4.脚踏：脚托支架旋转式或可拆卸；脚踏板角度及高度可调；配小腿带；</w:t>
                  </w:r>
                </w:p>
                <w:p>
                  <w:pPr>
                    <w:pStyle w:val="null3"/>
                    <w:ind w:firstLine="480"/>
                    <w:jc w:val="both"/>
                  </w:pPr>
                  <w:r>
                    <w:rPr>
                      <w:rFonts w:ascii="仿宋_GB2312" w:hAnsi="仿宋_GB2312" w:cs="仿宋_GB2312" w:eastAsia="仿宋_GB2312"/>
                      <w:sz w:val="24"/>
                      <w:color w:val="000000"/>
                    </w:rPr>
                    <w:t>5.刹车：</w:t>
                  </w:r>
                  <w:r>
                    <w:rPr>
                      <w:rFonts w:ascii="仿宋_GB2312" w:hAnsi="仿宋_GB2312" w:cs="仿宋_GB2312" w:eastAsia="仿宋_GB2312"/>
                      <w:sz w:val="24"/>
                      <w:color w:val="000000"/>
                    </w:rPr>
                    <w:t>自锁式后把手连刹车，及钢制手动驻刹</w:t>
                  </w:r>
                  <w:r>
                    <w:rPr>
                      <w:rFonts w:ascii="仿宋_GB2312" w:hAnsi="仿宋_GB2312" w:cs="仿宋_GB2312" w:eastAsia="仿宋_GB2312"/>
                      <w:sz w:val="24"/>
                      <w:color w:val="000000"/>
                    </w:rPr>
                    <w:t>；驻车装置制动后不高于座位面，</w:t>
                  </w:r>
                  <w:r>
                    <w:rPr>
                      <w:rFonts w:ascii="仿宋_GB2312" w:hAnsi="仿宋_GB2312" w:cs="仿宋_GB2312" w:eastAsia="仿宋_GB2312"/>
                      <w:sz w:val="24"/>
                      <w:color w:val="000000"/>
                    </w:rPr>
                    <w:t>助刹杆不超过座位面前缘；刹车灵活稳定，刹车柄与轮椅部件无摩擦</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★6.座靠垫：</w:t>
                  </w:r>
                  <w:r>
                    <w:rPr>
                      <w:rFonts w:ascii="仿宋_GB2312" w:hAnsi="仿宋_GB2312" w:cs="仿宋_GB2312" w:eastAsia="仿宋_GB2312"/>
                      <w:sz w:val="24"/>
                      <w:b/>
                      <w:color w:val="000000"/>
                      <w:u w:val="single"/>
                    </w:rPr>
                    <w:t>≥600D高强度牛津尼龙布料</w:t>
                  </w:r>
                  <w:r>
                    <w:rPr>
                      <w:rFonts w:ascii="仿宋_GB2312" w:hAnsi="仿宋_GB2312" w:cs="仿宋_GB2312" w:eastAsia="仿宋_GB2312"/>
                      <w:sz w:val="24"/>
                      <w:color w:val="000000"/>
                    </w:rPr>
                    <w:t>，内层加固；靠背可折叠功能；</w:t>
                  </w:r>
                </w:p>
                <w:p>
                  <w:pPr>
                    <w:pStyle w:val="null3"/>
                    <w:ind w:firstLine="480"/>
                    <w:jc w:val="both"/>
                  </w:pPr>
                  <w:r>
                    <w:rPr>
                      <w:rFonts w:ascii="仿宋_GB2312" w:hAnsi="仿宋_GB2312" w:cs="仿宋_GB2312" w:eastAsia="仿宋_GB2312"/>
                      <w:sz w:val="24"/>
                      <w:color w:val="000000"/>
                    </w:rPr>
                    <w:t>7.安全带：骨盆式可调安全带；</w:t>
                  </w:r>
                </w:p>
                <w:p>
                  <w:pPr>
                    <w:pStyle w:val="null3"/>
                    <w:ind w:firstLine="480"/>
                    <w:jc w:val="both"/>
                  </w:pPr>
                  <w:r>
                    <w:rPr>
                      <w:rFonts w:ascii="仿宋_GB2312" w:hAnsi="仿宋_GB2312" w:cs="仿宋_GB2312" w:eastAsia="仿宋_GB2312"/>
                      <w:sz w:val="24"/>
                      <w:color w:val="000000"/>
                    </w:rPr>
                    <w:t>8.带助倾装置；</w:t>
                  </w:r>
                </w:p>
                <w:p>
                  <w:pPr>
                    <w:pStyle w:val="null3"/>
                    <w:ind w:firstLine="480"/>
                    <w:jc w:val="both"/>
                  </w:pPr>
                  <w:r>
                    <w:rPr>
                      <w:rFonts w:ascii="仿宋_GB2312" w:hAnsi="仿宋_GB2312" w:cs="仿宋_GB2312" w:eastAsia="仿宋_GB2312"/>
                      <w:sz w:val="24"/>
                      <w:color w:val="000000"/>
                    </w:rPr>
                    <w:t>9.前轮：橡胶实心轮胎，前轮轴带减震橡胶，前叉采用双轴承；</w:t>
                  </w:r>
                </w:p>
                <w:p>
                  <w:pPr>
                    <w:pStyle w:val="null3"/>
                    <w:ind w:firstLine="480"/>
                    <w:jc w:val="both"/>
                  </w:pPr>
                  <w:r>
                    <w:rPr>
                      <w:rFonts w:ascii="仿宋_GB2312" w:hAnsi="仿宋_GB2312" w:cs="仿宋_GB2312" w:eastAsia="仿宋_GB2312"/>
                      <w:sz w:val="24"/>
                      <w:color w:val="000000"/>
                    </w:rPr>
                    <w:t>10.后轮：充气带辐条大轮，带金属手推圈；</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11</w:t>
                  </w:r>
                  <w:r>
                    <w:rPr>
                      <w:rFonts w:ascii="仿宋_GB2312" w:hAnsi="仿宋_GB2312" w:cs="仿宋_GB2312" w:eastAsia="仿宋_GB2312"/>
                      <w:sz w:val="24"/>
                      <w:color w:val="000000"/>
                    </w:rPr>
                    <w:t>.</w:t>
                  </w:r>
                  <w:r>
                    <w:rPr>
                      <w:rFonts w:ascii="仿宋_GB2312" w:hAnsi="仿宋_GB2312" w:cs="仿宋_GB2312" w:eastAsia="仿宋_GB2312"/>
                      <w:sz w:val="24"/>
                      <w:b/>
                      <w:color w:val="000000"/>
                      <w:u w:val="single"/>
                    </w:rPr>
                    <w:t>最大载荷：</w:t>
                  </w:r>
                  <w:r>
                    <w:rPr>
                      <w:rFonts w:ascii="仿宋_GB2312" w:hAnsi="仿宋_GB2312" w:cs="仿宋_GB2312" w:eastAsia="仿宋_GB2312"/>
                      <w:sz w:val="24"/>
                      <w:b/>
                      <w:color w:val="000000"/>
                      <w:u w:val="single"/>
                    </w:rPr>
                    <w:t>≥100kg；</w:t>
                  </w:r>
                  <w:r>
                    <w:rPr>
                      <w:rFonts w:ascii="仿宋_GB2312" w:hAnsi="仿宋_GB2312" w:cs="仿宋_GB2312" w:eastAsia="仿宋_GB2312"/>
                      <w:sz w:val="24"/>
                      <w:b/>
                      <w:color w:val="000000"/>
                      <w:u w:val="single"/>
                    </w:rPr>
                    <w:t>净重量：</w:t>
                  </w:r>
                  <w:r>
                    <w:rPr>
                      <w:rFonts w:ascii="仿宋_GB2312" w:hAnsi="仿宋_GB2312" w:cs="仿宋_GB2312" w:eastAsia="仿宋_GB2312"/>
                      <w:sz w:val="24"/>
                      <w:b/>
                      <w:color w:val="000000"/>
                      <w:u w:val="single"/>
                    </w:rPr>
                    <w:t>≤20kg</w:t>
                  </w:r>
                  <w:r>
                    <w:rPr>
                      <w:rFonts w:ascii="仿宋_GB2312" w:hAnsi="仿宋_GB2312" w:cs="仿宋_GB2312" w:eastAsia="仿宋_GB2312"/>
                      <w:sz w:val="24"/>
                      <w:b/>
                      <w:color w:val="000000"/>
                      <w:u w:val="single"/>
                    </w:rPr>
                    <w:t>；</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.整车四轮着地，空推能直线行进，表面光滑无毛刺、焊接处光整，各活动部件转动灵活稳定；</w:t>
                  </w:r>
                </w:p>
                <w:p>
                  <w:pPr>
                    <w:pStyle w:val="null3"/>
                    <w:ind w:firstLine="480"/>
                    <w:jc w:val="both"/>
                  </w:pPr>
                  <w:r>
                    <w:rPr>
                      <w:rFonts w:ascii="仿宋_GB2312" w:hAnsi="仿宋_GB2312" w:cs="仿宋_GB2312" w:eastAsia="仿宋_GB2312"/>
                      <w:sz w:val="24"/>
                      <w:color w:val="000000"/>
                    </w:rPr>
                    <w:t>13.</w:t>
                  </w:r>
                  <w:r>
                    <w:rPr>
                      <w:rFonts w:ascii="仿宋_GB2312" w:hAnsi="仿宋_GB2312" w:cs="仿宋_GB2312" w:eastAsia="仿宋_GB2312"/>
                      <w:sz w:val="24"/>
                      <w:color w:val="000000"/>
                    </w:rPr>
                    <w:t>可提供多种尺寸。</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538</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3年</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四轮助行器</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color w:val="000000"/>
                    </w:rPr>
                    <w:t>1.标准：符合GB/T14728.1-20</w:t>
                  </w:r>
                  <w:r>
                    <w:rPr>
                      <w:rFonts w:ascii="仿宋_GB2312" w:hAnsi="仿宋_GB2312" w:cs="仿宋_GB2312" w:eastAsia="仿宋_GB2312"/>
                      <w:sz w:val="24"/>
                      <w:color w:val="000000"/>
                    </w:rPr>
                    <w:t>24</w:t>
                  </w:r>
                  <w:r>
                    <w:rPr>
                      <w:rFonts w:ascii="仿宋_GB2312" w:hAnsi="仿宋_GB2312" w:cs="仿宋_GB2312" w:eastAsia="仿宋_GB2312"/>
                      <w:sz w:val="24"/>
                      <w:color w:val="000000"/>
                    </w:rPr>
                    <w:t>《双臂操作助行器</w:t>
                  </w:r>
                  <w:r>
                    <w:rPr>
                      <w:rFonts w:ascii="仿宋_GB2312" w:hAnsi="仿宋_GB2312" w:cs="仿宋_GB2312" w:eastAsia="仿宋_GB2312"/>
                      <w:sz w:val="19"/>
                    </w:rPr>
                    <w:t xml:space="preserve"> </w:t>
                  </w:r>
                  <w:r>
                    <w:rPr>
                      <w:rFonts w:ascii="仿宋_GB2312" w:hAnsi="仿宋_GB2312" w:cs="仿宋_GB2312" w:eastAsia="仿宋_GB2312"/>
                      <w:sz w:val="24"/>
                      <w:color w:val="000000"/>
                    </w:rPr>
                    <w:t>要求和试验方法</w:t>
                  </w:r>
                  <w:r>
                    <w:rPr>
                      <w:rFonts w:ascii="仿宋_GB2312" w:hAnsi="仿宋_GB2312" w:cs="仿宋_GB2312" w:eastAsia="仿宋_GB2312"/>
                      <w:sz w:val="19"/>
                    </w:rPr>
                    <w:t xml:space="preserve"> </w:t>
                  </w:r>
                  <w:r>
                    <w:rPr>
                      <w:rFonts w:ascii="仿宋_GB2312" w:hAnsi="仿宋_GB2312" w:cs="仿宋_GB2312" w:eastAsia="仿宋_GB2312"/>
                      <w:sz w:val="24"/>
                      <w:color w:val="000000"/>
                    </w:rPr>
                    <w:t>第一部分：框式助行器》国家标准；</w:t>
                  </w:r>
                </w:p>
                <w:p>
                  <w:pPr>
                    <w:pStyle w:val="null3"/>
                    <w:ind w:firstLine="480"/>
                    <w:jc w:val="both"/>
                  </w:pPr>
                  <w:r>
                    <w:rPr>
                      <w:rFonts w:ascii="仿宋_GB2312" w:hAnsi="仿宋_GB2312" w:cs="仿宋_GB2312" w:eastAsia="仿宋_GB2312"/>
                      <w:sz w:val="24"/>
                      <w:color w:val="000000"/>
                    </w:rPr>
                    <w:t>★2.材质：</w:t>
                  </w:r>
                  <w:r>
                    <w:rPr>
                      <w:rFonts w:ascii="仿宋_GB2312" w:hAnsi="仿宋_GB2312" w:cs="仿宋_GB2312" w:eastAsia="仿宋_GB2312"/>
                      <w:sz w:val="24"/>
                      <w:b/>
                      <w:color w:val="000000"/>
                      <w:u w:val="single"/>
                    </w:rPr>
                    <w:t>高强度铝合金</w:t>
                  </w:r>
                  <w:r>
                    <w:rPr>
                      <w:rFonts w:ascii="仿宋_GB2312" w:hAnsi="仿宋_GB2312" w:cs="仿宋_GB2312" w:eastAsia="仿宋_GB2312"/>
                      <w:sz w:val="24"/>
                      <w:color w:val="000000"/>
                    </w:rPr>
                    <w:t>，表面氧化或烤漆处理；</w:t>
                  </w:r>
                  <w:r>
                    <w:rPr>
                      <w:rFonts w:ascii="仿宋_GB2312" w:hAnsi="仿宋_GB2312" w:cs="仿宋_GB2312" w:eastAsia="仿宋_GB2312"/>
                      <w:sz w:val="24"/>
                      <w:b/>
                      <w:color w:val="000000"/>
                      <w:u w:val="single"/>
                    </w:rPr>
                    <w:t>主架直径</w:t>
                  </w:r>
                  <w:r>
                    <w:rPr>
                      <w:rFonts w:ascii="仿宋_GB2312" w:hAnsi="仿宋_GB2312" w:cs="仿宋_GB2312" w:eastAsia="仿宋_GB2312"/>
                      <w:sz w:val="24"/>
                      <w:b/>
                      <w:color w:val="000000"/>
                      <w:u w:val="single"/>
                    </w:rPr>
                    <w:t>≥25mm，厚度≥1.</w:t>
                  </w:r>
                  <w:r>
                    <w:rPr>
                      <w:rFonts w:ascii="仿宋_GB2312" w:hAnsi="仿宋_GB2312" w:cs="仿宋_GB2312" w:eastAsia="仿宋_GB2312"/>
                      <w:sz w:val="24"/>
                      <w:b/>
                      <w:color w:val="000000"/>
                      <w:u w:val="single"/>
                    </w:rPr>
                    <w:t>2</w:t>
                  </w:r>
                  <w:r>
                    <w:rPr>
                      <w:rFonts w:ascii="仿宋_GB2312" w:hAnsi="仿宋_GB2312" w:cs="仿宋_GB2312" w:eastAsia="仿宋_GB2312"/>
                      <w:sz w:val="24"/>
                      <w:b/>
                      <w:color w:val="000000"/>
                      <w:u w:val="single"/>
                    </w:rPr>
                    <w:t>mm</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3.结构：可折叠；</w:t>
                  </w:r>
                </w:p>
                <w:p>
                  <w:pPr>
                    <w:pStyle w:val="null3"/>
                    <w:ind w:firstLine="480"/>
                    <w:jc w:val="both"/>
                  </w:pPr>
                  <w:r>
                    <w:rPr>
                      <w:rFonts w:ascii="仿宋_GB2312" w:hAnsi="仿宋_GB2312" w:cs="仿宋_GB2312" w:eastAsia="仿宋_GB2312"/>
                      <w:sz w:val="24"/>
                      <w:color w:val="000000"/>
                    </w:rPr>
                    <w:t>4.高度：多档可调；</w:t>
                  </w:r>
                </w:p>
                <w:p>
                  <w:pPr>
                    <w:pStyle w:val="null3"/>
                    <w:ind w:firstLine="480"/>
                    <w:jc w:val="both"/>
                  </w:pPr>
                  <w:r>
                    <w:rPr>
                      <w:rFonts w:ascii="仿宋_GB2312" w:hAnsi="仿宋_GB2312" w:cs="仿宋_GB2312" w:eastAsia="仿宋_GB2312"/>
                      <w:sz w:val="24"/>
                      <w:color w:val="000000"/>
                    </w:rPr>
                    <w:t>5.握把：</w:t>
                  </w:r>
                  <w:r>
                    <w:rPr>
                      <w:rFonts w:ascii="仿宋_GB2312" w:hAnsi="仿宋_GB2312" w:cs="仿宋_GB2312" w:eastAsia="仿宋_GB2312"/>
                      <w:sz w:val="24"/>
                      <w:color w:val="000000"/>
                    </w:rPr>
                    <w:t>带驻刹连刹装置</w:t>
                  </w:r>
                  <w:r>
                    <w:rPr>
                      <w:rFonts w:ascii="仿宋_GB2312" w:hAnsi="仿宋_GB2312" w:cs="仿宋_GB2312" w:eastAsia="仿宋_GB2312"/>
                      <w:sz w:val="24"/>
                      <w:color w:val="000000"/>
                    </w:rPr>
                    <w:t>，下压刹车握把为驻车状态；</w:t>
                  </w:r>
                </w:p>
                <w:p>
                  <w:pPr>
                    <w:pStyle w:val="null3"/>
                    <w:ind w:firstLine="480"/>
                    <w:jc w:val="both"/>
                  </w:pPr>
                  <w:r>
                    <w:rPr>
                      <w:rFonts w:ascii="仿宋_GB2312" w:hAnsi="仿宋_GB2312" w:cs="仿宋_GB2312" w:eastAsia="仿宋_GB2312"/>
                      <w:sz w:val="24"/>
                      <w:color w:val="000000"/>
                    </w:rPr>
                    <w:t>6.脚轮：直径≥</w:t>
                  </w:r>
                  <w:r>
                    <w:rPr>
                      <w:rFonts w:ascii="仿宋_GB2312" w:hAnsi="仿宋_GB2312" w:cs="仿宋_GB2312" w:eastAsia="仿宋_GB2312"/>
                      <w:sz w:val="24"/>
                      <w:color w:val="000000"/>
                    </w:rPr>
                    <w:t>1</w:t>
                  </w:r>
                  <w:r>
                    <w:rPr>
                      <w:rFonts w:ascii="仿宋_GB2312" w:hAnsi="仿宋_GB2312" w:cs="仿宋_GB2312" w:eastAsia="仿宋_GB2312"/>
                      <w:sz w:val="24"/>
                      <w:color w:val="000000"/>
                    </w:rPr>
                    <w:t>8</w:t>
                  </w:r>
                  <w:r>
                    <w:rPr>
                      <w:rFonts w:ascii="仿宋_GB2312" w:hAnsi="仿宋_GB2312" w:cs="仿宋_GB2312" w:eastAsia="仿宋_GB2312"/>
                      <w:sz w:val="24"/>
                      <w:color w:val="000000"/>
                    </w:rPr>
                    <w:t>cm，带后轮刹车；</w:t>
                  </w:r>
                </w:p>
                <w:p>
                  <w:pPr>
                    <w:pStyle w:val="null3"/>
                    <w:ind w:firstLine="480"/>
                    <w:jc w:val="both"/>
                  </w:pPr>
                  <w:r>
                    <w:rPr>
                      <w:rFonts w:ascii="仿宋_GB2312" w:hAnsi="仿宋_GB2312" w:cs="仿宋_GB2312" w:eastAsia="仿宋_GB2312"/>
                      <w:sz w:val="24"/>
                      <w:color w:val="000000"/>
                    </w:rPr>
                    <w:t>7.带座、带储物篮；</w:t>
                  </w:r>
                </w:p>
                <w:p>
                  <w:pPr>
                    <w:pStyle w:val="null3"/>
                    <w:ind w:firstLine="480"/>
                    <w:jc w:val="both"/>
                  </w:pPr>
                  <w:r>
                    <w:rPr>
                      <w:rFonts w:ascii="仿宋_GB2312" w:hAnsi="仿宋_GB2312" w:cs="仿宋_GB2312" w:eastAsia="仿宋_GB2312"/>
                      <w:sz w:val="24"/>
                      <w:color w:val="000000"/>
                    </w:rPr>
                    <w:t>8.整车表面光滑无毛刺、焊接处光整，各活动部件转动灵活稳定；</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b/>
                      <w:color w:val="000000"/>
                      <w:u w:val="single"/>
                    </w:rPr>
                    <w:t>最大承重</w:t>
                  </w:r>
                  <w:r>
                    <w:rPr>
                      <w:rFonts w:ascii="仿宋_GB2312" w:hAnsi="仿宋_GB2312" w:cs="仿宋_GB2312" w:eastAsia="仿宋_GB2312"/>
                      <w:sz w:val="24"/>
                      <w:b/>
                      <w:color w:val="000000"/>
                      <w:u w:val="single"/>
                    </w:rPr>
                    <w:t>≥100kg。</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2年</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腋拐</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1.标准：符合GB/T 19545.2-2009《单臂操作助行器 要求和试验方法 第2部分：腋拐》国家标准，产品质量合格；</w:t>
                  </w:r>
                </w:p>
                <w:p>
                  <w:pPr>
                    <w:pStyle w:val="null3"/>
                    <w:jc w:val="both"/>
                  </w:pPr>
                  <w:r>
                    <w:rPr>
                      <w:rFonts w:ascii="仿宋_GB2312" w:hAnsi="仿宋_GB2312" w:cs="仿宋_GB2312" w:eastAsia="仿宋_GB2312"/>
                      <w:sz w:val="24"/>
                      <w:color w:val="000000"/>
                    </w:rPr>
                    <w:t>★2.材料：</w:t>
                  </w:r>
                  <w:r>
                    <w:rPr>
                      <w:rFonts w:ascii="仿宋_GB2312" w:hAnsi="仿宋_GB2312" w:cs="仿宋_GB2312" w:eastAsia="仿宋_GB2312"/>
                      <w:sz w:val="24"/>
                      <w:b/>
                      <w:color w:val="000000"/>
                      <w:u w:val="single"/>
                    </w:rPr>
                    <w:t>高强度铝合金，厚度</w:t>
                  </w:r>
                  <w:r>
                    <w:rPr>
                      <w:rFonts w:ascii="仿宋_GB2312" w:hAnsi="仿宋_GB2312" w:cs="仿宋_GB2312" w:eastAsia="仿宋_GB2312"/>
                      <w:sz w:val="24"/>
                      <w:b/>
                      <w:color w:val="000000"/>
                      <w:u w:val="single"/>
                    </w:rPr>
                    <w:t>≥1.2mm</w:t>
                  </w:r>
                  <w:r>
                    <w:rPr>
                      <w:rFonts w:ascii="仿宋_GB2312" w:hAnsi="仿宋_GB2312" w:cs="仿宋_GB2312" w:eastAsia="仿宋_GB2312"/>
                      <w:sz w:val="24"/>
                      <w:color w:val="000000"/>
                    </w:rPr>
                    <w:t>，表面氧化处理；主架直径</w:t>
                  </w:r>
                  <w:r>
                    <w:rPr>
                      <w:rFonts w:ascii="仿宋_GB2312" w:hAnsi="仿宋_GB2312" w:cs="仿宋_GB2312" w:eastAsia="仿宋_GB2312"/>
                      <w:sz w:val="24"/>
                      <w:color w:val="000000"/>
                    </w:rPr>
                    <w:t>≥19mm，脚架直径≥25mm，脚管直径≥22mm；</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b/>
                      <w:color w:val="000000"/>
                      <w:u w:val="single"/>
                    </w:rPr>
                    <w:t>性能：向内稳定性能</w:t>
                  </w:r>
                  <w:r>
                    <w:rPr>
                      <w:rFonts w:ascii="仿宋_GB2312" w:hAnsi="仿宋_GB2312" w:cs="仿宋_GB2312" w:eastAsia="仿宋_GB2312"/>
                      <w:sz w:val="24"/>
                      <w:b/>
                      <w:color w:val="000000"/>
                      <w:u w:val="single"/>
                    </w:rPr>
                    <w:t>≥1.5°，向外稳定性能≥4.0°；</w:t>
                  </w:r>
                </w:p>
                <w:p>
                  <w:pPr>
                    <w:pStyle w:val="null3"/>
                    <w:jc w:val="both"/>
                  </w:pPr>
                  <w:r>
                    <w:rPr>
                      <w:rFonts w:ascii="仿宋_GB2312" w:hAnsi="仿宋_GB2312" w:cs="仿宋_GB2312" w:eastAsia="仿宋_GB2312"/>
                      <w:sz w:val="24"/>
                      <w:color w:val="000000"/>
                    </w:rPr>
                    <w:t>4.整体高度：多档可调；</w:t>
                  </w:r>
                </w:p>
                <w:p>
                  <w:pPr>
                    <w:pStyle w:val="null3"/>
                    <w:jc w:val="both"/>
                  </w:pPr>
                  <w:r>
                    <w:rPr>
                      <w:rFonts w:ascii="仿宋_GB2312" w:hAnsi="仿宋_GB2312" w:cs="仿宋_GB2312" w:eastAsia="仿宋_GB2312"/>
                      <w:sz w:val="24"/>
                      <w:color w:val="000000"/>
                    </w:rPr>
                    <w:t>5.支脚：高强度防滑支脚，内含金属垫片，加送高强度防滑支脚一副。</w:t>
                  </w:r>
                </w:p>
                <w:p>
                  <w:pPr>
                    <w:pStyle w:val="null3"/>
                    <w:jc w:val="both"/>
                  </w:pPr>
                  <w:r>
                    <w:rPr>
                      <w:rFonts w:ascii="仿宋_GB2312" w:hAnsi="仿宋_GB2312" w:cs="仿宋_GB2312" w:eastAsia="仿宋_GB2312"/>
                      <w:sz w:val="24"/>
                      <w:color w:val="000000"/>
                    </w:rPr>
                    <w:t>6.可提供不同尺寸（大/中/小号）；</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b/>
                      <w:color w:val="000000"/>
                      <w:u w:val="single"/>
                    </w:rPr>
                    <w:t>最大承重</w:t>
                  </w:r>
                  <w:r>
                    <w:rPr>
                      <w:rFonts w:ascii="仿宋_GB2312" w:hAnsi="仿宋_GB2312" w:cs="仿宋_GB2312" w:eastAsia="仿宋_GB2312"/>
                      <w:sz w:val="24"/>
                      <w:b/>
                      <w:color w:val="000000"/>
                      <w:u w:val="single"/>
                    </w:rPr>
                    <w:t>≥100kg</w:t>
                  </w:r>
                  <w:r>
                    <w:rPr>
                      <w:rFonts w:ascii="仿宋_GB2312" w:hAnsi="仿宋_GB2312" w:cs="仿宋_GB2312" w:eastAsia="仿宋_GB2312"/>
                      <w:sz w:val="24"/>
                      <w:color w:val="000000"/>
                    </w:rPr>
                    <w:t>。</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副</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1年</w:t>
                  </w:r>
                </w:p>
              </w:tc>
            </w:tr>
          </w:tbl>
          <w:p>
            <w:pPr>
              <w:pStyle w:val="null3"/>
            </w:pPr>
            <w:r>
              <w:rPr>
                <w:rFonts w:ascii="仿宋_GB2312" w:hAnsi="仿宋_GB2312" w:cs="仿宋_GB2312" w:eastAsia="仿宋_GB2312"/>
              </w:rPr>
              <w:t xml:space="preserve"> </w:t>
            </w:r>
          </w:p>
          <w:p>
            <w:pPr>
              <w:pStyle w:val="null3"/>
              <w:ind w:firstLine="420"/>
              <w:jc w:val="both"/>
            </w:pPr>
            <w:r>
              <w:rPr>
                <w:rFonts w:ascii="仿宋_GB2312" w:hAnsi="仿宋_GB2312" w:cs="仿宋_GB2312" w:eastAsia="仿宋_GB2312"/>
                <w:sz w:val="21"/>
                <w:b/>
              </w:rPr>
              <w:t>所有技术参数必须全部满足，其中</w:t>
            </w:r>
            <w:r>
              <w:rPr>
                <w:rFonts w:ascii="仿宋_GB2312" w:hAnsi="仿宋_GB2312" w:cs="仿宋_GB2312" w:eastAsia="仿宋_GB2312"/>
                <w:sz w:val="21"/>
                <w:b/>
              </w:rPr>
              <w:t>“★”指标必须提供佐证材料证明（包含但不限于：第三方检测报告、制造商检验报告、产品彩页、功能截图等内容，证明材料需加盖公章）。不满足或“★”指标未提供佐证材料视为负偏离，按无效文件处理。</w:t>
            </w:r>
          </w:p>
          <w:p>
            <w:pPr>
              <w:pStyle w:val="null3"/>
              <w:ind w:firstLine="420"/>
              <w:jc w:val="both"/>
            </w:pPr>
            <w:r>
              <w:rPr>
                <w:rFonts w:ascii="仿宋_GB2312" w:hAnsi="仿宋_GB2312" w:cs="仿宋_GB2312" w:eastAsia="仿宋_GB2312"/>
                <w:sz w:val="21"/>
              </w:rPr>
              <w:t>1、以上功能轮椅、四轮助行器</w:t>
            </w:r>
            <w:r>
              <w:rPr>
                <w:rFonts w:ascii="仿宋_GB2312" w:hAnsi="仿宋_GB2312" w:cs="仿宋_GB2312" w:eastAsia="仿宋_GB2312"/>
                <w:sz w:val="21"/>
              </w:rPr>
              <w:t>、腋拐</w:t>
            </w:r>
            <w:r>
              <w:rPr>
                <w:rFonts w:ascii="仿宋_GB2312" w:hAnsi="仿宋_GB2312" w:cs="仿宋_GB2312" w:eastAsia="仿宋_GB2312"/>
                <w:sz w:val="21"/>
              </w:rPr>
              <w:t>根据产品要求须提供样品</w:t>
            </w:r>
            <w:r>
              <w:rPr>
                <w:rFonts w:ascii="仿宋_GB2312" w:hAnsi="仿宋_GB2312" w:cs="仿宋_GB2312" w:eastAsia="仿宋_GB2312"/>
                <w:sz w:val="21"/>
              </w:rPr>
              <w:t>1套（未提供样品或样品提供不全均为无效响应文件）。</w:t>
            </w:r>
          </w:p>
          <w:p>
            <w:pPr>
              <w:pStyle w:val="null3"/>
              <w:ind w:firstLine="420"/>
              <w:jc w:val="both"/>
            </w:pPr>
            <w:r>
              <w:rPr>
                <w:rFonts w:ascii="仿宋_GB2312" w:hAnsi="仿宋_GB2312" w:cs="仿宋_GB2312" w:eastAsia="仿宋_GB2312"/>
              </w:rPr>
              <w:t xml:space="preserve"> </w:t>
            </w:r>
          </w:p>
          <w:p>
            <w:pPr>
              <w:pStyle w:val="null3"/>
              <w:ind w:firstLine="420"/>
              <w:jc w:val="both"/>
            </w:pPr>
            <w:r>
              <w:rPr>
                <w:rFonts w:ascii="仿宋_GB2312" w:hAnsi="仿宋_GB2312" w:cs="仿宋_GB2312" w:eastAsia="仿宋_GB2312"/>
              </w:rPr>
              <w:t xml:space="preserve"> </w:t>
            </w:r>
          </w:p>
          <w:p>
            <w:pPr>
              <w:pStyle w:val="null3"/>
              <w:ind w:firstLine="420"/>
              <w:jc w:val="both"/>
            </w:pPr>
            <w:r>
              <w:rPr>
                <w:rFonts w:ascii="仿宋_GB2312" w:hAnsi="仿宋_GB2312" w:cs="仿宋_GB2312" w:eastAsia="仿宋_GB2312"/>
              </w:rPr>
              <w:t xml:space="preserve"> </w:t>
            </w:r>
          </w:p>
          <w:p>
            <w:pPr>
              <w:pStyle w:val="null3"/>
              <w:ind w:firstLine="420"/>
              <w:jc w:val="both"/>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80"/>
            </w:pPr>
            <w:r>
              <w:rPr>
                <w:rFonts w:ascii="仿宋_GB2312" w:hAnsi="仿宋_GB2312" w:cs="仿宋_GB2312" w:eastAsia="仿宋_GB2312"/>
                <w:sz w:val="24"/>
              </w:rPr>
              <w:t>售后服务要求：</w:t>
            </w:r>
          </w:p>
          <w:p>
            <w:pPr>
              <w:pStyle w:val="null3"/>
              <w:ind w:firstLine="480"/>
            </w:pPr>
            <w:r>
              <w:rPr>
                <w:rFonts w:ascii="仿宋_GB2312" w:hAnsi="仿宋_GB2312" w:cs="仿宋_GB2312" w:eastAsia="仿宋_GB2312"/>
                <w:sz w:val="24"/>
              </w:rPr>
              <w:t>售后服务响应时间（质保期内）：</w:t>
            </w:r>
            <w:r>
              <w:rPr>
                <w:rFonts w:ascii="仿宋_GB2312" w:hAnsi="仿宋_GB2312" w:cs="仿宋_GB2312" w:eastAsia="仿宋_GB2312"/>
                <w:sz w:val="24"/>
              </w:rPr>
              <w:t>4小时即时响应（包括电话响应）；电话响应无法解决48小时内到达现场（非工作日72小时、国家法定节假日除外）。产品维修维护</w:t>
            </w:r>
            <w:r>
              <w:rPr>
                <w:rFonts w:ascii="仿宋_GB2312" w:hAnsi="仿宋_GB2312" w:cs="仿宋_GB2312" w:eastAsia="仿宋_GB2312"/>
                <w:sz w:val="24"/>
              </w:rPr>
              <w:t>7日内解决完成</w:t>
            </w:r>
            <w:r>
              <w:rPr>
                <w:rFonts w:ascii="仿宋_GB2312" w:hAnsi="仿宋_GB2312" w:cs="仿宋_GB2312" w:eastAsia="仿宋_GB2312"/>
                <w:sz w:val="24"/>
              </w:rPr>
              <w:t>；如在</w:t>
            </w:r>
            <w:r>
              <w:rPr>
                <w:rFonts w:ascii="仿宋_GB2312" w:hAnsi="仿宋_GB2312" w:cs="仿宋_GB2312" w:eastAsia="仿宋_GB2312"/>
                <w:sz w:val="24"/>
              </w:rPr>
              <w:t>7日</w:t>
            </w:r>
            <w:r>
              <w:rPr>
                <w:rFonts w:ascii="仿宋_GB2312" w:hAnsi="仿宋_GB2312" w:cs="仿宋_GB2312" w:eastAsia="仿宋_GB2312"/>
                <w:sz w:val="24"/>
              </w:rPr>
              <w:t>内无法修复，则提供部件冗余服务或采取应急措施，提供相同产品或不低于故障产品规格档次的备用产品供采购人使用，以确保货物的正常使用。</w:t>
            </w:r>
          </w:p>
          <w:p>
            <w:pPr>
              <w:pStyle w:val="null3"/>
              <w:ind w:firstLine="480"/>
              <w:jc w:val="both"/>
            </w:pPr>
            <w:r>
              <w:rPr>
                <w:rFonts w:ascii="仿宋_GB2312" w:hAnsi="仿宋_GB2312" w:cs="仿宋_GB2312" w:eastAsia="仿宋_GB2312"/>
                <w:sz w:val="24"/>
              </w:rPr>
              <w:t>保质期内产品非人为因素损坏应免费维修或更换，人为因素需维修者仅收取更换零件费用。</w:t>
            </w:r>
          </w:p>
          <w:p>
            <w:pPr>
              <w:pStyle w:val="null3"/>
              <w:ind w:firstLine="480"/>
              <w:jc w:val="both"/>
            </w:pPr>
            <w:r>
              <w:rPr>
                <w:rFonts w:ascii="仿宋_GB2312" w:hAnsi="仿宋_GB2312" w:cs="仿宋_GB2312" w:eastAsia="仿宋_GB2312"/>
                <w:sz w:val="24"/>
              </w:rPr>
              <w:t>送货分批次送往全省不同地区。</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按照甲方需求供货，不得以量小而拒绝供货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自合同签订之日起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供货完成并验收通过后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具体详见采购合同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以谈判文件不同类型产品要求的使用年限为质保期</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1、以上功能轮椅、四轮助行器、腋拐根据产品要求须提供样品1套（未提供样品或样品提供不全均为无效响应文件）。 2、样品递交要求： （1）递交样品截止时间：与响应文件递交截止时间一致。 （2）递交地点：陕西省西安市经济技术开发区未央路171-1号银池道拉斯财富中心21楼。 （3）供应商代表须在递交样品截止时间前将样品送达指定地点，逾期不予受理。 （4）纸箱封面需注明投标人名称及产品清单。 样品退还说明： 1.样品递交后，具体退还时间由代理公司统一通知。 2.成交单位样品由采购人进行封存，并作为验收标准。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提供法定代表人授权书（附法定代表人、被授权人身份证复印件），法定代表人直接参加投标，须提供法定代表人身份证明（附法定代表人身份证复印件）；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履行本合同所必需的设备和专业技术能力的说明及承诺书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供应商应通过“信用中国”网站(www.creditchina.gov.cn)、中国政府采购网(www.ccgp.gov.cn)查询相关主体信用记录；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本项目为专门面向中小企业采购；</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供应商如为代理商的应提供《医疗器械经营许可证》或《医疗器械经营备案证》；供应商如为制造商的应提供《医疗器械生产许可证》或《医疗器械生产备案证》；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非联合体谈判（提供承诺书）</w:t>
            </w:r>
          </w:p>
        </w:tc>
        <w:tc>
          <w:tcPr>
            <w:tcW w:type="dxa" w:w="3322"/>
          </w:tcPr>
          <w:p>
            <w:pPr>
              <w:pStyle w:val="null3"/>
            </w:pPr>
            <w:r>
              <w:rPr>
                <w:rFonts w:ascii="仿宋_GB2312" w:hAnsi="仿宋_GB2312" w:cs="仿宋_GB2312" w:eastAsia="仿宋_GB2312"/>
              </w:rPr>
              <w:t>本项目不接受联合体谈判（提供承诺书）。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谈判响应文件的完整性审查</w:t>
            </w:r>
          </w:p>
        </w:tc>
        <w:tc>
          <w:tcPr>
            <w:tcW w:type="dxa" w:w="3322"/>
          </w:tcPr>
          <w:p>
            <w:pPr>
              <w:pStyle w:val="null3"/>
            </w:pPr>
            <w:r>
              <w:rPr>
                <w:rFonts w:ascii="仿宋_GB2312" w:hAnsi="仿宋_GB2312" w:cs="仿宋_GB2312" w:eastAsia="仿宋_GB2312"/>
              </w:rPr>
              <w:t>1、谈判响应文件是否按照谈判文件要求的格式编写；谈判响应内容是否有重大缺漏项。</w:t>
            </w:r>
          </w:p>
        </w:tc>
        <w:tc>
          <w:tcPr>
            <w:tcW w:type="dxa" w:w="1661"/>
          </w:tcPr>
          <w:p>
            <w:pPr>
              <w:pStyle w:val="null3"/>
            </w:pPr>
            <w:r>
              <w:rPr>
                <w:rFonts w:ascii="仿宋_GB2312" w:hAnsi="仿宋_GB2312" w:cs="仿宋_GB2312" w:eastAsia="仿宋_GB2312"/>
              </w:rPr>
              <w:t>业绩.docx 中小企业声明函 商务应答表 供应商应提交的相关资格证明材料 报价表 资格证明文件.docx 响应文件封面 产品技术参数表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谈判响应文件的有效性审查</w:t>
            </w:r>
          </w:p>
        </w:tc>
        <w:tc>
          <w:tcPr>
            <w:tcW w:type="dxa" w:w="3322"/>
          </w:tcPr>
          <w:p>
            <w:pPr>
              <w:pStyle w:val="null3"/>
            </w:pPr>
            <w:r>
              <w:rPr>
                <w:rFonts w:ascii="仿宋_GB2312" w:hAnsi="仿宋_GB2312" w:cs="仿宋_GB2312" w:eastAsia="仿宋_GB2312"/>
              </w:rPr>
              <w:t>谈判响应文件的签署、加盖印章是否合格、有效；提供的各种证明文件、数据、资料是否真 实、有效。</w:t>
            </w:r>
          </w:p>
        </w:tc>
        <w:tc>
          <w:tcPr>
            <w:tcW w:type="dxa" w:w="1661"/>
          </w:tcPr>
          <w:p>
            <w:pPr>
              <w:pStyle w:val="null3"/>
            </w:pPr>
            <w:r>
              <w:rPr>
                <w:rFonts w:ascii="仿宋_GB2312" w:hAnsi="仿宋_GB2312" w:cs="仿宋_GB2312" w:eastAsia="仿宋_GB2312"/>
              </w:rPr>
              <w:t>业绩.docx 中小企业声明函 商务应答表 供应商应提交的相关资格证明材料 报价表 资格证明文件.docx 响应文件封面 产品技术参数表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谈判响应文件的响应性审查</w:t>
            </w:r>
          </w:p>
        </w:tc>
        <w:tc>
          <w:tcPr>
            <w:tcW w:type="dxa" w:w="3322"/>
          </w:tcPr>
          <w:p>
            <w:pPr>
              <w:pStyle w:val="null3"/>
            </w:pPr>
            <w:r>
              <w:rPr>
                <w:rFonts w:ascii="仿宋_GB2312" w:hAnsi="仿宋_GB2312" w:cs="仿宋_GB2312" w:eastAsia="仿宋_GB2312"/>
              </w:rPr>
              <w:t>1、谈判响应报价是否超过预算； 2、谈判有效期是否符合谈判文件的要求；3、交货期是否符合谈判文件的要求；4、质量保证是否符合谈判文件的要求；5、谈判响应文件是否实质性响应了谈判文件要求的全部条款、条件和要求；6 、所提供样品种类及样品质量符合谈判文件要求</w:t>
            </w:r>
          </w:p>
        </w:tc>
        <w:tc>
          <w:tcPr>
            <w:tcW w:type="dxa" w:w="1661"/>
          </w:tcPr>
          <w:p>
            <w:pPr>
              <w:pStyle w:val="null3"/>
            </w:pPr>
            <w:r>
              <w:rPr>
                <w:rFonts w:ascii="仿宋_GB2312" w:hAnsi="仿宋_GB2312" w:cs="仿宋_GB2312" w:eastAsia="仿宋_GB2312"/>
              </w:rPr>
              <w:t>业绩.docx 中小企业声明函 商务应答表 供应商应提交的相关资格证明材料 报价表 资格证明文件.docx 响应文件封面 产品技术参数表 残疾人福利性单位声明函 标的清单 响应函 服务方案.docx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