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8A62F">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政府采购项目</w:t>
      </w:r>
      <w:r>
        <w:rPr>
          <w:rFonts w:hint="eastAsia" w:ascii="宋体" w:hAnsi="宋体" w:eastAsia="宋体" w:cs="宋体"/>
          <w:b/>
          <w:bCs/>
          <w:color w:val="auto"/>
          <w:sz w:val="24"/>
          <w:szCs w:val="24"/>
          <w:highlight w:val="none"/>
        </w:rPr>
        <w:t>（</w:t>
      </w:r>
      <w:r>
        <w:rPr>
          <w:rFonts w:hint="eastAsia" w:ascii="宋体" w:hAnsi="宋体" w:eastAsia="宋体" w:cs="宋体"/>
          <w:b/>
          <w:color w:val="auto"/>
          <w:sz w:val="24"/>
          <w:szCs w:val="24"/>
          <w:highlight w:val="none"/>
        </w:rPr>
        <w:t xml:space="preserve">仅供参考）                  </w:t>
      </w:r>
    </w:p>
    <w:p w14:paraId="3495A64D">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14:paraId="362149A7">
      <w:pPr>
        <w:jc w:val="center"/>
        <w:rPr>
          <w:rFonts w:hint="eastAsia" w:ascii="宋体" w:hAnsi="宋体" w:eastAsia="宋体" w:cs="宋体"/>
          <w:color w:val="auto"/>
          <w:sz w:val="24"/>
          <w:szCs w:val="24"/>
          <w:highlight w:val="none"/>
        </w:rPr>
      </w:pPr>
    </w:p>
    <w:p w14:paraId="4661CDA6">
      <w:pPr>
        <w:jc w:val="center"/>
        <w:rPr>
          <w:rFonts w:hint="eastAsia" w:ascii="宋体" w:hAnsi="宋体" w:eastAsia="宋体" w:cs="宋体"/>
          <w:color w:val="auto"/>
          <w:sz w:val="56"/>
          <w:szCs w:val="56"/>
          <w:highlight w:val="none"/>
        </w:rPr>
      </w:pPr>
    </w:p>
    <w:p w14:paraId="3DAA72D3">
      <w:pPr>
        <w:jc w:val="center"/>
        <w:rPr>
          <w:rFonts w:hint="eastAsia" w:ascii="宋体" w:hAnsi="宋体" w:eastAsia="宋体" w:cs="宋体"/>
          <w:b/>
          <w:color w:val="auto"/>
          <w:sz w:val="56"/>
          <w:szCs w:val="56"/>
          <w:highlight w:val="none"/>
        </w:rPr>
      </w:pPr>
    </w:p>
    <w:p w14:paraId="443C1CE9">
      <w:pPr>
        <w:jc w:val="center"/>
        <w:rPr>
          <w:rFonts w:hint="eastAsia" w:ascii="宋体" w:hAnsi="宋体" w:eastAsia="宋体" w:cs="宋体"/>
          <w:b/>
          <w:color w:val="auto"/>
          <w:sz w:val="112"/>
          <w:szCs w:val="112"/>
          <w:highlight w:val="none"/>
        </w:rPr>
      </w:pPr>
      <w:r>
        <w:rPr>
          <w:rFonts w:hint="eastAsia" w:ascii="宋体" w:hAnsi="宋体" w:eastAsia="宋体" w:cs="宋体"/>
          <w:b/>
          <w:color w:val="auto"/>
          <w:sz w:val="112"/>
          <w:szCs w:val="112"/>
          <w:highlight w:val="none"/>
        </w:rPr>
        <w:t>供 货 合 同</w:t>
      </w:r>
    </w:p>
    <w:p w14:paraId="2B2880E0">
      <w:pPr>
        <w:jc w:val="center"/>
        <w:rPr>
          <w:rFonts w:hint="eastAsia" w:ascii="宋体" w:hAnsi="宋体" w:eastAsia="宋体" w:cs="宋体"/>
          <w:color w:val="auto"/>
          <w:sz w:val="40"/>
          <w:szCs w:val="40"/>
          <w:highlight w:val="none"/>
        </w:rPr>
      </w:pPr>
    </w:p>
    <w:p w14:paraId="54F40FE9">
      <w:pPr>
        <w:jc w:val="center"/>
        <w:rPr>
          <w:rFonts w:hint="eastAsia" w:ascii="宋体" w:hAnsi="宋体" w:eastAsia="宋体" w:cs="宋体"/>
          <w:color w:val="auto"/>
          <w:sz w:val="40"/>
          <w:szCs w:val="40"/>
          <w:highlight w:val="none"/>
        </w:rPr>
      </w:pPr>
    </w:p>
    <w:p w14:paraId="5C73E916">
      <w:pPr>
        <w:jc w:val="center"/>
        <w:rPr>
          <w:rFonts w:hint="eastAsia" w:ascii="宋体" w:hAnsi="宋体" w:eastAsia="宋体" w:cs="宋体"/>
          <w:color w:val="auto"/>
          <w:sz w:val="40"/>
          <w:szCs w:val="40"/>
          <w:highlight w:val="none"/>
        </w:rPr>
      </w:pPr>
      <w:r>
        <w:rPr>
          <w:rFonts w:hint="eastAsia" w:ascii="宋体" w:hAnsi="宋体" w:eastAsia="宋体" w:cs="宋体"/>
          <w:color w:val="auto"/>
          <w:sz w:val="40"/>
          <w:szCs w:val="40"/>
          <w:highlight w:val="none"/>
        </w:rPr>
        <w:t>（项目编号：      ）</w:t>
      </w:r>
    </w:p>
    <w:p w14:paraId="5977306E">
      <w:pPr>
        <w:jc w:val="center"/>
        <w:rPr>
          <w:rFonts w:hint="eastAsia" w:ascii="宋体" w:hAnsi="宋体" w:eastAsia="宋体" w:cs="宋体"/>
          <w:color w:val="auto"/>
          <w:sz w:val="56"/>
          <w:szCs w:val="56"/>
          <w:highlight w:val="none"/>
        </w:rPr>
      </w:pPr>
    </w:p>
    <w:p w14:paraId="25A4BE0A">
      <w:pPr>
        <w:rPr>
          <w:rFonts w:hint="eastAsia" w:ascii="宋体" w:hAnsi="宋体" w:eastAsia="宋体" w:cs="宋体"/>
          <w:color w:val="auto"/>
          <w:sz w:val="56"/>
          <w:szCs w:val="56"/>
          <w:highlight w:val="none"/>
        </w:rPr>
      </w:pPr>
    </w:p>
    <w:p w14:paraId="471760B7">
      <w:pPr>
        <w:ind w:firstLine="3640" w:firstLineChars="650"/>
        <w:rPr>
          <w:rFonts w:hint="eastAsia" w:ascii="宋体" w:hAnsi="宋体" w:eastAsia="宋体" w:cs="宋体"/>
          <w:color w:val="auto"/>
          <w:sz w:val="56"/>
          <w:szCs w:val="56"/>
          <w:highlight w:val="none"/>
        </w:rPr>
      </w:pPr>
    </w:p>
    <w:p w14:paraId="54358BD3">
      <w:pPr>
        <w:ind w:firstLine="1820" w:firstLineChars="6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甲  方： </w:t>
      </w:r>
    </w:p>
    <w:p w14:paraId="2CFBF934">
      <w:pPr>
        <w:tabs>
          <w:tab w:val="left" w:pos="480"/>
        </w:tabs>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乙  方：</w:t>
      </w:r>
    </w:p>
    <w:p w14:paraId="0AFFFB58">
      <w:pPr>
        <w:jc w:val="center"/>
        <w:rPr>
          <w:rFonts w:hint="eastAsia" w:ascii="宋体" w:hAnsi="宋体" w:eastAsia="宋体" w:cs="宋体"/>
          <w:color w:val="auto"/>
          <w:sz w:val="28"/>
          <w:szCs w:val="28"/>
          <w:highlight w:val="none"/>
        </w:rPr>
      </w:pPr>
    </w:p>
    <w:p w14:paraId="1111A20C">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年  月</w:t>
      </w:r>
    </w:p>
    <w:p w14:paraId="3525138F">
      <w:pPr>
        <w:jc w:val="center"/>
        <w:rPr>
          <w:rFonts w:hint="eastAsia" w:ascii="宋体" w:hAnsi="宋体" w:eastAsia="宋体" w:cs="宋体"/>
          <w:color w:val="auto"/>
          <w:sz w:val="24"/>
          <w:szCs w:val="24"/>
          <w:highlight w:val="none"/>
        </w:rPr>
      </w:pPr>
    </w:p>
    <w:p w14:paraId="28FFCBF4">
      <w:pPr>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bCs/>
          <w:color w:val="auto"/>
          <w:sz w:val="24"/>
          <w:szCs w:val="24"/>
          <w:highlight w:val="none"/>
        </w:rPr>
        <w:t>第一部分  协议书</w:t>
      </w:r>
    </w:p>
    <w:p w14:paraId="7B56D81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，其注册登记地为：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，法定代表人为：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6E32E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乙方：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，其注册登记地址为：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法定代表人为：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E04418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甲、乙双方基于公平、公正、平等的原则，依据《中华人民共和国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w:t>
      </w:r>
      <w:r>
        <w:rPr>
          <w:rFonts w:hint="eastAsia" w:ascii="宋体" w:hAnsi="宋体" w:eastAsia="宋体" w:cs="宋体"/>
          <w:color w:val="auto"/>
          <w:sz w:val="24"/>
          <w:szCs w:val="24"/>
          <w:highlight w:val="none"/>
          <w:lang w:eastAsia="zh-CN"/>
        </w:rPr>
        <w:t>政府采购法</w:t>
      </w:r>
      <w:r>
        <w:rPr>
          <w:rFonts w:hint="eastAsia" w:ascii="宋体" w:hAnsi="宋体" w:eastAsia="宋体" w:cs="宋体"/>
          <w:color w:val="auto"/>
          <w:sz w:val="24"/>
          <w:szCs w:val="24"/>
          <w:highlight w:val="none"/>
        </w:rPr>
        <w:t>》之相关规定，现经甲、乙双方友好协商，就</w:t>
      </w:r>
      <w:r>
        <w:rPr>
          <w:rFonts w:hint="eastAsia" w:hAnsi="宋体" w:cs="宋体"/>
          <w:color w:val="auto"/>
          <w:sz w:val="24"/>
          <w:szCs w:val="24"/>
          <w:highlight w:val="none"/>
          <w:lang w:val="en-US" w:eastAsia="zh-CN"/>
        </w:rPr>
        <w:t>关于</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none"/>
          <w:lang w:val="en-US" w:eastAsia="zh-CN"/>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乙方产品设备事宜，达成以下合同条款：</w:t>
      </w:r>
    </w:p>
    <w:p w14:paraId="2DD5AB1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一、</w:t>
      </w:r>
      <w:r>
        <w:rPr>
          <w:rFonts w:hint="eastAsia" w:ascii="宋体" w:hAnsi="宋体" w:eastAsia="宋体" w:cs="宋体"/>
          <w:b/>
          <w:color w:val="auto"/>
          <w:sz w:val="24"/>
          <w:szCs w:val="24"/>
          <w:highlight w:val="none"/>
        </w:rPr>
        <w:t>合同标的物：</w:t>
      </w:r>
    </w:p>
    <w:tbl>
      <w:tblPr>
        <w:tblStyle w:val="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1429"/>
        <w:gridCol w:w="1193"/>
        <w:gridCol w:w="759"/>
        <w:gridCol w:w="643"/>
        <w:gridCol w:w="482"/>
        <w:gridCol w:w="1165"/>
        <w:gridCol w:w="1417"/>
      </w:tblGrid>
      <w:tr w14:paraId="6C7F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58" w:type="pct"/>
            <w:noWrap w:val="0"/>
            <w:vAlign w:val="top"/>
          </w:tcPr>
          <w:p w14:paraId="09A53CE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产品名称</w:t>
            </w:r>
          </w:p>
        </w:tc>
        <w:tc>
          <w:tcPr>
            <w:tcW w:w="858" w:type="pct"/>
            <w:noWrap w:val="0"/>
            <w:vAlign w:val="top"/>
          </w:tcPr>
          <w:p w14:paraId="4AAE9F5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注册证名称</w:t>
            </w:r>
          </w:p>
        </w:tc>
        <w:tc>
          <w:tcPr>
            <w:tcW w:w="720" w:type="pct"/>
            <w:noWrap w:val="0"/>
            <w:vAlign w:val="top"/>
          </w:tcPr>
          <w:p w14:paraId="10B6391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品牌型号</w:t>
            </w:r>
          </w:p>
        </w:tc>
        <w:tc>
          <w:tcPr>
            <w:tcW w:w="465" w:type="pct"/>
            <w:noWrap w:val="0"/>
            <w:vAlign w:val="top"/>
          </w:tcPr>
          <w:p w14:paraId="1B1F1E1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产地</w:t>
            </w:r>
          </w:p>
        </w:tc>
        <w:tc>
          <w:tcPr>
            <w:tcW w:w="397" w:type="pct"/>
            <w:noWrap w:val="0"/>
            <w:vAlign w:val="top"/>
          </w:tcPr>
          <w:p w14:paraId="3F91E1B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单位</w:t>
            </w:r>
          </w:p>
        </w:tc>
        <w:tc>
          <w:tcPr>
            <w:tcW w:w="302" w:type="pct"/>
            <w:noWrap w:val="0"/>
            <w:vAlign w:val="top"/>
          </w:tcPr>
          <w:p w14:paraId="3A2023B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703" w:type="pct"/>
            <w:noWrap w:val="0"/>
            <w:vAlign w:val="top"/>
          </w:tcPr>
          <w:p w14:paraId="320B637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单价</w:t>
            </w:r>
          </w:p>
          <w:p w14:paraId="6427288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（人民币）</w:t>
            </w:r>
          </w:p>
        </w:tc>
        <w:tc>
          <w:tcPr>
            <w:tcW w:w="692" w:type="pct"/>
            <w:noWrap w:val="0"/>
            <w:vAlign w:val="top"/>
          </w:tcPr>
          <w:p w14:paraId="6F68004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总价</w:t>
            </w:r>
          </w:p>
          <w:p w14:paraId="198F77C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（人民币）</w:t>
            </w:r>
          </w:p>
        </w:tc>
      </w:tr>
      <w:tr w14:paraId="4C5B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58" w:type="pct"/>
            <w:noWrap w:val="0"/>
            <w:vAlign w:val="top"/>
          </w:tcPr>
          <w:p w14:paraId="3AE44B2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c>
        <w:tc>
          <w:tcPr>
            <w:tcW w:w="858" w:type="pct"/>
            <w:noWrap w:val="0"/>
            <w:vAlign w:val="top"/>
          </w:tcPr>
          <w:p w14:paraId="687A380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c>
        <w:tc>
          <w:tcPr>
            <w:tcW w:w="720" w:type="pct"/>
            <w:noWrap w:val="0"/>
            <w:vAlign w:val="top"/>
          </w:tcPr>
          <w:p w14:paraId="63C6B1D0">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p>
        </w:tc>
        <w:tc>
          <w:tcPr>
            <w:tcW w:w="465" w:type="pct"/>
            <w:noWrap w:val="0"/>
            <w:vAlign w:val="top"/>
          </w:tcPr>
          <w:p w14:paraId="6AB59E7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c>
        <w:tc>
          <w:tcPr>
            <w:tcW w:w="397" w:type="pct"/>
            <w:noWrap w:val="0"/>
            <w:vAlign w:val="top"/>
          </w:tcPr>
          <w:p w14:paraId="52DDC86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302" w:type="pct"/>
            <w:noWrap w:val="0"/>
            <w:vAlign w:val="top"/>
          </w:tcPr>
          <w:p w14:paraId="6155120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c>
        <w:tc>
          <w:tcPr>
            <w:tcW w:w="703" w:type="pct"/>
            <w:noWrap w:val="0"/>
            <w:vAlign w:val="center"/>
          </w:tcPr>
          <w:p w14:paraId="1216D5F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692" w:type="pct"/>
            <w:noWrap w:val="0"/>
            <w:vAlign w:val="center"/>
          </w:tcPr>
          <w:p w14:paraId="39F71E2A">
            <w:pPr>
              <w:keepNext w:val="0"/>
              <w:keepLines w:val="0"/>
              <w:pageBreakBefore w:val="0"/>
              <w:kinsoku/>
              <w:wordWrap/>
              <w:overflowPunct/>
              <w:topLinePunct w:val="0"/>
              <w:autoSpaceDE/>
              <w:autoSpaceDN/>
              <w:bidi w:val="0"/>
              <w:adjustRightInd/>
              <w:snapToGrid/>
              <w:spacing w:line="360" w:lineRule="auto"/>
              <w:ind w:right="9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14:paraId="7645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8"/>
            <w:noWrap w:val="0"/>
            <w:vAlign w:val="top"/>
          </w:tcPr>
          <w:p w14:paraId="340A2F4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合计（大写）：人民币          元整；                （小写）：￥</w:t>
            </w:r>
          </w:p>
        </w:tc>
      </w:tr>
      <w:tr w14:paraId="64066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5000" w:type="pct"/>
            <w:gridSpan w:val="8"/>
            <w:noWrap w:val="0"/>
            <w:vAlign w:val="top"/>
          </w:tcPr>
          <w:p w14:paraId="3DE7A6B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 备注：      </w:t>
            </w:r>
            <w:r>
              <w:rPr>
                <w:rFonts w:hint="eastAsia" w:ascii="宋体" w:hAnsi="宋体" w:eastAsia="宋体" w:cs="宋体"/>
                <w:color w:val="auto"/>
                <w:sz w:val="24"/>
                <w:szCs w:val="24"/>
                <w:highlight w:val="none"/>
              </w:rPr>
              <w:t xml:space="preserve">                                                         </w:t>
            </w:r>
          </w:p>
          <w:p w14:paraId="26A2214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bl>
    <w:p w14:paraId="24D75A8F">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产品应当符合国家规范规定的标准及乙方投标文件所述和宣传的标准，设备配置详单附后。</w:t>
      </w:r>
    </w:p>
    <w:p w14:paraId="06B3BE3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合同价款：</w:t>
      </w:r>
    </w:p>
    <w:p w14:paraId="17FB5C0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1、合同总金额：</w:t>
      </w:r>
      <w:r>
        <w:rPr>
          <w:rFonts w:hint="eastAsia" w:ascii="宋体" w:hAnsi="宋体" w:eastAsia="宋体" w:cs="宋体"/>
          <w:b/>
          <w:color w:val="auto"/>
          <w:sz w:val="24"/>
          <w:szCs w:val="24"/>
          <w:highlight w:val="none"/>
          <w:u w:val="single"/>
        </w:rPr>
        <w:t>人民币          元整。</w:t>
      </w:r>
    </w:p>
    <w:p w14:paraId="0EAA3EF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2、合同总金额包括</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等其他一切相关费用。</w:t>
      </w:r>
    </w:p>
    <w:p w14:paraId="7832747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三、</w:t>
      </w:r>
      <w:r>
        <w:rPr>
          <w:rFonts w:hint="eastAsia" w:ascii="宋体" w:hAnsi="宋体" w:eastAsia="宋体" w:cs="宋体"/>
          <w:b/>
          <w:color w:val="auto"/>
          <w:sz w:val="24"/>
          <w:szCs w:val="24"/>
          <w:highlight w:val="none"/>
        </w:rPr>
        <w:t>交货地点：</w:t>
      </w:r>
    </w:p>
    <w:p w14:paraId="73BC8DD5">
      <w:pPr>
        <w:keepNext w:val="0"/>
        <w:keepLines w:val="0"/>
        <w:pageBreakBefore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采购人指定地点。</w:t>
      </w:r>
    </w:p>
    <w:p w14:paraId="26E0010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四、</w:t>
      </w:r>
      <w:r>
        <w:rPr>
          <w:rFonts w:hint="eastAsia" w:ascii="宋体" w:hAnsi="宋体" w:eastAsia="宋体" w:cs="宋体"/>
          <w:b/>
          <w:color w:val="auto"/>
          <w:sz w:val="24"/>
          <w:szCs w:val="24"/>
          <w:highlight w:val="none"/>
        </w:rPr>
        <w:t>交货时间：</w:t>
      </w:r>
    </w:p>
    <w:p w14:paraId="73F3EEAA">
      <w:pPr>
        <w:keepNext w:val="0"/>
        <w:keepLines w:val="0"/>
        <w:pageBreakBefore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合同签订接采购人通知后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个日历日内。</w:t>
      </w:r>
    </w:p>
    <w:p w14:paraId="5A4E23E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eastAsia="zh-CN"/>
        </w:rPr>
        <w:t>五、</w:t>
      </w:r>
      <w:r>
        <w:rPr>
          <w:rFonts w:hint="eastAsia" w:ascii="宋体" w:hAnsi="宋体" w:eastAsia="宋体" w:cs="宋体"/>
          <w:b/>
          <w:color w:val="auto"/>
          <w:sz w:val="24"/>
          <w:szCs w:val="24"/>
          <w:highlight w:val="none"/>
        </w:rPr>
        <w:t>甲方指定收件人为：</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i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AD90A2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根据使用需要，甲方如需提前或推迟收货，甲方应当</w:t>
      </w:r>
      <w:r>
        <w:rPr>
          <w:rFonts w:hint="eastAsia" w:ascii="宋体" w:hAnsi="宋体" w:eastAsia="宋体" w:cs="宋体"/>
          <w:b/>
          <w:bCs/>
          <w:color w:val="auto"/>
          <w:sz w:val="24"/>
          <w:szCs w:val="24"/>
          <w:highlight w:val="none"/>
        </w:rPr>
        <w:t>提前电话或邮箱或其他任何在本合同约定的方式通知乙方</w:t>
      </w:r>
      <w:r>
        <w:rPr>
          <w:rFonts w:hint="eastAsia" w:ascii="宋体" w:hAnsi="宋体" w:eastAsia="宋体" w:cs="宋体"/>
          <w:color w:val="auto"/>
          <w:sz w:val="24"/>
          <w:szCs w:val="24"/>
          <w:highlight w:val="none"/>
        </w:rPr>
        <w:t>，乙方应无条件配合，不得收取仓储费等任何费用。</w:t>
      </w:r>
    </w:p>
    <w:p w14:paraId="5A46499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六</w:t>
      </w:r>
      <w:r>
        <w:rPr>
          <w:rFonts w:hint="eastAsia" w:ascii="宋体" w:hAnsi="宋体" w:eastAsia="宋体" w:cs="宋体"/>
          <w:b/>
          <w:color w:val="auto"/>
          <w:sz w:val="24"/>
          <w:szCs w:val="24"/>
          <w:highlight w:val="none"/>
        </w:rPr>
        <w:t>：货款结算方式：</w:t>
      </w:r>
    </w:p>
    <w:p w14:paraId="1998B1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1、付款方式：</w:t>
      </w:r>
    </w:p>
    <w:p w14:paraId="218CEDC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每次付款前</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个工作日内，乙方需提前向甲方开具相应金额的正式税务发票。</w:t>
      </w:r>
    </w:p>
    <w:p w14:paraId="60142A7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2、支付方式：甲方直接将货款通过银行转账的方式转入乙方指定的专用账号。乙方账户名：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。开户行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F16108">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七</w:t>
      </w:r>
      <w:r>
        <w:rPr>
          <w:rFonts w:hint="eastAsia" w:ascii="宋体" w:hAnsi="宋体" w:eastAsia="宋体" w:cs="宋体"/>
          <w:b/>
          <w:color w:val="auto"/>
          <w:sz w:val="24"/>
          <w:szCs w:val="24"/>
          <w:highlight w:val="none"/>
        </w:rPr>
        <w:t>、质量保证：</w:t>
      </w:r>
    </w:p>
    <w:p w14:paraId="5E617DE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质保期内产品出现任意故障，乙方应在收到使用方通知后2小时内到场维修，解决时间不得超过3个工作日</w:t>
      </w:r>
      <w:r>
        <w:rPr>
          <w:rFonts w:hint="eastAsia" w:ascii="宋体" w:hAnsi="宋体" w:eastAsia="宋体" w:cs="宋体"/>
          <w:color w:val="auto"/>
          <w:sz w:val="24"/>
          <w:szCs w:val="24"/>
          <w:highlight w:val="none"/>
        </w:rPr>
        <w:t>，全部费用由乙方支付，若需将产品送回生产厂， 由乙方支付维修产品所需的往返费用。</w:t>
      </w:r>
    </w:p>
    <w:p w14:paraId="4F5C2CA9">
      <w:pPr>
        <w:adjustRightInd w:val="0"/>
        <w:snapToGrid w:val="0"/>
        <w:spacing w:line="360" w:lineRule="auto"/>
        <w:rPr>
          <w:rFonts w:hint="eastAsia" w:ascii="宋体" w:hAnsi="宋体" w:eastAsia="宋体" w:cs="宋体"/>
          <w:b/>
          <w:color w:val="auto"/>
          <w:sz w:val="24"/>
          <w:szCs w:val="24"/>
          <w:highlight w:val="none"/>
          <w:lang w:eastAsia="zh-CN"/>
        </w:rPr>
      </w:pPr>
      <w:r>
        <w:rPr>
          <w:rFonts w:hint="eastAsia" w:hAnsi="宋体" w:cs="宋体"/>
          <w:b/>
          <w:color w:val="auto"/>
          <w:sz w:val="24"/>
          <w:szCs w:val="24"/>
          <w:highlight w:val="none"/>
          <w:lang w:val="en-US" w:eastAsia="zh-CN"/>
        </w:rPr>
        <w:t>八、</w:t>
      </w:r>
      <w:r>
        <w:rPr>
          <w:rFonts w:hint="eastAsia" w:ascii="宋体" w:hAnsi="宋体" w:eastAsia="宋体" w:cs="宋体"/>
          <w:b/>
          <w:color w:val="auto"/>
          <w:sz w:val="24"/>
          <w:szCs w:val="24"/>
          <w:highlight w:val="none"/>
          <w:lang w:eastAsia="zh-CN"/>
        </w:rPr>
        <w:t>运输：</w:t>
      </w:r>
    </w:p>
    <w:p w14:paraId="397C7DCA">
      <w:pPr>
        <w:numPr>
          <w:numId w:val="0"/>
        </w:num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根据产品特性，由乙方在保证产品质量的前提下，自行选择运输及包装方式，发生的一切费用全部由乙方承担。</w:t>
      </w:r>
    </w:p>
    <w:p w14:paraId="02C07201">
      <w:pPr>
        <w:keepNext w:val="0"/>
        <w:keepLines w:val="0"/>
        <w:pageBreakBefore w:val="0"/>
        <w:widowControl w:val="0"/>
        <w:numPr>
          <w:ilvl w:val="0"/>
          <w:numId w:val="1"/>
        </w:numPr>
        <w:kinsoku/>
        <w:wordWrap/>
        <w:overflowPunct/>
        <w:topLinePunct w:val="0"/>
        <w:autoSpaceDE/>
        <w:autoSpaceDN/>
        <w:bidi w:val="0"/>
        <w:adjustRightInd w:val="0"/>
        <w:snapToGrid w:val="0"/>
        <w:spacing w:line="480" w:lineRule="exact"/>
        <w:textAlignment w:val="auto"/>
        <w:rPr>
          <w:rFonts w:hint="eastAsia" w:ascii="宋体" w:hAnsi="宋体" w:eastAsia="宋体" w:cs="宋体"/>
          <w:b/>
          <w:color w:val="auto"/>
          <w:sz w:val="24"/>
          <w:szCs w:val="24"/>
          <w:highlight w:val="none"/>
        </w:rPr>
      </w:pPr>
      <w:r>
        <w:rPr>
          <w:rFonts w:hint="eastAsia" w:hAnsi="宋体" w:cs="宋体"/>
          <w:b/>
          <w:bCs/>
          <w:color w:val="auto"/>
          <w:sz w:val="24"/>
          <w:szCs w:val="24"/>
          <w:highlight w:val="none"/>
          <w:lang w:val="en-US" w:eastAsia="zh-CN"/>
        </w:rPr>
        <w:t>包装</w:t>
      </w:r>
      <w:r>
        <w:rPr>
          <w:rFonts w:hint="eastAsia" w:ascii="宋体" w:hAnsi="宋体" w:eastAsia="宋体" w:cs="宋体"/>
          <w:b/>
          <w:color w:val="auto"/>
          <w:sz w:val="24"/>
          <w:szCs w:val="24"/>
          <w:highlight w:val="none"/>
        </w:rPr>
        <w:t>：</w:t>
      </w:r>
    </w:p>
    <w:p w14:paraId="33808958">
      <w:pPr>
        <w:keepNext w:val="0"/>
        <w:keepLines w:val="0"/>
        <w:pageBreakBefore w:val="0"/>
        <w:widowControl w:val="0"/>
        <w:numPr>
          <w:numId w:val="0"/>
        </w:numPr>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snapToGrid w:val="0"/>
          <w:sz w:val="24"/>
          <w:szCs w:val="24"/>
          <w:highlight w:val="none"/>
        </w:rPr>
      </w:pPr>
      <w:r>
        <w:rPr>
          <w:rFonts w:hint="eastAsia" w:asciiTheme="minorEastAsia" w:hAnsiTheme="minorEastAsia" w:eastAsiaTheme="minorEastAsia"/>
          <w:snapToGrid w:val="0"/>
          <w:sz w:val="24"/>
          <w:szCs w:val="24"/>
          <w:highlight w:val="none"/>
          <w:lang w:val="en-US" w:eastAsia="zh-CN"/>
        </w:rPr>
        <w:t>1、</w:t>
      </w:r>
      <w:r>
        <w:rPr>
          <w:rFonts w:hint="eastAsia" w:asciiTheme="minorEastAsia" w:hAnsiTheme="minorEastAsia" w:eastAsiaTheme="minorEastAsia"/>
          <w:snapToGrid w:val="0"/>
          <w:sz w:val="24"/>
          <w:szCs w:val="24"/>
          <w:highlight w:val="none"/>
        </w:rPr>
        <w:t>乙方提供的全部货物予以坚固包装，并有良好的防潮、防锈、防震和防腐等保护措施，以确保货物安全运抵甲方。乙方应承担由于包装不良而引起的货物锈蚀、损坏和丢失的责任。</w:t>
      </w:r>
    </w:p>
    <w:p w14:paraId="65B5709F">
      <w:pPr>
        <w:keepNext w:val="0"/>
        <w:keepLines w:val="0"/>
        <w:pageBreakBefore w:val="0"/>
        <w:widowControl w:val="0"/>
        <w:numPr>
          <w:numId w:val="0"/>
        </w:numPr>
        <w:kinsoku/>
        <w:wordWrap/>
        <w:overflowPunct/>
        <w:topLinePunct w:val="0"/>
        <w:autoSpaceDE/>
        <w:autoSpaceDN/>
        <w:bidi w:val="0"/>
        <w:adjustRightInd w:val="0"/>
        <w:snapToGrid w:val="0"/>
        <w:spacing w:line="480" w:lineRule="exact"/>
        <w:ind w:leftChars="200"/>
        <w:textAlignment w:val="auto"/>
        <w:rPr>
          <w:rFonts w:hint="eastAsia" w:asciiTheme="minorEastAsia" w:hAnsiTheme="minorEastAsia" w:eastAsiaTheme="minorEastAsia"/>
          <w:snapToGrid w:val="0"/>
          <w:sz w:val="24"/>
          <w:szCs w:val="24"/>
          <w:highlight w:val="none"/>
        </w:rPr>
      </w:pPr>
      <w:r>
        <w:rPr>
          <w:rFonts w:hint="eastAsia" w:asciiTheme="minorEastAsia" w:hAnsiTheme="minorEastAsia" w:eastAsiaTheme="minorEastAsia"/>
          <w:snapToGrid w:val="0"/>
          <w:sz w:val="24"/>
          <w:szCs w:val="24"/>
          <w:highlight w:val="none"/>
          <w:lang w:val="en-US" w:eastAsia="zh-CN"/>
        </w:rPr>
        <w:t>2、</w:t>
      </w:r>
      <w:r>
        <w:rPr>
          <w:rFonts w:hint="eastAsia" w:asciiTheme="minorEastAsia" w:hAnsiTheme="minorEastAsia" w:eastAsiaTheme="minorEastAsia"/>
          <w:snapToGrid w:val="0"/>
          <w:sz w:val="24"/>
          <w:szCs w:val="24"/>
          <w:highlight w:val="none"/>
        </w:rPr>
        <w:t>每件包装箱内，应附有合格证、质量检验记录及有关技术资料。</w:t>
      </w:r>
    </w:p>
    <w:p w14:paraId="21D8C10A">
      <w:pPr>
        <w:keepNext w:val="0"/>
        <w:keepLines w:val="0"/>
        <w:pageBreakBefore w:val="0"/>
        <w:widowControl w:val="0"/>
        <w:numPr>
          <w:numId w:val="0"/>
        </w:numPr>
        <w:kinsoku/>
        <w:wordWrap/>
        <w:overflowPunct/>
        <w:topLinePunct w:val="0"/>
        <w:autoSpaceDE/>
        <w:autoSpaceDN/>
        <w:bidi w:val="0"/>
        <w:adjustRightInd w:val="0"/>
        <w:snapToGrid w:val="0"/>
        <w:spacing w:line="480" w:lineRule="exact"/>
        <w:ind w:leftChars="200"/>
        <w:textAlignment w:val="auto"/>
        <w:rPr>
          <w:rFonts w:hint="eastAsia" w:ascii="宋体" w:hAnsi="宋体" w:eastAsia="宋体" w:cs="宋体"/>
          <w:b/>
          <w:color w:val="auto"/>
          <w:sz w:val="24"/>
          <w:szCs w:val="24"/>
          <w:highlight w:val="none"/>
        </w:rPr>
      </w:pPr>
      <w:r>
        <w:rPr>
          <w:rFonts w:hint="eastAsia" w:asciiTheme="minorEastAsia" w:hAnsiTheme="minorEastAsia" w:eastAsiaTheme="minorEastAsia"/>
          <w:snapToGrid w:val="0"/>
          <w:sz w:val="24"/>
          <w:szCs w:val="24"/>
          <w:highlight w:val="none"/>
          <w:lang w:val="en-US" w:eastAsia="zh-CN"/>
        </w:rPr>
        <w:t>3、</w:t>
      </w:r>
      <w:r>
        <w:rPr>
          <w:rFonts w:hint="eastAsia" w:asciiTheme="minorEastAsia" w:hAnsiTheme="minorEastAsia" w:eastAsiaTheme="minorEastAsia"/>
          <w:snapToGrid w:val="0"/>
          <w:sz w:val="24"/>
          <w:szCs w:val="24"/>
          <w:highlight w:val="none"/>
        </w:rPr>
        <w:t>根据货物的特点和运输的不同要求，乙方应在包装箱上清楚地标 有“防潮”、“易碎”、“小心轻放”、“勿倒置”等字样的通用标记。</w:t>
      </w:r>
    </w:p>
    <w:p w14:paraId="34FE2DFB">
      <w:pPr>
        <w:spacing w:line="360" w:lineRule="auto"/>
        <w:rPr>
          <w:rFonts w:hint="eastAsia" w:hAnsi="宋体" w:cs="宋体"/>
          <w:color w:val="auto"/>
          <w:sz w:val="24"/>
          <w:szCs w:val="24"/>
          <w:highlight w:val="none"/>
        </w:rPr>
      </w:pPr>
      <w:bookmarkStart w:id="0" w:name="_GoBack"/>
      <w:bookmarkEnd w:id="0"/>
      <w:r>
        <w:rPr>
          <w:rFonts w:hint="eastAsia" w:ascii="宋体" w:hAnsi="宋体" w:eastAsia="宋体" w:cs="宋体"/>
          <w:b/>
          <w:color w:val="auto"/>
          <w:sz w:val="24"/>
          <w:szCs w:val="24"/>
          <w:highlight w:val="none"/>
          <w:lang w:eastAsia="zh-CN"/>
        </w:rPr>
        <w:t>十</w:t>
      </w:r>
      <w:r>
        <w:rPr>
          <w:rFonts w:hint="eastAsia" w:ascii="宋体" w:hAnsi="宋体" w:eastAsia="宋体" w:cs="宋体"/>
          <w:b/>
          <w:color w:val="auto"/>
          <w:sz w:val="24"/>
          <w:szCs w:val="24"/>
          <w:highlight w:val="none"/>
        </w:rPr>
        <w:t>、验收：</w:t>
      </w:r>
    </w:p>
    <w:p w14:paraId="0DA6E74A">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1 、验收由甲方相关人员组成的验收小组负责。分为项目初验和项目终验。</w:t>
      </w:r>
    </w:p>
    <w:p w14:paraId="72059A87">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2 、项目初验：乙方安装调试完成后应提供详细的安装报告，并详细记录各种指示的实测数据， 由 使用单位进行初验。验收内容为审查验收安装及测试报告，现场查看产品使用情况。验收合格后，使用 单位填写产品验收单。</w:t>
      </w:r>
    </w:p>
    <w:p w14:paraId="04EA3DE2">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3 、项目整体验收：该项目初验合格后， 甲方根据使用单位初步验收报告，组织相关人员或专家组 成的验收小组对产品进行最终验收。验收所产生的相关费用由乙方承担。</w:t>
      </w:r>
    </w:p>
    <w:p w14:paraId="44383DA8">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3.1 乙方提供完整的操作手册和安装、调试、维修手册；提供制造厂家的检验测试报告或产品出厂检测报告。</w:t>
      </w:r>
    </w:p>
    <w:p w14:paraId="57C95282">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3.2 甲方根据合同要求对产品进行验收、确认产品的产地、规格、型号和数量。验收依据为本合同文本、投标文件和国内相应的标准、规范。</w:t>
      </w:r>
    </w:p>
    <w:p w14:paraId="5C312924">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4 、验收合格后，填写产品验收单，并向甲方提交产品所包含的所有资料，以便使用单位日后管理和维护。</w:t>
      </w:r>
    </w:p>
    <w:p w14:paraId="316E5D5D">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lang w:val="en-US" w:eastAsia="zh-CN"/>
        </w:rPr>
        <w:t>5</w:t>
      </w:r>
      <w:r>
        <w:rPr>
          <w:rFonts w:hint="eastAsia" w:hAnsi="宋体" w:cs="宋体"/>
          <w:color w:val="auto"/>
          <w:sz w:val="24"/>
          <w:szCs w:val="24"/>
          <w:highlight w:val="none"/>
        </w:rPr>
        <w:t xml:space="preserve"> 、如因货物的质量问题发生争议， 由甲方属地技术质量监督部门进行质量鉴定；货物符合质量标准的，鉴定费由甲方承担；货物不符合质量标准的，鉴定费由乙方承担。</w:t>
      </w:r>
    </w:p>
    <w:p w14:paraId="7FFA4EED">
      <w:pPr>
        <w:spacing w:line="360" w:lineRule="auto"/>
        <w:ind w:firstLine="480" w:firstLineChars="200"/>
        <w:rPr>
          <w:color w:val="auto"/>
          <w:sz w:val="24"/>
          <w:szCs w:val="24"/>
          <w:highlight w:val="none"/>
        </w:rPr>
      </w:pPr>
      <w:r>
        <w:rPr>
          <w:rFonts w:hint="eastAsia" w:hAnsi="宋体" w:cs="宋体"/>
          <w:color w:val="auto"/>
          <w:sz w:val="24"/>
          <w:szCs w:val="24"/>
          <w:highlight w:val="none"/>
          <w:lang w:val="en-US" w:eastAsia="zh-CN"/>
        </w:rPr>
        <w:t>6</w:t>
      </w:r>
      <w:r>
        <w:rPr>
          <w:rFonts w:hint="eastAsia" w:hAnsi="宋体" w:cs="宋体"/>
          <w:color w:val="auto"/>
          <w:sz w:val="24"/>
          <w:szCs w:val="24"/>
          <w:highlight w:val="none"/>
        </w:rPr>
        <w:t>.验收依据：</w:t>
      </w:r>
    </w:p>
    <w:p w14:paraId="50DC9C53">
      <w:pPr>
        <w:numPr>
          <w:ilvl w:val="0"/>
          <w:numId w:val="2"/>
        </w:numPr>
        <w:tabs>
          <w:tab w:val="left" w:pos="498"/>
          <w:tab w:val="clear" w:pos="840"/>
        </w:tabs>
        <w:spacing w:line="360" w:lineRule="auto"/>
        <w:ind w:hanging="625"/>
        <w:rPr>
          <w:rFonts w:hAnsi="宋体" w:cs="宋体"/>
          <w:color w:val="auto"/>
          <w:sz w:val="24"/>
          <w:szCs w:val="24"/>
          <w:highlight w:val="none"/>
        </w:rPr>
      </w:pPr>
      <w:r>
        <w:rPr>
          <w:rFonts w:hint="eastAsia" w:hAnsi="宋体" w:cs="宋体"/>
          <w:color w:val="auto"/>
          <w:sz w:val="24"/>
          <w:szCs w:val="24"/>
          <w:highlight w:val="none"/>
        </w:rPr>
        <w:t>合同文本；</w:t>
      </w:r>
    </w:p>
    <w:p w14:paraId="5EEEB77F">
      <w:pPr>
        <w:numPr>
          <w:ilvl w:val="0"/>
          <w:numId w:val="2"/>
        </w:numPr>
        <w:tabs>
          <w:tab w:val="left" w:pos="498"/>
          <w:tab w:val="clear" w:pos="840"/>
        </w:tabs>
        <w:spacing w:line="360" w:lineRule="auto"/>
        <w:ind w:hanging="625"/>
        <w:rPr>
          <w:rFonts w:hAnsi="宋体" w:cs="宋体"/>
          <w:color w:val="auto"/>
          <w:sz w:val="24"/>
          <w:szCs w:val="24"/>
          <w:highlight w:val="none"/>
        </w:rPr>
      </w:pPr>
      <w:r>
        <w:rPr>
          <w:rFonts w:hint="eastAsia" w:hAnsi="宋体" w:cs="宋体"/>
          <w:color w:val="auto"/>
          <w:sz w:val="24"/>
          <w:szCs w:val="24"/>
          <w:highlight w:val="none"/>
        </w:rPr>
        <w:t>招标文件及澄清函、投标文件；</w:t>
      </w:r>
    </w:p>
    <w:p w14:paraId="67F5D61E">
      <w:pPr>
        <w:numPr>
          <w:ilvl w:val="0"/>
          <w:numId w:val="2"/>
        </w:numPr>
        <w:tabs>
          <w:tab w:val="left" w:pos="498"/>
          <w:tab w:val="clear" w:pos="840"/>
        </w:tabs>
        <w:spacing w:line="360" w:lineRule="auto"/>
        <w:ind w:hanging="625"/>
        <w:rPr>
          <w:rFonts w:hAnsi="宋体" w:cs="宋体"/>
          <w:color w:val="auto"/>
          <w:sz w:val="24"/>
          <w:szCs w:val="24"/>
          <w:highlight w:val="none"/>
        </w:rPr>
      </w:pPr>
      <w:r>
        <w:rPr>
          <w:rFonts w:hint="eastAsia" w:hAnsi="宋体" w:cs="宋体"/>
          <w:color w:val="auto"/>
          <w:sz w:val="24"/>
          <w:szCs w:val="24"/>
          <w:highlight w:val="none"/>
        </w:rPr>
        <w:t>国家和行业制定的相应的标准和规范；</w:t>
      </w:r>
    </w:p>
    <w:p w14:paraId="72DE46CF">
      <w:pPr>
        <w:adjustRightInd w:val="0"/>
        <w:snapToGrid w:val="0"/>
        <w:spacing w:line="360" w:lineRule="auto"/>
        <w:rPr>
          <w:rFonts w:hint="eastAsia" w:hAnsi="宋体" w:cs="宋体"/>
          <w:color w:val="auto"/>
          <w:sz w:val="24"/>
          <w:szCs w:val="24"/>
          <w:highlight w:val="none"/>
        </w:rPr>
      </w:pPr>
      <w:r>
        <w:rPr>
          <w:rFonts w:hint="eastAsia" w:hAnsi="宋体" w:cs="宋体"/>
          <w:color w:val="auto"/>
          <w:sz w:val="24"/>
          <w:szCs w:val="24"/>
          <w:highlight w:val="none"/>
        </w:rPr>
        <w:t>验收清单。</w:t>
      </w:r>
    </w:p>
    <w:p w14:paraId="207E49A8">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color w:val="auto"/>
          <w:sz w:val="24"/>
          <w:szCs w:val="24"/>
          <w:highlight w:val="none"/>
          <w:lang w:eastAsia="zh-CN"/>
        </w:rPr>
        <w:t>一</w:t>
      </w:r>
      <w:r>
        <w:rPr>
          <w:rFonts w:hint="eastAsia" w:ascii="宋体" w:hAnsi="宋体" w:eastAsia="宋体" w:cs="宋体"/>
          <w:b/>
          <w:bCs/>
          <w:color w:val="auto"/>
          <w:sz w:val="24"/>
          <w:szCs w:val="24"/>
          <w:highlight w:val="none"/>
        </w:rPr>
        <w:t>、质保及维保服务：</w:t>
      </w:r>
      <w:r>
        <w:rPr>
          <w:rFonts w:hint="eastAsia" w:ascii="宋体" w:hAnsi="宋体" w:eastAsia="宋体" w:cs="宋体"/>
          <w:color w:val="auto"/>
          <w:sz w:val="24"/>
          <w:szCs w:val="24"/>
          <w:highlight w:val="none"/>
        </w:rPr>
        <w:t>详见“第三章合同条款及格式前附表”</w:t>
      </w:r>
    </w:p>
    <w:p w14:paraId="666D48D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hAnsi="宋体" w:cs="宋体"/>
          <w:b/>
          <w:color w:val="auto"/>
          <w:sz w:val="24"/>
          <w:szCs w:val="24"/>
          <w:highlight w:val="none"/>
          <w:lang w:val="en-US" w:eastAsia="zh-CN"/>
        </w:rPr>
        <w:t>二</w:t>
      </w:r>
      <w:r>
        <w:rPr>
          <w:rFonts w:hint="eastAsia" w:ascii="宋体" w:hAnsi="宋体" w:eastAsia="宋体" w:cs="宋体"/>
          <w:b/>
          <w:color w:val="auto"/>
          <w:sz w:val="24"/>
          <w:szCs w:val="24"/>
          <w:highlight w:val="none"/>
        </w:rPr>
        <w:t>、合同争议的解决</w:t>
      </w:r>
    </w:p>
    <w:p w14:paraId="765F04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合同执行中发生争议的，当事人双方应协商解决。协商达不成一致时，可向当地行政仲裁机关申请仲裁或者向人民法院提请诉讼。</w:t>
      </w:r>
    </w:p>
    <w:p w14:paraId="423AB415">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、不可抗力情况下的免责约定</w:t>
      </w:r>
    </w:p>
    <w:p w14:paraId="0AD7685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双方约定不可抗力情况指：双方不可预见、不可避免、不可克服的客观情况，但不包括双方的违约或疏忽。这些事件包括但不限于：战争、严重火灾、洪水、台风、地震等。</w:t>
      </w:r>
    </w:p>
    <w:p w14:paraId="7ED528E2">
      <w:pPr>
        <w:numPr>
          <w:ilvl w:val="0"/>
          <w:numId w:val="3"/>
        </w:num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违约责任：</w:t>
      </w:r>
    </w:p>
    <w:p w14:paraId="67C1EE99">
      <w:pPr>
        <w:numPr>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eastAsia="宋体" w:cs="宋体"/>
          <w:color w:val="auto"/>
          <w:sz w:val="24"/>
          <w:szCs w:val="24"/>
          <w:highlight w:val="none"/>
          <w:lang w:eastAsia="zh-CN"/>
        </w:rPr>
        <w:t>中华人民共和国民法典</w:t>
      </w:r>
      <w:r>
        <w:rPr>
          <w:rFonts w:hint="eastAsia" w:ascii="宋体" w:hAnsi="宋体" w:eastAsia="宋体" w:cs="宋体"/>
          <w:color w:val="auto"/>
          <w:sz w:val="24"/>
          <w:szCs w:val="24"/>
          <w:highlight w:val="none"/>
        </w:rPr>
        <w:t>》中的相关条款执行。</w:t>
      </w:r>
    </w:p>
    <w:p w14:paraId="40D00FBE">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w:t>
      </w:r>
      <w:r>
        <w:rPr>
          <w:rFonts w:hint="eastAsia" w:ascii="宋体" w:hAnsi="宋体" w:eastAsia="宋体" w:cs="宋体"/>
          <w:color w:val="auto"/>
          <w:sz w:val="24"/>
          <w:szCs w:val="24"/>
          <w:highlight w:val="none"/>
          <w:lang w:eastAsia="zh-CN"/>
        </w:rPr>
        <w:t>中华人民共和国民法典</w:t>
      </w:r>
      <w:r>
        <w:rPr>
          <w:rFonts w:hint="eastAsia" w:ascii="宋体" w:hAnsi="宋体" w:eastAsia="宋体" w:cs="宋体"/>
          <w:color w:val="auto"/>
          <w:sz w:val="24"/>
          <w:szCs w:val="24"/>
          <w:highlight w:val="none"/>
        </w:rPr>
        <w:t>》有关条款及合同约定终止合同，并要求</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承担违约责任。同时，政府采购监管部门有权依据《</w:t>
      </w:r>
      <w:r>
        <w:rPr>
          <w:rFonts w:hint="eastAsia" w:ascii="宋体" w:hAnsi="宋体" w:eastAsia="宋体" w:cs="宋体"/>
          <w:color w:val="auto"/>
          <w:sz w:val="24"/>
          <w:szCs w:val="24"/>
          <w:highlight w:val="none"/>
          <w:lang w:eastAsia="zh-CN"/>
        </w:rPr>
        <w:t>中华人民共和国政府采购法</w:t>
      </w:r>
      <w:r>
        <w:rPr>
          <w:rFonts w:hint="eastAsia" w:ascii="宋体" w:hAnsi="宋体" w:eastAsia="宋体" w:cs="宋体"/>
          <w:color w:val="auto"/>
          <w:sz w:val="24"/>
          <w:szCs w:val="24"/>
          <w:highlight w:val="none"/>
        </w:rPr>
        <w:t>》及相关法律法规对</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的违法行为进行相应的处罚。</w:t>
      </w:r>
    </w:p>
    <w:p w14:paraId="4A91EB7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hAnsi="宋体" w:cs="宋体"/>
          <w:b/>
          <w:color w:val="auto"/>
          <w:sz w:val="24"/>
          <w:szCs w:val="24"/>
          <w:highlight w:val="none"/>
          <w:lang w:val="en-US" w:eastAsia="zh-CN"/>
        </w:rPr>
        <w:t>五</w:t>
      </w:r>
      <w:r>
        <w:rPr>
          <w:rFonts w:hint="eastAsia" w:ascii="宋体" w:hAnsi="宋体" w:eastAsia="宋体" w:cs="宋体"/>
          <w:b/>
          <w:color w:val="auto"/>
          <w:sz w:val="24"/>
          <w:szCs w:val="24"/>
          <w:highlight w:val="none"/>
        </w:rPr>
        <w:t>、以下资料为本合同不可分割部分，与本合同具有同等法律效力：</w:t>
      </w:r>
    </w:p>
    <w:p w14:paraId="53A605A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1、本合同所涉产品的国家标准及</w:t>
      </w:r>
      <w:r>
        <w:rPr>
          <w:rFonts w:hint="eastAsia" w:ascii="宋体" w:hAnsi="宋体" w:eastAsia="宋体" w:cs="宋体"/>
          <w:color w:val="auto"/>
          <w:sz w:val="24"/>
          <w:szCs w:val="24"/>
          <w:highlight w:val="none"/>
          <w:lang w:eastAsia="zh-CN"/>
        </w:rPr>
        <w:t>相关行业</w:t>
      </w:r>
      <w:r>
        <w:rPr>
          <w:rFonts w:hint="eastAsia" w:ascii="宋体" w:hAnsi="宋体" w:eastAsia="宋体" w:cs="宋体"/>
          <w:color w:val="auto"/>
          <w:sz w:val="24"/>
          <w:szCs w:val="24"/>
          <w:highlight w:val="none"/>
        </w:rPr>
        <w:t>标准；</w:t>
      </w:r>
    </w:p>
    <w:p w14:paraId="5C6E6FA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2、本产品的详细资料；</w:t>
      </w:r>
    </w:p>
    <w:p w14:paraId="3211EFE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3、招投标文件；</w:t>
      </w:r>
    </w:p>
    <w:p w14:paraId="2DFBB96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4、本套产品配置及配套设备零件报价详单；（附于合同后）</w:t>
      </w:r>
    </w:p>
    <w:p w14:paraId="777D2B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5、本套产品配套耗材清单、报价详单。（附于合同后）</w:t>
      </w:r>
    </w:p>
    <w:p w14:paraId="0EDA0526">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eastAsia="zh-CN"/>
        </w:rPr>
        <w:t>十</w:t>
      </w:r>
      <w:r>
        <w:rPr>
          <w:rFonts w:hint="eastAsia" w:hAnsi="宋体" w:cs="宋体"/>
          <w:b/>
          <w:color w:val="auto"/>
          <w:sz w:val="24"/>
          <w:szCs w:val="24"/>
          <w:highlight w:val="none"/>
          <w:lang w:val="en-US" w:eastAsia="zh-CN"/>
        </w:rPr>
        <w:t>六</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rPr>
        <w:t>其他（</w:t>
      </w:r>
      <w:r>
        <w:rPr>
          <w:rFonts w:hint="eastAsia" w:ascii="宋体" w:hAnsi="宋体" w:eastAsia="宋体" w:cs="宋体"/>
          <w:color w:val="auto"/>
          <w:sz w:val="24"/>
          <w:szCs w:val="24"/>
          <w:highlight w:val="none"/>
        </w:rPr>
        <w:t>在合同中</w:t>
      </w:r>
      <w:r>
        <w:rPr>
          <w:rFonts w:hint="eastAsia" w:ascii="宋体" w:hAnsi="宋体" w:eastAsia="宋体" w:cs="宋体"/>
          <w:color w:val="auto"/>
          <w:sz w:val="24"/>
          <w:szCs w:val="24"/>
          <w:highlight w:val="none"/>
          <w:lang w:eastAsia="zh-CN"/>
        </w:rPr>
        <w:t>双方自行约定</w:t>
      </w:r>
      <w:r>
        <w:rPr>
          <w:rFonts w:hint="eastAsia" w:ascii="宋体" w:hAnsi="宋体" w:eastAsia="宋体" w:cs="宋体"/>
          <w:color w:val="auto"/>
          <w:sz w:val="24"/>
          <w:szCs w:val="24"/>
          <w:highlight w:val="none"/>
        </w:rPr>
        <w:t>）</w:t>
      </w:r>
    </w:p>
    <w:p w14:paraId="66B72345">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hAnsi="宋体" w:cs="宋体"/>
          <w:b/>
          <w:color w:val="auto"/>
          <w:sz w:val="24"/>
          <w:szCs w:val="24"/>
          <w:highlight w:val="none"/>
          <w:lang w:val="en-US" w:eastAsia="zh-CN"/>
        </w:rPr>
        <w:t>七</w:t>
      </w:r>
      <w:r>
        <w:rPr>
          <w:rFonts w:hint="eastAsia" w:ascii="宋体" w:hAnsi="宋体" w:eastAsia="宋体" w:cs="宋体"/>
          <w:b/>
          <w:color w:val="auto"/>
          <w:sz w:val="24"/>
          <w:szCs w:val="24"/>
          <w:highlight w:val="none"/>
        </w:rPr>
        <w:t>、合同订立</w:t>
      </w:r>
    </w:p>
    <w:p w14:paraId="35C596CA">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CEB18A1">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订立地点：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EFC04D">
      <w:pPr>
        <w:tabs>
          <w:tab w:val="left" w:pos="980"/>
        </w:tabs>
        <w:kinsoku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本合同一式</w:t>
      </w:r>
      <w:r>
        <w:rPr>
          <w:rFonts w:hint="eastAsia" w:ascii="宋体" w:hAnsi="宋体" w:eastAsia="宋体" w:cs="宋体"/>
          <w:color w:val="auto"/>
          <w:sz w:val="24"/>
          <w:szCs w:val="24"/>
          <w:highlight w:val="none"/>
          <w:u w:val="single"/>
        </w:rPr>
        <w:t xml:space="preserve"> 捌 </w:t>
      </w:r>
      <w:r>
        <w:rPr>
          <w:rFonts w:hint="eastAsia" w:ascii="宋体" w:hAnsi="宋体" w:eastAsia="宋体" w:cs="宋体"/>
          <w:color w:val="auto"/>
          <w:sz w:val="24"/>
          <w:szCs w:val="24"/>
          <w:highlight w:val="none"/>
        </w:rPr>
        <w:t>份，具有同等法律效力，双方各执</w:t>
      </w:r>
      <w:r>
        <w:rPr>
          <w:rFonts w:hint="eastAsia" w:ascii="宋体" w:hAnsi="宋体" w:eastAsia="宋体" w:cs="宋体"/>
          <w:color w:val="auto"/>
          <w:sz w:val="24"/>
          <w:szCs w:val="24"/>
          <w:highlight w:val="none"/>
          <w:u w:val="single"/>
        </w:rPr>
        <w:t xml:space="preserve"> 贰 </w:t>
      </w:r>
      <w:r>
        <w:rPr>
          <w:rFonts w:hint="eastAsia" w:ascii="宋体" w:hAnsi="宋体" w:eastAsia="宋体" w:cs="宋体"/>
          <w:color w:val="auto"/>
          <w:sz w:val="24"/>
          <w:szCs w:val="24"/>
          <w:highlight w:val="none"/>
        </w:rPr>
        <w:t>份，监管部门备案</w:t>
      </w:r>
      <w:r>
        <w:rPr>
          <w:rFonts w:hint="eastAsia" w:ascii="宋体" w:hAnsi="宋体" w:eastAsia="宋体" w:cs="宋体"/>
          <w:color w:val="auto"/>
          <w:sz w:val="24"/>
          <w:szCs w:val="24"/>
          <w:highlight w:val="none"/>
          <w:u w:val="single"/>
        </w:rPr>
        <w:t xml:space="preserve"> 贰 </w:t>
      </w:r>
      <w:r>
        <w:rPr>
          <w:rFonts w:hint="eastAsia" w:ascii="宋体" w:hAnsi="宋体" w:eastAsia="宋体" w:cs="宋体"/>
          <w:color w:val="auto"/>
          <w:sz w:val="24"/>
          <w:szCs w:val="24"/>
          <w:highlight w:val="none"/>
        </w:rPr>
        <w:t>份、招标代理机构存档</w:t>
      </w:r>
      <w:r>
        <w:rPr>
          <w:rFonts w:hint="eastAsia" w:ascii="宋体" w:hAnsi="宋体" w:eastAsia="宋体" w:cs="宋体"/>
          <w:color w:val="auto"/>
          <w:sz w:val="24"/>
          <w:szCs w:val="24"/>
          <w:highlight w:val="none"/>
          <w:u w:val="single"/>
        </w:rPr>
        <w:t xml:space="preserve"> 贰 </w:t>
      </w:r>
      <w:r>
        <w:rPr>
          <w:rFonts w:hint="eastAsia" w:ascii="宋体" w:hAnsi="宋体" w:eastAsia="宋体" w:cs="宋体"/>
          <w:color w:val="auto"/>
          <w:sz w:val="24"/>
          <w:szCs w:val="24"/>
          <w:highlight w:val="none"/>
        </w:rPr>
        <w:t>份。各方签字盖章后生效，合同执行完毕自动失效。（合同的服务承诺则长期有效）。</w:t>
      </w:r>
    </w:p>
    <w:p w14:paraId="0F66FFBC">
      <w:pPr>
        <w:adjustRightInd w:val="0"/>
        <w:snapToGrid w:val="0"/>
        <w:spacing w:line="360" w:lineRule="auto"/>
        <w:ind w:firstLine="475" w:firstLineChars="198"/>
        <w:rPr>
          <w:rFonts w:hint="eastAsia" w:ascii="宋体" w:hAnsi="宋体" w:eastAsia="宋体" w:cs="宋体"/>
          <w:color w:val="auto"/>
          <w:sz w:val="24"/>
          <w:szCs w:val="24"/>
          <w:highlight w:val="none"/>
        </w:rPr>
      </w:pPr>
    </w:p>
    <w:tbl>
      <w:tblPr>
        <w:tblStyle w:val="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3"/>
        <w:gridCol w:w="4537"/>
      </w:tblGrid>
      <w:tr w14:paraId="78C6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2337" w:type="pct"/>
            <w:noWrap w:val="0"/>
            <w:vAlign w:val="center"/>
          </w:tcPr>
          <w:p w14:paraId="35BA90C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2662" w:type="pct"/>
            <w:noWrap w:val="0"/>
            <w:vAlign w:val="center"/>
          </w:tcPr>
          <w:p w14:paraId="3C840D1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1169F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2337" w:type="pct"/>
            <w:noWrap w:val="0"/>
            <w:vAlign w:val="center"/>
          </w:tcPr>
          <w:p w14:paraId="19DC614B">
            <w:pPr>
              <w:spacing w:line="360" w:lineRule="auto"/>
              <w:ind w:firstLine="960" w:firstLineChars="400"/>
              <w:rPr>
                <w:rFonts w:hint="eastAsia" w:ascii="宋体" w:hAnsi="宋体" w:eastAsia="宋体" w:cs="宋体"/>
                <w:color w:val="auto"/>
                <w:sz w:val="24"/>
                <w:szCs w:val="24"/>
                <w:highlight w:val="none"/>
              </w:rPr>
            </w:pPr>
          </w:p>
          <w:p w14:paraId="00D77BAB">
            <w:pPr>
              <w:spacing w:line="360" w:lineRule="auto"/>
              <w:jc w:val="center"/>
              <w:rPr>
                <w:rFonts w:hint="eastAsia" w:ascii="宋体" w:hAnsi="宋体" w:eastAsia="宋体" w:cs="宋体"/>
                <w:color w:val="auto"/>
                <w:sz w:val="24"/>
                <w:szCs w:val="24"/>
                <w:highlight w:val="none"/>
              </w:rPr>
            </w:pPr>
          </w:p>
          <w:p w14:paraId="2850D21F">
            <w:pPr>
              <w:spacing w:line="360" w:lineRule="auto"/>
              <w:jc w:val="center"/>
              <w:rPr>
                <w:rFonts w:hint="eastAsia" w:ascii="宋体" w:hAnsi="宋体" w:eastAsia="宋体" w:cs="宋体"/>
                <w:color w:val="auto"/>
                <w:sz w:val="24"/>
                <w:szCs w:val="24"/>
                <w:highlight w:val="none"/>
              </w:rPr>
            </w:pPr>
          </w:p>
          <w:p w14:paraId="05264219">
            <w:pPr>
              <w:spacing w:line="360" w:lineRule="auto"/>
              <w:jc w:val="center"/>
              <w:rPr>
                <w:rFonts w:hint="eastAsia" w:ascii="宋体" w:hAnsi="宋体" w:eastAsia="宋体" w:cs="宋体"/>
                <w:color w:val="auto"/>
                <w:sz w:val="24"/>
                <w:szCs w:val="24"/>
                <w:highlight w:val="none"/>
              </w:rPr>
            </w:pPr>
          </w:p>
          <w:p w14:paraId="33A1F2E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2662" w:type="pct"/>
            <w:noWrap w:val="0"/>
            <w:vAlign w:val="center"/>
          </w:tcPr>
          <w:p w14:paraId="5672B13D">
            <w:pPr>
              <w:spacing w:line="360" w:lineRule="auto"/>
              <w:jc w:val="center"/>
              <w:rPr>
                <w:rFonts w:hint="eastAsia" w:ascii="宋体" w:hAnsi="宋体" w:eastAsia="宋体" w:cs="宋体"/>
                <w:color w:val="auto"/>
                <w:sz w:val="24"/>
                <w:szCs w:val="24"/>
                <w:highlight w:val="none"/>
              </w:rPr>
            </w:pPr>
          </w:p>
          <w:p w14:paraId="6DF77D97">
            <w:pPr>
              <w:spacing w:line="360" w:lineRule="auto"/>
              <w:jc w:val="center"/>
              <w:rPr>
                <w:rFonts w:hint="eastAsia" w:ascii="宋体" w:hAnsi="宋体" w:eastAsia="宋体" w:cs="宋体"/>
                <w:color w:val="auto"/>
                <w:sz w:val="24"/>
                <w:szCs w:val="24"/>
                <w:highlight w:val="none"/>
              </w:rPr>
            </w:pPr>
          </w:p>
          <w:p w14:paraId="4B521A83">
            <w:pPr>
              <w:spacing w:line="360" w:lineRule="auto"/>
              <w:jc w:val="center"/>
              <w:rPr>
                <w:rFonts w:hint="eastAsia" w:ascii="宋体" w:hAnsi="宋体" w:eastAsia="宋体" w:cs="宋体"/>
                <w:color w:val="auto"/>
                <w:sz w:val="24"/>
                <w:szCs w:val="24"/>
                <w:highlight w:val="none"/>
              </w:rPr>
            </w:pPr>
          </w:p>
          <w:p w14:paraId="57BC117F">
            <w:pPr>
              <w:spacing w:line="360" w:lineRule="auto"/>
              <w:jc w:val="center"/>
              <w:rPr>
                <w:rFonts w:hint="eastAsia" w:ascii="宋体" w:hAnsi="宋体" w:eastAsia="宋体" w:cs="宋体"/>
                <w:color w:val="auto"/>
                <w:sz w:val="24"/>
                <w:szCs w:val="24"/>
                <w:highlight w:val="none"/>
              </w:rPr>
            </w:pPr>
          </w:p>
          <w:p w14:paraId="2E9C1C1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r>
      <w:tr w14:paraId="1485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37" w:type="pct"/>
            <w:noWrap w:val="0"/>
            <w:vAlign w:val="top"/>
          </w:tcPr>
          <w:p w14:paraId="0C32C67D">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2662" w:type="pct"/>
            <w:noWrap w:val="0"/>
            <w:vAlign w:val="top"/>
          </w:tcPr>
          <w:p w14:paraId="6148FAB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4B1B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337" w:type="pct"/>
            <w:noWrap w:val="0"/>
            <w:vAlign w:val="top"/>
          </w:tcPr>
          <w:p w14:paraId="48A8D4D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2662" w:type="pct"/>
            <w:noWrap w:val="0"/>
            <w:vAlign w:val="top"/>
          </w:tcPr>
          <w:p w14:paraId="4B96FDB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0C17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337" w:type="pct"/>
            <w:noWrap w:val="0"/>
            <w:vAlign w:val="top"/>
          </w:tcPr>
          <w:p w14:paraId="3FF6438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2662" w:type="pct"/>
            <w:noWrap w:val="0"/>
            <w:vAlign w:val="top"/>
          </w:tcPr>
          <w:p w14:paraId="7E9ED4C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6A9B8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noWrap w:val="0"/>
            <w:vAlign w:val="top"/>
          </w:tcPr>
          <w:p w14:paraId="127D713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被授权代表：（签字）</w:t>
            </w:r>
          </w:p>
        </w:tc>
        <w:tc>
          <w:tcPr>
            <w:tcW w:w="2662" w:type="pct"/>
            <w:noWrap w:val="0"/>
            <w:vAlign w:val="top"/>
          </w:tcPr>
          <w:p w14:paraId="465FB6D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被授权代表：（签字）</w:t>
            </w:r>
          </w:p>
        </w:tc>
      </w:tr>
      <w:tr w14:paraId="70DEB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noWrap w:val="0"/>
            <w:vAlign w:val="top"/>
          </w:tcPr>
          <w:p w14:paraId="79BBD58A">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2662" w:type="pct"/>
            <w:noWrap w:val="0"/>
            <w:vAlign w:val="top"/>
          </w:tcPr>
          <w:p w14:paraId="45E17AC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00CE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noWrap w:val="0"/>
            <w:vAlign w:val="top"/>
          </w:tcPr>
          <w:p w14:paraId="2F6B01B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2662" w:type="pct"/>
            <w:noWrap w:val="0"/>
            <w:vAlign w:val="top"/>
          </w:tcPr>
          <w:p w14:paraId="2ACA2075">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09535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noWrap w:val="0"/>
            <w:vAlign w:val="top"/>
          </w:tcPr>
          <w:p w14:paraId="4D65FF88">
            <w:pPr>
              <w:spacing w:line="360" w:lineRule="auto"/>
              <w:jc w:val="left"/>
              <w:rPr>
                <w:rFonts w:hint="eastAsia" w:ascii="宋体" w:hAnsi="宋体" w:eastAsia="宋体" w:cs="宋体"/>
                <w:color w:val="auto"/>
                <w:sz w:val="24"/>
                <w:szCs w:val="24"/>
                <w:highlight w:val="none"/>
              </w:rPr>
            </w:pPr>
          </w:p>
        </w:tc>
        <w:tc>
          <w:tcPr>
            <w:tcW w:w="2662" w:type="pct"/>
            <w:noWrap w:val="0"/>
            <w:vAlign w:val="top"/>
          </w:tcPr>
          <w:p w14:paraId="5064E88E">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开户银行：</w:t>
            </w:r>
          </w:p>
        </w:tc>
      </w:tr>
      <w:tr w14:paraId="4F2A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noWrap w:val="0"/>
            <w:vAlign w:val="top"/>
          </w:tcPr>
          <w:p w14:paraId="303F5B0A">
            <w:pPr>
              <w:spacing w:line="360" w:lineRule="auto"/>
              <w:jc w:val="left"/>
              <w:rPr>
                <w:rFonts w:hint="eastAsia" w:ascii="宋体" w:hAnsi="宋体" w:eastAsia="宋体" w:cs="宋体"/>
                <w:color w:val="auto"/>
                <w:sz w:val="24"/>
                <w:szCs w:val="24"/>
                <w:highlight w:val="none"/>
              </w:rPr>
            </w:pPr>
          </w:p>
        </w:tc>
        <w:tc>
          <w:tcPr>
            <w:tcW w:w="2662" w:type="pct"/>
            <w:noWrap w:val="0"/>
            <w:vAlign w:val="top"/>
          </w:tcPr>
          <w:p w14:paraId="262DB87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3E91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7" w:type="pct"/>
            <w:noWrap w:val="0"/>
            <w:vAlign w:val="top"/>
          </w:tcPr>
          <w:p w14:paraId="3DDD440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年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w:t>
            </w:r>
          </w:p>
        </w:tc>
        <w:tc>
          <w:tcPr>
            <w:tcW w:w="2662" w:type="pct"/>
            <w:noWrap w:val="0"/>
            <w:vAlign w:val="top"/>
          </w:tcPr>
          <w:p w14:paraId="0389D08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年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r>
    </w:tbl>
    <w:p w14:paraId="0B4225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CED435"/>
    <w:multiLevelType w:val="singleLevel"/>
    <w:tmpl w:val="A5CED435"/>
    <w:lvl w:ilvl="0" w:tentative="0">
      <w:start w:val="14"/>
      <w:numFmt w:val="chineseCounting"/>
      <w:suff w:val="nothing"/>
      <w:lvlText w:val="%1、"/>
      <w:lvlJc w:val="left"/>
      <w:rPr>
        <w:rFonts w:hint="eastAsia"/>
      </w:rPr>
    </w:lvl>
  </w:abstractNum>
  <w:abstractNum w:abstractNumId="1">
    <w:nsid w:val="00000001"/>
    <w:multiLevelType w:val="multilevel"/>
    <w:tmpl w:val="00000001"/>
    <w:lvl w:ilvl="0" w:tentative="0">
      <w:start w:val="1"/>
      <w:numFmt w:val="lowerLetter"/>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DB0FE6E"/>
    <w:multiLevelType w:val="singleLevel"/>
    <w:tmpl w:val="0DB0FE6E"/>
    <w:lvl w:ilvl="0" w:tentative="0">
      <w:start w:val="9"/>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6D662D"/>
    <w:rsid w:val="096D662D"/>
    <w:rsid w:val="23B0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2026-03-10T05:42:00Z</dcterms:created>
  <dc:creator>晓 </dc:creator>
  <cp:lastModifiedBy>晓 </cp:lastModifiedBy>
  <dcterms:modified xsi:type="dcterms:W3CDTF">2026-03-10T05:56:40Z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1F86B23590094F5A838EBBA374545C75_11</vt:lpwstr>
  </property>
  <property fmtid="{D5CDD505-2E9C-101B-9397-08002B2CF9AE}" pid="4" name="KSOTemplateDocerSaveRecord">
    <vt:lpwstr>eyJoZGlkIjoiNTkwZTE4ZTM0YWY0NDVjNGI5ZTE3OWU1YWQ1MDgwNzAiLCJ1c2VySWQiOiI2NzQ5OTQ4MDEifQ==</vt:lpwstr>
  </property>
</Properties>
</file>