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3417B">
      <w:pPr>
        <w:ind w:firstLine="480" w:firstLineChars="150"/>
        <w:jc w:val="center"/>
        <w:rPr>
          <w:rFonts w:hint="eastAsia" w:ascii="宋体" w:hAnsi="宋体" w:eastAsia="宋体" w:cs="宋体"/>
          <w:sz w:val="32"/>
          <w:szCs w:val="32"/>
        </w:rPr>
      </w:pPr>
      <w:r>
        <w:rPr>
          <w:rFonts w:hint="eastAsia" w:ascii="宋体" w:hAnsi="宋体" w:eastAsia="宋体" w:cs="宋体"/>
          <w:sz w:val="32"/>
          <w:szCs w:val="32"/>
        </w:rPr>
        <w:t>××购置合同</w:t>
      </w:r>
    </w:p>
    <w:p w14:paraId="600A64CB">
      <w:pPr>
        <w:ind w:firstLine="360" w:firstLineChars="150"/>
        <w:jc w:val="center"/>
        <w:rPr>
          <w:rFonts w:hint="eastAsia" w:ascii="宋体" w:hAnsi="宋体" w:eastAsia="宋体" w:cs="宋体"/>
          <w:sz w:val="24"/>
        </w:rPr>
      </w:pPr>
      <w:r>
        <w:rPr>
          <w:rFonts w:hint="eastAsia" w:ascii="宋体" w:hAnsi="宋体" w:eastAsia="宋体" w:cs="宋体"/>
          <w:sz w:val="24"/>
        </w:rPr>
        <w:t>（参考模版）</w:t>
      </w:r>
    </w:p>
    <w:p w14:paraId="58C87966">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根据《中华人民共和国政府采购法》、《中华人民共和国民法典》及有关法律规定，遵循平等、自愿、公平和诚实信用的原则，西安石油大学（甲方）与××××公司（乙方）就××××项目（招标编号：）经双方协商达成如下合同条款：</w:t>
      </w:r>
    </w:p>
    <w:p w14:paraId="6EA4392B">
      <w:pPr>
        <w:spacing w:line="360" w:lineRule="auto"/>
        <w:rPr>
          <w:rFonts w:hint="eastAsia" w:ascii="宋体" w:hAnsi="宋体" w:eastAsia="宋体" w:cs="宋体"/>
          <w:b/>
          <w:sz w:val="24"/>
        </w:rPr>
      </w:pPr>
      <w:r>
        <w:rPr>
          <w:rFonts w:hint="eastAsia" w:ascii="宋体" w:hAnsi="宋体" w:eastAsia="宋体" w:cs="宋体"/>
          <w:b/>
          <w:sz w:val="24"/>
        </w:rPr>
        <w:t>一、合同内容</w:t>
      </w:r>
    </w:p>
    <w:p w14:paraId="030B6AE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1、购置清单</w:t>
      </w:r>
    </w:p>
    <w:tbl>
      <w:tblPr>
        <w:tblStyle w:val="11"/>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659317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047139CF">
            <w:pPr>
              <w:spacing w:line="360" w:lineRule="auto"/>
              <w:jc w:val="center"/>
              <w:rPr>
                <w:rFonts w:hint="eastAsia" w:ascii="宋体" w:hAnsi="宋体" w:eastAsia="宋体" w:cs="宋体"/>
                <w:szCs w:val="21"/>
              </w:rPr>
            </w:pPr>
            <w:r>
              <w:rPr>
                <w:rFonts w:hint="eastAsia" w:ascii="宋体" w:hAnsi="宋体" w:eastAsia="宋体" w:cs="宋体"/>
                <w:szCs w:val="21"/>
              </w:rPr>
              <w:t>货物名称</w:t>
            </w:r>
          </w:p>
        </w:tc>
        <w:tc>
          <w:tcPr>
            <w:tcW w:w="1545" w:type="dxa"/>
            <w:tcBorders>
              <w:top w:val="single" w:color="auto" w:sz="4" w:space="0"/>
              <w:left w:val="nil"/>
              <w:bottom w:val="single" w:color="auto" w:sz="4" w:space="0"/>
              <w:right w:val="single" w:color="auto" w:sz="4" w:space="0"/>
            </w:tcBorders>
            <w:vAlign w:val="center"/>
          </w:tcPr>
          <w:p w14:paraId="0E0FBCA1">
            <w:pPr>
              <w:spacing w:line="360" w:lineRule="auto"/>
              <w:jc w:val="center"/>
              <w:rPr>
                <w:rFonts w:hint="eastAsia" w:ascii="宋体" w:hAnsi="宋体" w:eastAsia="宋体" w:cs="宋体"/>
                <w:szCs w:val="21"/>
              </w:rPr>
            </w:pPr>
            <w:r>
              <w:rPr>
                <w:rFonts w:hint="eastAsia" w:ascii="宋体" w:hAnsi="宋体" w:eastAsia="宋体" w:cs="宋体"/>
                <w:szCs w:val="21"/>
              </w:rPr>
              <w:t>型号与规格</w:t>
            </w:r>
          </w:p>
        </w:tc>
        <w:tc>
          <w:tcPr>
            <w:tcW w:w="1440" w:type="dxa"/>
            <w:tcBorders>
              <w:top w:val="single" w:color="auto" w:sz="4" w:space="0"/>
              <w:left w:val="nil"/>
              <w:bottom w:val="single" w:color="auto" w:sz="4" w:space="0"/>
              <w:right w:val="single" w:color="auto" w:sz="4" w:space="0"/>
            </w:tcBorders>
            <w:vAlign w:val="center"/>
          </w:tcPr>
          <w:p w14:paraId="202DEE55">
            <w:pPr>
              <w:spacing w:line="360" w:lineRule="auto"/>
              <w:jc w:val="center"/>
              <w:rPr>
                <w:rFonts w:hint="eastAsia" w:ascii="宋体" w:hAnsi="宋体" w:eastAsia="宋体" w:cs="宋体"/>
                <w:szCs w:val="21"/>
              </w:rPr>
            </w:pPr>
            <w:r>
              <w:rPr>
                <w:rFonts w:hint="eastAsia" w:ascii="宋体" w:hAnsi="宋体" w:eastAsia="宋体" w:cs="宋体"/>
                <w:szCs w:val="21"/>
              </w:rPr>
              <w:t>生产商、产地</w:t>
            </w:r>
          </w:p>
        </w:tc>
        <w:tc>
          <w:tcPr>
            <w:tcW w:w="810" w:type="dxa"/>
            <w:tcBorders>
              <w:top w:val="single" w:color="auto" w:sz="4" w:space="0"/>
              <w:left w:val="nil"/>
              <w:bottom w:val="single" w:color="auto" w:sz="4" w:space="0"/>
              <w:right w:val="single" w:color="auto" w:sz="4" w:space="0"/>
            </w:tcBorders>
            <w:vAlign w:val="center"/>
          </w:tcPr>
          <w:p w14:paraId="4E06FB40">
            <w:pPr>
              <w:spacing w:line="360" w:lineRule="auto"/>
              <w:jc w:val="center"/>
              <w:rPr>
                <w:rFonts w:hint="eastAsia" w:ascii="宋体" w:hAnsi="宋体" w:eastAsia="宋体" w:cs="宋体"/>
                <w:szCs w:val="21"/>
              </w:rPr>
            </w:pPr>
            <w:r>
              <w:rPr>
                <w:rFonts w:hint="eastAsia" w:ascii="宋体" w:hAnsi="宋体" w:eastAsia="宋体" w:cs="宋体"/>
                <w:szCs w:val="21"/>
              </w:rPr>
              <w:t>数量</w:t>
            </w:r>
          </w:p>
        </w:tc>
        <w:tc>
          <w:tcPr>
            <w:tcW w:w="700" w:type="dxa"/>
            <w:tcBorders>
              <w:top w:val="single" w:color="auto" w:sz="4" w:space="0"/>
              <w:left w:val="nil"/>
              <w:bottom w:val="single" w:color="auto" w:sz="4" w:space="0"/>
              <w:right w:val="single" w:color="auto" w:sz="4" w:space="0"/>
            </w:tcBorders>
            <w:vAlign w:val="center"/>
          </w:tcPr>
          <w:p w14:paraId="309089B4">
            <w:pPr>
              <w:spacing w:line="360" w:lineRule="auto"/>
              <w:jc w:val="center"/>
              <w:rPr>
                <w:rFonts w:hint="eastAsia" w:ascii="宋体" w:hAnsi="宋体" w:eastAsia="宋体" w:cs="宋体"/>
                <w:szCs w:val="21"/>
              </w:rPr>
            </w:pPr>
            <w:r>
              <w:rPr>
                <w:rFonts w:hint="eastAsia" w:ascii="宋体" w:hAnsi="宋体" w:eastAsia="宋体" w:cs="宋体"/>
                <w:szCs w:val="21"/>
              </w:rPr>
              <w:t>单位</w:t>
            </w:r>
          </w:p>
        </w:tc>
        <w:tc>
          <w:tcPr>
            <w:tcW w:w="1100" w:type="dxa"/>
            <w:tcBorders>
              <w:top w:val="single" w:color="auto" w:sz="4" w:space="0"/>
              <w:left w:val="nil"/>
              <w:bottom w:val="single" w:color="auto" w:sz="4" w:space="0"/>
              <w:right w:val="single" w:color="auto" w:sz="4" w:space="0"/>
            </w:tcBorders>
            <w:vAlign w:val="center"/>
          </w:tcPr>
          <w:p w14:paraId="1D6E19BF">
            <w:pPr>
              <w:spacing w:line="360" w:lineRule="auto"/>
              <w:jc w:val="center"/>
              <w:rPr>
                <w:rFonts w:hint="eastAsia" w:ascii="宋体" w:hAnsi="宋体" w:eastAsia="宋体" w:cs="宋体"/>
                <w:szCs w:val="21"/>
              </w:rPr>
            </w:pPr>
            <w:r>
              <w:rPr>
                <w:rFonts w:hint="eastAsia" w:ascii="宋体" w:hAnsi="宋体" w:eastAsia="宋体" w:cs="宋体"/>
                <w:szCs w:val="21"/>
              </w:rPr>
              <w:t>单价（元）</w:t>
            </w:r>
          </w:p>
        </w:tc>
        <w:tc>
          <w:tcPr>
            <w:tcW w:w="1100" w:type="dxa"/>
            <w:tcBorders>
              <w:top w:val="single" w:color="auto" w:sz="4" w:space="0"/>
              <w:left w:val="nil"/>
              <w:bottom w:val="single" w:color="auto" w:sz="4" w:space="0"/>
              <w:right w:val="single" w:color="auto" w:sz="4" w:space="0"/>
            </w:tcBorders>
            <w:vAlign w:val="center"/>
          </w:tcPr>
          <w:p w14:paraId="635E124F">
            <w:pPr>
              <w:spacing w:line="360" w:lineRule="auto"/>
              <w:jc w:val="center"/>
              <w:rPr>
                <w:rFonts w:hint="eastAsia" w:ascii="宋体" w:hAnsi="宋体" w:eastAsia="宋体" w:cs="宋体"/>
                <w:szCs w:val="21"/>
              </w:rPr>
            </w:pPr>
            <w:r>
              <w:rPr>
                <w:rFonts w:hint="eastAsia" w:ascii="宋体" w:hAnsi="宋体" w:eastAsia="宋体" w:cs="宋体"/>
                <w:szCs w:val="21"/>
              </w:rPr>
              <w:t>总价（元）</w:t>
            </w:r>
          </w:p>
        </w:tc>
      </w:tr>
      <w:tr w14:paraId="1FE963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2E75EF4D">
            <w:pPr>
              <w:spacing w:line="360" w:lineRule="auto"/>
              <w:rPr>
                <w:rFonts w:hint="eastAsia" w:ascii="宋体" w:hAnsi="宋体" w:eastAsia="宋体" w:cs="宋体"/>
                <w:szCs w:val="21"/>
              </w:rPr>
            </w:pPr>
          </w:p>
        </w:tc>
        <w:tc>
          <w:tcPr>
            <w:tcW w:w="1545" w:type="dxa"/>
            <w:tcBorders>
              <w:top w:val="single" w:color="auto" w:sz="4" w:space="0"/>
              <w:left w:val="nil"/>
              <w:bottom w:val="single" w:color="auto" w:sz="4" w:space="0"/>
              <w:right w:val="single" w:color="auto" w:sz="4" w:space="0"/>
            </w:tcBorders>
          </w:tcPr>
          <w:p w14:paraId="141A03B7">
            <w:pPr>
              <w:spacing w:line="360" w:lineRule="auto"/>
              <w:rPr>
                <w:rFonts w:hint="eastAsia" w:ascii="宋体" w:hAnsi="宋体" w:eastAsia="宋体" w:cs="宋体"/>
                <w:szCs w:val="21"/>
              </w:rPr>
            </w:pPr>
          </w:p>
        </w:tc>
        <w:tc>
          <w:tcPr>
            <w:tcW w:w="1440" w:type="dxa"/>
            <w:tcBorders>
              <w:top w:val="single" w:color="auto" w:sz="4" w:space="0"/>
              <w:left w:val="nil"/>
              <w:bottom w:val="single" w:color="auto" w:sz="4" w:space="0"/>
              <w:right w:val="single" w:color="auto" w:sz="4" w:space="0"/>
            </w:tcBorders>
          </w:tcPr>
          <w:p w14:paraId="4833A429">
            <w:pPr>
              <w:spacing w:line="360" w:lineRule="auto"/>
              <w:rPr>
                <w:rFonts w:hint="eastAsia" w:ascii="宋体" w:hAnsi="宋体" w:eastAsia="宋体" w:cs="宋体"/>
                <w:szCs w:val="21"/>
              </w:rPr>
            </w:pPr>
          </w:p>
        </w:tc>
        <w:tc>
          <w:tcPr>
            <w:tcW w:w="810" w:type="dxa"/>
            <w:tcBorders>
              <w:top w:val="single" w:color="auto" w:sz="4" w:space="0"/>
              <w:left w:val="nil"/>
              <w:bottom w:val="single" w:color="auto" w:sz="4" w:space="0"/>
              <w:right w:val="single" w:color="auto" w:sz="4" w:space="0"/>
            </w:tcBorders>
          </w:tcPr>
          <w:p w14:paraId="20C53EA9">
            <w:pPr>
              <w:spacing w:line="360" w:lineRule="auto"/>
              <w:rPr>
                <w:rFonts w:hint="eastAsia" w:ascii="宋体" w:hAnsi="宋体" w:eastAsia="宋体" w:cs="宋体"/>
                <w:szCs w:val="21"/>
              </w:rPr>
            </w:pPr>
          </w:p>
        </w:tc>
        <w:tc>
          <w:tcPr>
            <w:tcW w:w="700" w:type="dxa"/>
            <w:tcBorders>
              <w:top w:val="single" w:color="auto" w:sz="4" w:space="0"/>
              <w:left w:val="nil"/>
              <w:bottom w:val="single" w:color="auto" w:sz="4" w:space="0"/>
              <w:right w:val="single" w:color="auto" w:sz="4" w:space="0"/>
            </w:tcBorders>
          </w:tcPr>
          <w:p w14:paraId="6A3B7848">
            <w:pPr>
              <w:spacing w:line="360" w:lineRule="auto"/>
              <w:rPr>
                <w:rFonts w:hint="eastAsia" w:ascii="宋体" w:hAnsi="宋体" w:eastAsia="宋体" w:cs="宋体"/>
                <w:szCs w:val="21"/>
              </w:rPr>
            </w:pPr>
          </w:p>
        </w:tc>
        <w:tc>
          <w:tcPr>
            <w:tcW w:w="1100" w:type="dxa"/>
            <w:tcBorders>
              <w:top w:val="single" w:color="auto" w:sz="4" w:space="0"/>
              <w:left w:val="nil"/>
              <w:bottom w:val="single" w:color="auto" w:sz="4" w:space="0"/>
              <w:right w:val="single" w:color="auto" w:sz="4" w:space="0"/>
            </w:tcBorders>
          </w:tcPr>
          <w:p w14:paraId="5FDA49BD">
            <w:pPr>
              <w:spacing w:line="360" w:lineRule="auto"/>
              <w:rPr>
                <w:rFonts w:hint="eastAsia" w:ascii="宋体" w:hAnsi="宋体" w:eastAsia="宋体" w:cs="宋体"/>
                <w:szCs w:val="21"/>
              </w:rPr>
            </w:pPr>
          </w:p>
        </w:tc>
        <w:tc>
          <w:tcPr>
            <w:tcW w:w="1100" w:type="dxa"/>
            <w:tcBorders>
              <w:top w:val="single" w:color="auto" w:sz="4" w:space="0"/>
              <w:left w:val="nil"/>
              <w:bottom w:val="single" w:color="auto" w:sz="4" w:space="0"/>
              <w:right w:val="single" w:color="auto" w:sz="4" w:space="0"/>
            </w:tcBorders>
          </w:tcPr>
          <w:p w14:paraId="059D99AC">
            <w:pPr>
              <w:spacing w:line="360" w:lineRule="auto"/>
              <w:rPr>
                <w:rFonts w:hint="eastAsia" w:ascii="宋体" w:hAnsi="宋体" w:eastAsia="宋体" w:cs="宋体"/>
                <w:szCs w:val="21"/>
              </w:rPr>
            </w:pPr>
          </w:p>
        </w:tc>
      </w:tr>
      <w:tr w14:paraId="07ED76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2F57D3D1">
            <w:pPr>
              <w:spacing w:line="360" w:lineRule="auto"/>
              <w:rPr>
                <w:rFonts w:hint="eastAsia" w:ascii="宋体" w:hAnsi="宋体" w:eastAsia="宋体" w:cs="宋体"/>
                <w:szCs w:val="21"/>
              </w:rPr>
            </w:pPr>
          </w:p>
        </w:tc>
        <w:tc>
          <w:tcPr>
            <w:tcW w:w="1545" w:type="dxa"/>
            <w:tcBorders>
              <w:top w:val="single" w:color="auto" w:sz="4" w:space="0"/>
              <w:left w:val="nil"/>
              <w:bottom w:val="single" w:color="auto" w:sz="4" w:space="0"/>
              <w:right w:val="single" w:color="auto" w:sz="4" w:space="0"/>
            </w:tcBorders>
            <w:vAlign w:val="center"/>
          </w:tcPr>
          <w:p w14:paraId="073B1999">
            <w:pPr>
              <w:spacing w:line="360" w:lineRule="auto"/>
              <w:rPr>
                <w:rFonts w:hint="eastAsia" w:ascii="宋体" w:hAnsi="宋体" w:eastAsia="宋体" w:cs="宋体"/>
                <w:szCs w:val="21"/>
              </w:rPr>
            </w:pPr>
          </w:p>
        </w:tc>
        <w:tc>
          <w:tcPr>
            <w:tcW w:w="1440" w:type="dxa"/>
            <w:tcBorders>
              <w:top w:val="single" w:color="auto" w:sz="4" w:space="0"/>
              <w:left w:val="nil"/>
              <w:bottom w:val="single" w:color="auto" w:sz="4" w:space="0"/>
              <w:right w:val="single" w:color="auto" w:sz="4" w:space="0"/>
            </w:tcBorders>
            <w:vAlign w:val="center"/>
          </w:tcPr>
          <w:p w14:paraId="23F347F5">
            <w:pPr>
              <w:spacing w:line="360" w:lineRule="auto"/>
              <w:rPr>
                <w:rFonts w:hint="eastAsia" w:ascii="宋体" w:hAnsi="宋体" w:eastAsia="宋体" w:cs="宋体"/>
                <w:szCs w:val="21"/>
              </w:rPr>
            </w:pPr>
          </w:p>
        </w:tc>
        <w:tc>
          <w:tcPr>
            <w:tcW w:w="810" w:type="dxa"/>
            <w:tcBorders>
              <w:top w:val="single" w:color="auto" w:sz="4" w:space="0"/>
              <w:left w:val="nil"/>
              <w:bottom w:val="single" w:color="auto" w:sz="4" w:space="0"/>
              <w:right w:val="single" w:color="auto" w:sz="4" w:space="0"/>
            </w:tcBorders>
            <w:vAlign w:val="center"/>
          </w:tcPr>
          <w:p w14:paraId="7DB173F4">
            <w:pPr>
              <w:spacing w:line="360" w:lineRule="auto"/>
              <w:rPr>
                <w:rFonts w:hint="eastAsia" w:ascii="宋体" w:hAnsi="宋体" w:eastAsia="宋体" w:cs="宋体"/>
                <w:szCs w:val="21"/>
              </w:rPr>
            </w:pPr>
          </w:p>
        </w:tc>
        <w:tc>
          <w:tcPr>
            <w:tcW w:w="700" w:type="dxa"/>
            <w:tcBorders>
              <w:top w:val="single" w:color="auto" w:sz="4" w:space="0"/>
              <w:left w:val="nil"/>
              <w:bottom w:val="single" w:color="auto" w:sz="4" w:space="0"/>
              <w:right w:val="single" w:color="auto" w:sz="4" w:space="0"/>
            </w:tcBorders>
            <w:vAlign w:val="center"/>
          </w:tcPr>
          <w:p w14:paraId="2D5DE596">
            <w:pPr>
              <w:spacing w:line="360" w:lineRule="auto"/>
              <w:rPr>
                <w:rFonts w:hint="eastAsia" w:ascii="宋体" w:hAnsi="宋体" w:eastAsia="宋体" w:cs="宋体"/>
                <w:szCs w:val="21"/>
              </w:rPr>
            </w:pPr>
          </w:p>
        </w:tc>
        <w:tc>
          <w:tcPr>
            <w:tcW w:w="1100" w:type="dxa"/>
            <w:tcBorders>
              <w:top w:val="single" w:color="auto" w:sz="4" w:space="0"/>
              <w:left w:val="nil"/>
              <w:bottom w:val="single" w:color="auto" w:sz="4" w:space="0"/>
              <w:right w:val="single" w:color="auto" w:sz="4" w:space="0"/>
            </w:tcBorders>
            <w:vAlign w:val="center"/>
          </w:tcPr>
          <w:p w14:paraId="1BFD80BE">
            <w:pPr>
              <w:spacing w:line="360" w:lineRule="auto"/>
              <w:rPr>
                <w:rFonts w:hint="eastAsia" w:ascii="宋体" w:hAnsi="宋体" w:eastAsia="宋体" w:cs="宋体"/>
                <w:szCs w:val="21"/>
              </w:rPr>
            </w:pPr>
          </w:p>
        </w:tc>
        <w:tc>
          <w:tcPr>
            <w:tcW w:w="1100" w:type="dxa"/>
            <w:tcBorders>
              <w:top w:val="single" w:color="auto" w:sz="4" w:space="0"/>
              <w:left w:val="nil"/>
              <w:bottom w:val="single" w:color="auto" w:sz="4" w:space="0"/>
              <w:right w:val="single" w:color="auto" w:sz="4" w:space="0"/>
            </w:tcBorders>
            <w:vAlign w:val="center"/>
          </w:tcPr>
          <w:p w14:paraId="0AE3DFDB">
            <w:pPr>
              <w:spacing w:line="360" w:lineRule="auto"/>
              <w:rPr>
                <w:rFonts w:hint="eastAsia" w:ascii="宋体" w:hAnsi="宋体" w:eastAsia="宋体" w:cs="宋体"/>
                <w:szCs w:val="21"/>
              </w:rPr>
            </w:pPr>
          </w:p>
        </w:tc>
      </w:tr>
      <w:tr w14:paraId="5A0B4C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300944E5">
            <w:pPr>
              <w:spacing w:line="360" w:lineRule="auto"/>
              <w:rPr>
                <w:rFonts w:hint="eastAsia" w:ascii="宋体" w:hAnsi="宋体" w:eastAsia="宋体" w:cs="宋体"/>
                <w:szCs w:val="21"/>
              </w:rPr>
            </w:pPr>
            <w:r>
              <w:rPr>
                <w:rFonts w:hint="eastAsia" w:ascii="宋体" w:hAnsi="宋体" w:eastAsia="宋体" w:cs="宋体"/>
                <w:szCs w:val="21"/>
              </w:rPr>
              <w:t>合计金额（大写）：</w:t>
            </w:r>
          </w:p>
        </w:tc>
        <w:tc>
          <w:tcPr>
            <w:tcW w:w="1100" w:type="dxa"/>
            <w:tcBorders>
              <w:top w:val="single" w:color="auto" w:sz="4" w:space="0"/>
              <w:left w:val="nil"/>
              <w:bottom w:val="single" w:color="auto" w:sz="4" w:space="0"/>
              <w:right w:val="single" w:color="auto" w:sz="4" w:space="0"/>
            </w:tcBorders>
            <w:vAlign w:val="center"/>
          </w:tcPr>
          <w:p w14:paraId="2AD4BADA">
            <w:pPr>
              <w:spacing w:line="360" w:lineRule="auto"/>
              <w:rPr>
                <w:rFonts w:hint="eastAsia" w:ascii="宋体" w:hAnsi="宋体" w:eastAsia="宋体" w:cs="宋体"/>
                <w:szCs w:val="21"/>
              </w:rPr>
            </w:pPr>
            <w:r>
              <w:rPr>
                <w:rFonts w:hint="eastAsia" w:ascii="宋体" w:hAnsi="宋体" w:eastAsia="宋体" w:cs="宋体"/>
                <w:szCs w:val="21"/>
              </w:rPr>
              <w:t>合计（元）</w:t>
            </w:r>
          </w:p>
        </w:tc>
        <w:tc>
          <w:tcPr>
            <w:tcW w:w="1100" w:type="dxa"/>
            <w:tcBorders>
              <w:top w:val="single" w:color="auto" w:sz="4" w:space="0"/>
              <w:left w:val="nil"/>
              <w:bottom w:val="single" w:color="auto" w:sz="4" w:space="0"/>
              <w:right w:val="single" w:color="auto" w:sz="4" w:space="0"/>
            </w:tcBorders>
            <w:vAlign w:val="center"/>
          </w:tcPr>
          <w:p w14:paraId="16795AC9">
            <w:pPr>
              <w:spacing w:line="360" w:lineRule="auto"/>
              <w:rPr>
                <w:rFonts w:hint="eastAsia" w:ascii="宋体" w:hAnsi="宋体" w:eastAsia="宋体" w:cs="宋体"/>
                <w:szCs w:val="21"/>
              </w:rPr>
            </w:pPr>
            <w:r>
              <w:rPr>
                <w:rFonts w:hint="eastAsia" w:ascii="宋体" w:hAnsi="宋体" w:eastAsia="宋体" w:cs="宋体"/>
                <w:szCs w:val="21"/>
              </w:rPr>
              <w:t>小写</w:t>
            </w:r>
          </w:p>
        </w:tc>
      </w:tr>
    </w:tbl>
    <w:p w14:paraId="086F269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2、合同总额：</w:t>
      </w:r>
      <w:r>
        <w:rPr>
          <w:rFonts w:hint="eastAsia" w:ascii="宋体" w:hAnsi="宋体" w:eastAsia="宋体" w:cs="宋体"/>
          <w:szCs w:val="21"/>
          <w:u w:val="single"/>
        </w:rPr>
        <w:t xml:space="preserve">     </w:t>
      </w:r>
      <w:r>
        <w:rPr>
          <w:rFonts w:hint="eastAsia" w:ascii="宋体" w:hAnsi="宋体" w:eastAsia="宋体" w:cs="宋体"/>
          <w:szCs w:val="21"/>
        </w:rPr>
        <w:t>元，是指到达使用地点、验收合格达到正常使用条件前的所有费用，包括但不限于以下费用：货物价值、安装调试费、运杂费（含保险）、仓储保管费、技术培训费、检测费、施工费、人工费等全部相关费用。</w:t>
      </w:r>
    </w:p>
    <w:p w14:paraId="5B9A1A68">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3、合同总额为一次性包死价格，不受市场价格的变化和影响，在合同不发生变更时作为付款结算的依据。</w:t>
      </w:r>
    </w:p>
    <w:p w14:paraId="0015B2E8">
      <w:pPr>
        <w:spacing w:line="360" w:lineRule="auto"/>
        <w:rPr>
          <w:rFonts w:hint="eastAsia" w:ascii="宋体" w:hAnsi="宋体" w:eastAsia="宋体" w:cs="宋体"/>
          <w:sz w:val="28"/>
          <w:szCs w:val="28"/>
        </w:rPr>
      </w:pPr>
      <w:r>
        <w:rPr>
          <w:rFonts w:hint="eastAsia" w:ascii="宋体" w:hAnsi="宋体" w:eastAsia="宋体" w:cs="宋体"/>
          <w:b/>
          <w:bCs/>
          <w:sz w:val="24"/>
        </w:rPr>
        <w:t>二、产品质量</w:t>
      </w:r>
    </w:p>
    <w:p w14:paraId="3D347B6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1、乙方提供的货物及配套产品，必须是合同规定厂家制造的、合格、全新、未曾使用的、且经过国家质检部门检验，并颁发了产品准销证的产品。</w:t>
      </w:r>
    </w:p>
    <w:p w14:paraId="2BDFF33D">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2、乙方提供的货物及配套产品必须等同于或优于合同技术指标要求，并能按国家标准或行业标准供应、检测、调试，确保产品技术指标满足使用要求。</w:t>
      </w:r>
    </w:p>
    <w:p w14:paraId="115D190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41DE9B88">
      <w:pPr>
        <w:spacing w:line="360" w:lineRule="auto"/>
        <w:ind w:firstLine="420" w:firstLineChars="200"/>
        <w:rPr>
          <w:rFonts w:hint="eastAsia" w:ascii="宋体" w:hAnsi="宋体" w:eastAsia="宋体" w:cs="宋体"/>
        </w:rPr>
      </w:pPr>
      <w:r>
        <w:rPr>
          <w:rFonts w:hint="eastAsia" w:ascii="宋体" w:hAnsi="宋体" w:eastAsia="宋体" w:cs="宋体"/>
          <w:szCs w:val="21"/>
        </w:rPr>
        <w:t>4、设计技术专利、外型专利、应用软件专利等均应符合我国的有关法律及行业标准，凡因以上问题与第三方发生的任何纠纷均与甲方无关。</w:t>
      </w:r>
    </w:p>
    <w:p w14:paraId="70B4217C">
      <w:pPr>
        <w:spacing w:line="360" w:lineRule="auto"/>
        <w:ind w:firstLine="420"/>
        <w:rPr>
          <w:rFonts w:hint="eastAsia" w:ascii="宋体" w:hAnsi="宋体" w:eastAsia="宋体" w:cs="宋体"/>
          <w:szCs w:val="21"/>
        </w:rPr>
      </w:pPr>
      <w:r>
        <w:rPr>
          <w:rFonts w:hint="eastAsia" w:ascii="宋体" w:hAnsi="宋体" w:eastAsia="宋体" w:cs="宋体"/>
          <w:szCs w:val="21"/>
        </w:rPr>
        <w:t>5、产品质量保证期为货物验收合格后</w:t>
      </w:r>
      <w:r>
        <w:rPr>
          <w:rFonts w:hint="eastAsia" w:ascii="宋体" w:hAnsi="宋体" w:eastAsia="宋体" w:cs="宋体"/>
          <w:szCs w:val="21"/>
          <w:u w:val="single"/>
        </w:rPr>
        <w:t xml:space="preserve">    </w:t>
      </w:r>
      <w:r>
        <w:rPr>
          <w:rFonts w:hint="eastAsia" w:ascii="宋体" w:hAnsi="宋体" w:eastAsia="宋体" w:cs="宋体"/>
          <w:szCs w:val="21"/>
        </w:rPr>
        <w:t>年。质保期内，乙方对所供货物免费进行质保和服务。</w:t>
      </w:r>
    </w:p>
    <w:p w14:paraId="5F224FCB">
      <w:pPr>
        <w:spacing w:line="360" w:lineRule="auto"/>
        <w:rPr>
          <w:rFonts w:hint="eastAsia" w:ascii="宋体" w:hAnsi="宋体" w:eastAsia="宋体" w:cs="宋体"/>
          <w:b/>
          <w:bCs/>
          <w:sz w:val="24"/>
        </w:rPr>
      </w:pPr>
      <w:r>
        <w:rPr>
          <w:rFonts w:hint="eastAsia" w:ascii="宋体" w:hAnsi="宋体" w:eastAsia="宋体" w:cs="宋体"/>
          <w:b/>
          <w:bCs/>
          <w:sz w:val="24"/>
        </w:rPr>
        <w:t>三、产品包装要求及运输方式</w:t>
      </w:r>
    </w:p>
    <w:p w14:paraId="0A229C96">
      <w:pPr>
        <w:pStyle w:val="17"/>
        <w:spacing w:line="360" w:lineRule="auto"/>
        <w:ind w:firstLine="420" w:firstLineChars="200"/>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14:paraId="1B6771F5">
      <w:pPr>
        <w:spacing w:line="360" w:lineRule="auto"/>
        <w:rPr>
          <w:rFonts w:hint="eastAsia" w:ascii="宋体" w:hAnsi="宋体" w:eastAsia="宋体" w:cs="宋体"/>
          <w:b/>
          <w:bCs/>
          <w:sz w:val="24"/>
        </w:rPr>
      </w:pPr>
      <w:r>
        <w:rPr>
          <w:rFonts w:hint="eastAsia" w:ascii="宋体" w:hAnsi="宋体" w:eastAsia="宋体" w:cs="宋体"/>
          <w:b/>
          <w:bCs/>
          <w:sz w:val="24"/>
        </w:rPr>
        <w:t>四、交货时间地点及方式</w:t>
      </w:r>
    </w:p>
    <w:p w14:paraId="720032D3">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乙方于合同签订后</w:t>
      </w:r>
      <w:r>
        <w:rPr>
          <w:rFonts w:hint="eastAsia" w:ascii="宋体" w:hAnsi="宋体" w:eastAsia="宋体" w:cs="宋体"/>
          <w:szCs w:val="21"/>
          <w:u w:val="single"/>
        </w:rPr>
        <w:t xml:space="preserve">    </w:t>
      </w:r>
      <w:r>
        <w:rPr>
          <w:rFonts w:hint="eastAsia" w:ascii="宋体" w:hAnsi="宋体" w:eastAsia="宋体" w:cs="宋体"/>
          <w:szCs w:val="21"/>
        </w:rPr>
        <w:t>天到货并安装调试交付使用。安装地点：西安石油大学指定地点，所有产生费用乙方负责。甲方联系人：</w:t>
      </w:r>
      <w:r>
        <w:rPr>
          <w:rFonts w:hint="eastAsia" w:ascii="宋体" w:hAnsi="宋体" w:eastAsia="宋体" w:cs="宋体"/>
          <w:szCs w:val="21"/>
          <w:u w:val="single"/>
        </w:rPr>
        <w:t xml:space="preserve">      </w:t>
      </w:r>
      <w:r>
        <w:rPr>
          <w:rFonts w:hint="eastAsia" w:ascii="宋体" w:hAnsi="宋体" w:eastAsia="宋体" w:cs="宋体"/>
          <w:szCs w:val="21"/>
        </w:rPr>
        <w:t>，乙方联系人：</w:t>
      </w:r>
      <w:r>
        <w:rPr>
          <w:rFonts w:hint="eastAsia" w:ascii="宋体" w:hAnsi="宋体" w:eastAsia="宋体" w:cs="宋体"/>
          <w:szCs w:val="21"/>
          <w:u w:val="single"/>
        </w:rPr>
        <w:t xml:space="preserve">     </w:t>
      </w:r>
      <w:r>
        <w:rPr>
          <w:rFonts w:hint="eastAsia" w:ascii="宋体" w:hAnsi="宋体" w:eastAsia="宋体" w:cs="宋体"/>
          <w:szCs w:val="21"/>
        </w:rPr>
        <w:t>。</w:t>
      </w:r>
    </w:p>
    <w:p w14:paraId="014F2120">
      <w:pPr>
        <w:spacing w:line="360" w:lineRule="auto"/>
        <w:rPr>
          <w:rFonts w:hint="eastAsia" w:ascii="宋体" w:hAnsi="宋体" w:eastAsia="宋体" w:cs="宋体"/>
          <w:b/>
          <w:bCs/>
          <w:sz w:val="24"/>
        </w:rPr>
      </w:pPr>
      <w:r>
        <w:rPr>
          <w:rFonts w:hint="eastAsia" w:ascii="宋体" w:hAnsi="宋体" w:eastAsia="宋体" w:cs="宋体"/>
          <w:b/>
          <w:bCs/>
          <w:sz w:val="24"/>
        </w:rPr>
        <w:t>五、设备的安装、调试及验收</w:t>
      </w:r>
    </w:p>
    <w:p w14:paraId="142FDCD3">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1、甲方和乙方应在现场安装设备前，共同确认所有设备是否符合招标要求。乙方负责安装调试，甲方提供必要的工作条件，安装调试所有费用乙方负责。</w:t>
      </w:r>
    </w:p>
    <w:p w14:paraId="569A171A">
      <w:pPr>
        <w:spacing w:line="360" w:lineRule="auto"/>
        <w:ind w:firstLine="315" w:firstLineChars="150"/>
        <w:rPr>
          <w:rFonts w:hint="eastAsia" w:ascii="宋体" w:hAnsi="宋体" w:eastAsia="宋体" w:cs="宋体"/>
          <w:szCs w:val="21"/>
          <w:highlight w:val="none"/>
        </w:rPr>
      </w:pPr>
      <w:r>
        <w:rPr>
          <w:rFonts w:hint="eastAsia" w:ascii="宋体" w:hAnsi="宋体" w:eastAsia="宋体" w:cs="宋体"/>
          <w:szCs w:val="21"/>
        </w:rPr>
        <w:t>2、甲方对乙方所交产品依照本合同和相关技术合同进行现场验收。验收不合格的，限期整改；整改仍达不</w:t>
      </w:r>
      <w:r>
        <w:rPr>
          <w:rFonts w:hint="eastAsia" w:ascii="宋体" w:hAnsi="宋体" w:eastAsia="宋体" w:cs="宋体"/>
          <w:szCs w:val="21"/>
          <w:highlight w:val="none"/>
        </w:rPr>
        <w:t>到要求的，按本合同第十条第2款处理。</w:t>
      </w:r>
      <w:bookmarkStart w:id="0" w:name="_GoBack"/>
      <w:bookmarkEnd w:id="0"/>
    </w:p>
    <w:p w14:paraId="557572F0">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六、质保期及售后服务</w:t>
      </w:r>
    </w:p>
    <w:p w14:paraId="7479254C">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1、乙方提供的设备质保期限</w:t>
      </w:r>
      <w:r>
        <w:rPr>
          <w:rFonts w:hint="eastAsia" w:ascii="宋体" w:hAnsi="宋体" w:eastAsia="宋体" w:cs="宋体"/>
          <w:szCs w:val="21"/>
          <w:u w:val="single"/>
        </w:rPr>
        <w:t xml:space="preserve">   </w:t>
      </w:r>
      <w:r>
        <w:rPr>
          <w:rFonts w:hint="eastAsia" w:ascii="宋体" w:hAnsi="宋体" w:eastAsia="宋体" w:cs="宋体"/>
          <w:szCs w:val="21"/>
        </w:rPr>
        <w:t>年（从货物验收合格之日算起）,终身维护。质保期内乙方接到甲方反映电话后，7*24即时响应（包括电话响应）；电话响应无法解决时，24小时内到达现场。修复时间48小时内；如48小时内无法修复，乙方应向甲方提供同类新产品替代，以保证甲方的正常使用。质保期外，乙方只收取材料费。</w:t>
      </w:r>
    </w:p>
    <w:p w14:paraId="5682DDE6">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2、在甲方所在地对甲方进行为期1周的免费培训。培训内容包括仪器的技术原理、操作、数据处理、基本维护等。验收后半年内组织甲方相关人员2人参加举办的相关应用培训班。通过培训使用户人员了解设备工作原理，熟悉设备的安装及使用、维护方法，掌握各种设备的初始化及故障诊断、定位和排除技能。</w:t>
      </w:r>
    </w:p>
    <w:p w14:paraId="62EE5BFC">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3、设备正式运行后，定期回访用户，当系统出现重大缺陷问题而影响到甲方实际应用时需及时响应并派人到现场解决。</w:t>
      </w:r>
    </w:p>
    <w:p w14:paraId="27DC888C">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乙方售后服务及维修专线：</w:t>
      </w:r>
      <w:r>
        <w:rPr>
          <w:rFonts w:hint="eastAsia" w:ascii="宋体" w:hAnsi="宋体" w:eastAsia="宋体" w:cs="宋体"/>
          <w:szCs w:val="21"/>
          <w:u w:val="single"/>
        </w:rPr>
        <w:t xml:space="preserve">         </w:t>
      </w:r>
      <w:r>
        <w:rPr>
          <w:rFonts w:hint="eastAsia" w:ascii="宋体" w:hAnsi="宋体" w:eastAsia="宋体" w:cs="宋体"/>
          <w:szCs w:val="21"/>
        </w:rPr>
        <w:t>。</w:t>
      </w:r>
    </w:p>
    <w:p w14:paraId="7AB5B515">
      <w:pPr>
        <w:spacing w:line="360" w:lineRule="auto"/>
        <w:rPr>
          <w:rFonts w:hint="eastAsia" w:ascii="宋体" w:hAnsi="宋体" w:eastAsia="宋体" w:cs="宋体"/>
          <w:b/>
          <w:bCs/>
          <w:sz w:val="24"/>
        </w:rPr>
      </w:pPr>
      <w:r>
        <w:rPr>
          <w:rFonts w:hint="eastAsia" w:ascii="宋体" w:hAnsi="宋体" w:eastAsia="宋体" w:cs="宋体"/>
          <w:b/>
          <w:bCs/>
          <w:sz w:val="24"/>
        </w:rPr>
        <w:t>七、付款时间及付款方式</w:t>
      </w:r>
    </w:p>
    <w:p w14:paraId="517D7D3F">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1、履约保证金</w:t>
      </w:r>
    </w:p>
    <w:p w14:paraId="0F1732F6">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1.1金额：合同签订前，乙方须向甲方提交合同总价的</w:t>
      </w:r>
      <w:r>
        <w:rPr>
          <w:rFonts w:hint="eastAsia" w:ascii="宋体" w:hAnsi="宋体" w:eastAsia="宋体" w:cs="宋体"/>
          <w:szCs w:val="21"/>
          <w:u w:val="single"/>
        </w:rPr>
        <w:t>5</w:t>
      </w:r>
      <w:r>
        <w:rPr>
          <w:rFonts w:hint="eastAsia" w:ascii="宋体" w:hAnsi="宋体" w:eastAsia="宋体" w:cs="宋体"/>
          <w:szCs w:val="21"/>
        </w:rPr>
        <w:t>%作为履约保证金；</w:t>
      </w:r>
    </w:p>
    <w:p w14:paraId="68AF814A">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1.2履约保证金应使用人民币，按</w:t>
      </w:r>
      <w:r>
        <w:rPr>
          <w:rFonts w:hint="eastAsia" w:ascii="宋体" w:hAnsi="宋体" w:eastAsia="宋体" w:cs="宋体"/>
          <w:szCs w:val="21"/>
          <w:u w:val="single"/>
        </w:rPr>
        <w:t>银行转账、支票/汇票/本票、保函/保险</w:t>
      </w:r>
      <w:r>
        <w:rPr>
          <w:rFonts w:hint="eastAsia" w:ascii="宋体" w:hAnsi="宋体" w:eastAsia="宋体" w:cs="宋体"/>
          <w:szCs w:val="21"/>
        </w:rPr>
        <w:t>方式提交；</w:t>
      </w:r>
    </w:p>
    <w:p w14:paraId="33262D13">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1.3</w:t>
      </w:r>
      <w:r>
        <w:rPr>
          <w:rFonts w:hint="eastAsia" w:ascii="宋体" w:hAnsi="宋体" w:eastAsia="宋体" w:cs="宋体"/>
        </w:rPr>
        <w:t>清退时间及条件：</w:t>
      </w:r>
      <w:r>
        <w:rPr>
          <w:rFonts w:hint="eastAsia" w:ascii="宋体" w:hAnsi="宋体" w:eastAsia="宋体" w:cs="宋体"/>
          <w:szCs w:val="21"/>
        </w:rPr>
        <w:t>待合同执行完毕、服务验收合格后</w:t>
      </w:r>
      <w:r>
        <w:rPr>
          <w:rFonts w:hint="eastAsia" w:ascii="宋体" w:hAnsi="宋体" w:eastAsia="宋体" w:cs="宋体"/>
          <w:szCs w:val="21"/>
          <w:lang w:eastAsia="zh-CN"/>
        </w:rPr>
        <w:t>成交供应商</w:t>
      </w:r>
      <w:r>
        <w:rPr>
          <w:rFonts w:hint="eastAsia" w:ascii="宋体" w:hAnsi="宋体" w:eastAsia="宋体" w:cs="宋体"/>
          <w:szCs w:val="21"/>
        </w:rPr>
        <w:t>凭验收单和缴款收据申请，采购人将合同履约保证金予以无息退还。</w:t>
      </w:r>
    </w:p>
    <w:p w14:paraId="582C5168">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注：如遇下列情况之一者，合同履约保证金不予退还，作为对</w:t>
      </w:r>
      <w:r>
        <w:rPr>
          <w:rFonts w:hint="eastAsia" w:ascii="宋体" w:hAnsi="宋体" w:eastAsia="宋体" w:cs="宋体"/>
          <w:szCs w:val="21"/>
          <w:lang w:eastAsia="zh-CN"/>
        </w:rPr>
        <w:t>采购人</w:t>
      </w:r>
      <w:r>
        <w:rPr>
          <w:rFonts w:hint="eastAsia" w:ascii="宋体" w:hAnsi="宋体" w:eastAsia="宋体" w:cs="宋体"/>
          <w:szCs w:val="21"/>
        </w:rPr>
        <w:t>的赔偿：（1）合同签订后不能按合同时限要求供货或安装调试；（2）所供货物不合格、与合同不符；（3）不能按合同履约；（4）货物验收不合格。</w:t>
      </w:r>
    </w:p>
    <w:p w14:paraId="69AC4BE1">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1.4逾期退还履约保证金的违约责任：本项目履约保证金退还条件成立后，甲方应在收到乙方完整退款申请资料后30个工作日内原路无息退还。若甲方无正当理由逾期退还，每逾期一日，按逾期未退还金额万分之三向乙方支付违约金。因乙方履约存在质量缺陷、未完成售后整改、资料缺失等乙方自身原因造成退款延迟的，不视为甲方违约，不计违约金。</w:t>
      </w:r>
    </w:p>
    <w:p w14:paraId="6AC9EA4D">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2、合同款支付</w:t>
      </w:r>
    </w:p>
    <w:p w14:paraId="4672113E">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进度款，合同签订后，供应商开具预付款等额银行保函给采购人，采购人收到银行保函正本，达到付款条件起10个工作日内，支付合同总金额的90.00%。验收合格，并出具增值税专用发票，达到付款条件后10个工作日内，支付合同总金额的10.00%。</w:t>
      </w:r>
    </w:p>
    <w:p w14:paraId="46A64141">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最终结算时，乙方须向甲方出具合同总价款的增值税专用发票。</w:t>
      </w:r>
    </w:p>
    <w:p w14:paraId="1CDE3240">
      <w:pPr>
        <w:spacing w:line="360" w:lineRule="auto"/>
        <w:rPr>
          <w:rFonts w:hint="eastAsia" w:ascii="宋体" w:hAnsi="宋体" w:eastAsia="宋体" w:cs="宋体"/>
          <w:b/>
          <w:bCs/>
          <w:sz w:val="24"/>
        </w:rPr>
      </w:pPr>
      <w:r>
        <w:rPr>
          <w:rFonts w:hint="eastAsia" w:ascii="宋体" w:hAnsi="宋体" w:eastAsia="宋体" w:cs="宋体"/>
          <w:b/>
          <w:bCs/>
          <w:sz w:val="24"/>
        </w:rPr>
        <w:t>八.甲方的权利和义务</w:t>
      </w:r>
    </w:p>
    <w:p w14:paraId="3D0CB034">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8.1 签署合同后，甲方应确定项目负责人（或项目联系人），负责与本合同有关的事务。甲方有权对乙方的履约行为进行检查，并及时确认乙方提交的事项。甲方应当配合乙方完成相关项目实施工作。</w:t>
      </w:r>
    </w:p>
    <w:p w14:paraId="77E1345D">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8.2 甲方有权要求乙方按时提交各阶段有关安排计划，并有权定期核对乙方提供货物数量、规格、质量等内容。甲方有权督促乙方工作并要求乙方更换不符合要求的货物。</w:t>
      </w:r>
    </w:p>
    <w:p w14:paraId="3393E54D">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8.3 甲方有权要求乙方对缺陷部分予以修复，并按合同约定享有货物保修及其他合同约定的权利。</w:t>
      </w:r>
    </w:p>
    <w:p w14:paraId="461E3882">
      <w:pPr>
        <w:snapToGrid w:val="0"/>
        <w:spacing w:line="360" w:lineRule="auto"/>
        <w:ind w:firstLine="420" w:firstLineChars="200"/>
        <w:rPr>
          <w:rFonts w:hint="eastAsia" w:ascii="宋体" w:hAnsi="宋体" w:eastAsia="宋体" w:cs="宋体"/>
          <w:szCs w:val="21"/>
          <w:lang w:eastAsia="zh-CN"/>
        </w:rPr>
      </w:pPr>
      <w:r>
        <w:rPr>
          <w:rFonts w:hint="eastAsia" w:ascii="宋体" w:hAnsi="宋体" w:eastAsia="宋体" w:cs="宋体"/>
          <w:szCs w:val="21"/>
        </w:rPr>
        <w:t>8.4 甲方应当按照合同约定及时对交付的货物进行验收</w:t>
      </w:r>
      <w:r>
        <w:rPr>
          <w:rFonts w:hint="eastAsia" w:ascii="宋体" w:hAnsi="宋体" w:eastAsia="宋体" w:cs="宋体"/>
          <w:szCs w:val="21"/>
          <w:lang w:eastAsia="zh-CN"/>
        </w:rPr>
        <w:t>。</w:t>
      </w:r>
    </w:p>
    <w:p w14:paraId="232B3EBD">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8.5 甲方应当根据合同约定及时向乙方支付合同价款，不得以内部人员变更、履行内部付款流程等为由，拒绝或迟延支付。</w:t>
      </w:r>
    </w:p>
    <w:p w14:paraId="11672AA6">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8.6 国家法律法规规定及其他应由甲方承担的其他义务和责任。</w:t>
      </w:r>
    </w:p>
    <w:p w14:paraId="0E4CE3A9">
      <w:pPr>
        <w:spacing w:line="360" w:lineRule="auto"/>
        <w:rPr>
          <w:rFonts w:hint="eastAsia" w:ascii="宋体" w:hAnsi="宋体" w:eastAsia="宋体" w:cs="宋体"/>
          <w:b/>
          <w:bCs/>
          <w:sz w:val="24"/>
        </w:rPr>
      </w:pPr>
      <w:r>
        <w:rPr>
          <w:rFonts w:hint="eastAsia" w:ascii="宋体" w:hAnsi="宋体" w:eastAsia="宋体" w:cs="宋体"/>
          <w:b/>
          <w:bCs/>
          <w:sz w:val="24"/>
        </w:rPr>
        <w:t>九.乙方的权利和义务</w:t>
      </w:r>
    </w:p>
    <w:p w14:paraId="2153681D">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9.1 签署合同后，乙方应确定项目负责人（或项目联系人），负责与本合同有关的事务。</w:t>
      </w:r>
    </w:p>
    <w:p w14:paraId="7501B5F5">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9.2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DB47B08">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9.3乙方有权根据合同约定向甲方收取合同价款。</w:t>
      </w:r>
    </w:p>
    <w:p w14:paraId="6E8EB7E1">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9.4国家法律法规规定及其他应由乙方承担的其他义务和责任。</w:t>
      </w:r>
    </w:p>
    <w:p w14:paraId="3965823F">
      <w:pPr>
        <w:spacing w:line="360" w:lineRule="auto"/>
        <w:rPr>
          <w:rFonts w:hint="eastAsia" w:ascii="宋体" w:hAnsi="宋体" w:eastAsia="宋体" w:cs="宋体"/>
          <w:b/>
          <w:bCs/>
          <w:sz w:val="24"/>
        </w:rPr>
      </w:pPr>
      <w:r>
        <w:rPr>
          <w:rFonts w:hint="eastAsia" w:ascii="宋体" w:hAnsi="宋体" w:eastAsia="宋体" w:cs="宋体"/>
          <w:b/>
          <w:bCs/>
          <w:sz w:val="24"/>
        </w:rPr>
        <w:t>十、违约责任</w:t>
      </w:r>
    </w:p>
    <w:p w14:paraId="7BB31C30">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1、合同生效后，甲乙双方应按合同规定认真履约。合同履约责任只涉及合同甲乙双方，不考虑第三方因素。</w:t>
      </w:r>
    </w:p>
    <w:p w14:paraId="6CA49B07">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2、如乙方产品质量不符合国家标准、行业内控标准或本合同技术附件要求的，甲方有权退货，乙方应退还全部货款，并承担甲方合同总价款10％的违约金及其他损失。</w:t>
      </w:r>
    </w:p>
    <w:p w14:paraId="77EC23BE">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3、在合同规定的供货期内乙方未全部交货，除应如数补齐外，还应承担合同总款的10％违约金。</w:t>
      </w:r>
    </w:p>
    <w:p w14:paraId="31844E1E">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4、乙方对货物不按招标文件要求，擅自更换，除恢复原招标产品外，应承担更换部分价款10%的违约金；乙方所交付货物不符合其投标承诺，存在偷工减料、以次充好情形的，甲方要求更换一次后仍不符合约定的，甲方有权解除采购合同，没收履约保证金，乙方退还预付款，</w:t>
      </w:r>
      <w:r>
        <w:rPr>
          <w:rFonts w:hint="eastAsia" w:ascii="宋体" w:hAnsi="宋体" w:eastAsia="宋体" w:cs="宋体"/>
        </w:rPr>
        <w:t>并将有关情况上报政府采购监管部门处理。</w:t>
      </w:r>
    </w:p>
    <w:p w14:paraId="0F025A0D">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5、除不可抗力因素外，乙方对所供产品出现的问题推诿、拖延，24小时未作出服务响应且乙方没有按照合同规定的时间交货和提供服务，甲方可要求乙方支付违约金。违约金每日按合同总价款的5‰计收。</w:t>
      </w:r>
    </w:p>
    <w:p w14:paraId="3985A633">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6、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4FF9DDA8">
      <w:pPr>
        <w:spacing w:line="360" w:lineRule="auto"/>
        <w:rPr>
          <w:rFonts w:hint="eastAsia" w:ascii="宋体" w:hAnsi="宋体" w:eastAsia="宋体" w:cs="宋体"/>
          <w:b/>
          <w:bCs/>
          <w:sz w:val="24"/>
        </w:rPr>
      </w:pPr>
      <w:r>
        <w:rPr>
          <w:rFonts w:hint="eastAsia" w:ascii="宋体" w:hAnsi="宋体" w:eastAsia="宋体" w:cs="宋体"/>
          <w:b/>
          <w:bCs/>
          <w:sz w:val="24"/>
        </w:rPr>
        <w:t>十一、解决合同纠纷方式：</w:t>
      </w:r>
    </w:p>
    <w:p w14:paraId="67B33A41">
      <w:pPr>
        <w:snapToGrid w:val="0"/>
        <w:spacing w:line="360" w:lineRule="auto"/>
        <w:ind w:firstLine="420" w:firstLineChars="200"/>
        <w:rPr>
          <w:rFonts w:hint="eastAsia" w:ascii="宋体" w:hAnsi="宋体" w:eastAsia="宋体" w:cs="宋体"/>
          <w:szCs w:val="21"/>
        </w:rPr>
      </w:pPr>
      <w:r>
        <w:rPr>
          <w:rFonts w:hint="eastAsia" w:ascii="宋体" w:hAnsi="宋体" w:eastAsia="宋体" w:cs="宋体"/>
          <w:szCs w:val="21"/>
        </w:rPr>
        <w:t>双方友好协商解决，协商未果由西安市仲裁委员会仲裁。</w:t>
      </w:r>
    </w:p>
    <w:p w14:paraId="41D56416">
      <w:pPr>
        <w:spacing w:line="360" w:lineRule="auto"/>
        <w:rPr>
          <w:rFonts w:hint="eastAsia" w:ascii="宋体" w:hAnsi="宋体" w:eastAsia="宋体" w:cs="宋体"/>
          <w:b/>
          <w:bCs/>
          <w:sz w:val="24"/>
        </w:rPr>
      </w:pPr>
      <w:r>
        <w:rPr>
          <w:rFonts w:hint="eastAsia" w:ascii="宋体" w:hAnsi="宋体" w:eastAsia="宋体" w:cs="宋体"/>
          <w:b/>
          <w:bCs/>
          <w:sz w:val="24"/>
        </w:rPr>
        <w:t>十二、其它事项</w:t>
      </w:r>
    </w:p>
    <w:p w14:paraId="39F84D00">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1、本合同一式七份，甲方五份，乙方一份，代理机构一份，经甲、乙双方签字盖章后生效，具有同等法律效力。</w:t>
      </w:r>
    </w:p>
    <w:p w14:paraId="0E4CE239">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2、合同所有附件均为本合同不可分割的组成部分，与本合同具有同等法律效力。</w:t>
      </w:r>
    </w:p>
    <w:p w14:paraId="36753DF7">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3、甲方招标文件、乙方投标文件均为本合同不可分割的组成部分，与本合同具有同等法律效力。</w:t>
      </w:r>
    </w:p>
    <w:tbl>
      <w:tblPr>
        <w:tblStyle w:val="11"/>
        <w:tblW w:w="9363" w:type="dxa"/>
        <w:jc w:val="center"/>
        <w:tblLayout w:type="fixed"/>
        <w:tblCellMar>
          <w:top w:w="0" w:type="dxa"/>
          <w:left w:w="108" w:type="dxa"/>
          <w:bottom w:w="0" w:type="dxa"/>
          <w:right w:w="108" w:type="dxa"/>
        </w:tblCellMar>
      </w:tblPr>
      <w:tblGrid>
        <w:gridCol w:w="3780"/>
        <w:gridCol w:w="3088"/>
        <w:gridCol w:w="2495"/>
      </w:tblGrid>
      <w:tr w14:paraId="2D4A5F70">
        <w:tblPrEx>
          <w:tblCellMar>
            <w:top w:w="0" w:type="dxa"/>
            <w:left w:w="108" w:type="dxa"/>
            <w:bottom w:w="0" w:type="dxa"/>
            <w:right w:w="108" w:type="dxa"/>
          </w:tblCellMar>
        </w:tblPrEx>
        <w:trPr>
          <w:jc w:val="center"/>
        </w:trPr>
        <w:tc>
          <w:tcPr>
            <w:tcW w:w="3780" w:type="dxa"/>
            <w:vAlign w:val="center"/>
          </w:tcPr>
          <w:p w14:paraId="3F5CC269">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甲方：西安石油大学（盖章）</w:t>
            </w:r>
          </w:p>
        </w:tc>
        <w:tc>
          <w:tcPr>
            <w:tcW w:w="3088" w:type="dxa"/>
            <w:vAlign w:val="center"/>
          </w:tcPr>
          <w:p w14:paraId="2B284249">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乙方：××公司（盖章）</w:t>
            </w:r>
          </w:p>
        </w:tc>
        <w:tc>
          <w:tcPr>
            <w:tcW w:w="2495" w:type="dxa"/>
            <w:vMerge w:val="restart"/>
          </w:tcPr>
          <w:p w14:paraId="1F4C7175">
            <w:pPr>
              <w:spacing w:line="360" w:lineRule="auto"/>
              <w:rPr>
                <w:rFonts w:hint="eastAsia" w:ascii="宋体" w:hAnsi="宋体" w:eastAsia="宋体" w:cs="宋体"/>
                <w:szCs w:val="21"/>
              </w:rPr>
            </w:pPr>
            <w:r>
              <w:rPr>
                <w:rFonts w:hint="eastAsia" w:ascii="宋体" w:hAnsi="宋体" w:eastAsia="宋体" w:cs="宋体"/>
                <w:szCs w:val="21"/>
              </w:rPr>
              <w:t>见证方：××（盖章）</w:t>
            </w:r>
          </w:p>
        </w:tc>
      </w:tr>
      <w:tr w14:paraId="50DAAE4A">
        <w:tblPrEx>
          <w:tblCellMar>
            <w:top w:w="0" w:type="dxa"/>
            <w:left w:w="108" w:type="dxa"/>
            <w:bottom w:w="0" w:type="dxa"/>
            <w:right w:w="108" w:type="dxa"/>
          </w:tblCellMar>
        </w:tblPrEx>
        <w:trPr>
          <w:jc w:val="center"/>
        </w:trPr>
        <w:tc>
          <w:tcPr>
            <w:tcW w:w="3780" w:type="dxa"/>
            <w:vAlign w:val="center"/>
          </w:tcPr>
          <w:p w14:paraId="0E993659">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法人或委托代理人：</w:t>
            </w:r>
          </w:p>
        </w:tc>
        <w:tc>
          <w:tcPr>
            <w:tcW w:w="3088" w:type="dxa"/>
            <w:vAlign w:val="center"/>
          </w:tcPr>
          <w:p w14:paraId="0FD8E5F1">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法人或委托代理人：</w:t>
            </w:r>
          </w:p>
        </w:tc>
        <w:tc>
          <w:tcPr>
            <w:tcW w:w="2495" w:type="dxa"/>
            <w:vMerge w:val="continue"/>
            <w:vAlign w:val="center"/>
          </w:tcPr>
          <w:p w14:paraId="1DBADD91">
            <w:pPr>
              <w:spacing w:line="360" w:lineRule="auto"/>
              <w:ind w:firstLine="315" w:firstLineChars="150"/>
              <w:rPr>
                <w:rFonts w:hint="eastAsia" w:ascii="宋体" w:hAnsi="宋体" w:eastAsia="宋体" w:cs="宋体"/>
                <w:szCs w:val="21"/>
              </w:rPr>
            </w:pPr>
          </w:p>
        </w:tc>
      </w:tr>
      <w:tr w14:paraId="6348CE45">
        <w:tblPrEx>
          <w:tblCellMar>
            <w:top w:w="0" w:type="dxa"/>
            <w:left w:w="108" w:type="dxa"/>
            <w:bottom w:w="0" w:type="dxa"/>
            <w:right w:w="108" w:type="dxa"/>
          </w:tblCellMar>
        </w:tblPrEx>
        <w:trPr>
          <w:jc w:val="center"/>
        </w:trPr>
        <w:tc>
          <w:tcPr>
            <w:tcW w:w="3780" w:type="dxa"/>
            <w:vAlign w:val="center"/>
          </w:tcPr>
          <w:p w14:paraId="183A23EA">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户名：西安石油大学</w:t>
            </w:r>
          </w:p>
        </w:tc>
        <w:tc>
          <w:tcPr>
            <w:tcW w:w="3088" w:type="dxa"/>
            <w:vAlign w:val="center"/>
          </w:tcPr>
          <w:p w14:paraId="0E7A27B7">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户名：</w:t>
            </w:r>
          </w:p>
        </w:tc>
        <w:tc>
          <w:tcPr>
            <w:tcW w:w="2495" w:type="dxa"/>
            <w:vMerge w:val="continue"/>
            <w:vAlign w:val="center"/>
          </w:tcPr>
          <w:p w14:paraId="41CB82F7">
            <w:pPr>
              <w:spacing w:line="360" w:lineRule="auto"/>
              <w:ind w:firstLine="315" w:firstLineChars="150"/>
              <w:rPr>
                <w:rFonts w:hint="eastAsia" w:ascii="宋体" w:hAnsi="宋体" w:eastAsia="宋体" w:cs="宋体"/>
                <w:szCs w:val="21"/>
              </w:rPr>
            </w:pPr>
          </w:p>
        </w:tc>
      </w:tr>
      <w:tr w14:paraId="2EFC76FB">
        <w:tblPrEx>
          <w:tblCellMar>
            <w:top w:w="0" w:type="dxa"/>
            <w:left w:w="108" w:type="dxa"/>
            <w:bottom w:w="0" w:type="dxa"/>
            <w:right w:w="108" w:type="dxa"/>
          </w:tblCellMar>
        </w:tblPrEx>
        <w:trPr>
          <w:jc w:val="center"/>
        </w:trPr>
        <w:tc>
          <w:tcPr>
            <w:tcW w:w="3780" w:type="dxa"/>
            <w:vAlign w:val="center"/>
          </w:tcPr>
          <w:p w14:paraId="676748EB">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开户行：工行西安电子工业区支行</w:t>
            </w:r>
          </w:p>
        </w:tc>
        <w:tc>
          <w:tcPr>
            <w:tcW w:w="3088" w:type="dxa"/>
            <w:vAlign w:val="center"/>
          </w:tcPr>
          <w:p w14:paraId="49BE978C">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开户行：</w:t>
            </w:r>
          </w:p>
        </w:tc>
        <w:tc>
          <w:tcPr>
            <w:tcW w:w="2495" w:type="dxa"/>
            <w:vAlign w:val="center"/>
          </w:tcPr>
          <w:p w14:paraId="3B7F8568">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代表签字：</w:t>
            </w:r>
          </w:p>
        </w:tc>
      </w:tr>
      <w:tr w14:paraId="7D6FDA3B">
        <w:tblPrEx>
          <w:tblCellMar>
            <w:top w:w="0" w:type="dxa"/>
            <w:left w:w="108" w:type="dxa"/>
            <w:bottom w:w="0" w:type="dxa"/>
            <w:right w:w="108" w:type="dxa"/>
          </w:tblCellMar>
        </w:tblPrEx>
        <w:trPr>
          <w:jc w:val="center"/>
        </w:trPr>
        <w:tc>
          <w:tcPr>
            <w:tcW w:w="3780" w:type="dxa"/>
            <w:vAlign w:val="center"/>
          </w:tcPr>
          <w:p w14:paraId="1802CE04">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帐号：3700023209014488850</w:t>
            </w:r>
          </w:p>
        </w:tc>
        <w:tc>
          <w:tcPr>
            <w:tcW w:w="3088" w:type="dxa"/>
            <w:vAlign w:val="center"/>
          </w:tcPr>
          <w:p w14:paraId="480B36BE">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帐号：</w:t>
            </w:r>
          </w:p>
        </w:tc>
        <w:tc>
          <w:tcPr>
            <w:tcW w:w="2495" w:type="dxa"/>
            <w:vAlign w:val="center"/>
          </w:tcPr>
          <w:p w14:paraId="5F09A774">
            <w:pPr>
              <w:spacing w:line="360" w:lineRule="auto"/>
              <w:ind w:firstLine="315" w:firstLineChars="150"/>
              <w:rPr>
                <w:rFonts w:hint="eastAsia" w:ascii="宋体" w:hAnsi="宋体" w:eastAsia="宋体" w:cs="宋体"/>
                <w:szCs w:val="21"/>
              </w:rPr>
            </w:pPr>
          </w:p>
        </w:tc>
      </w:tr>
      <w:tr w14:paraId="0F4C6237">
        <w:tblPrEx>
          <w:tblCellMar>
            <w:top w:w="0" w:type="dxa"/>
            <w:left w:w="108" w:type="dxa"/>
            <w:bottom w:w="0" w:type="dxa"/>
            <w:right w:w="108" w:type="dxa"/>
          </w:tblCellMar>
        </w:tblPrEx>
        <w:trPr>
          <w:jc w:val="center"/>
        </w:trPr>
        <w:tc>
          <w:tcPr>
            <w:tcW w:w="3780" w:type="dxa"/>
            <w:vAlign w:val="center"/>
          </w:tcPr>
          <w:p w14:paraId="67D15B3F">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电话：029—88382337</w:t>
            </w:r>
          </w:p>
        </w:tc>
        <w:tc>
          <w:tcPr>
            <w:tcW w:w="3088" w:type="dxa"/>
            <w:vAlign w:val="center"/>
          </w:tcPr>
          <w:p w14:paraId="70A0F9F5">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电话:</w:t>
            </w:r>
          </w:p>
        </w:tc>
        <w:tc>
          <w:tcPr>
            <w:tcW w:w="2495" w:type="dxa"/>
            <w:vAlign w:val="center"/>
          </w:tcPr>
          <w:p w14:paraId="37EBB66A">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电话：</w:t>
            </w:r>
          </w:p>
        </w:tc>
      </w:tr>
      <w:tr w14:paraId="34B4AC98">
        <w:tblPrEx>
          <w:tblCellMar>
            <w:top w:w="0" w:type="dxa"/>
            <w:left w:w="108" w:type="dxa"/>
            <w:bottom w:w="0" w:type="dxa"/>
            <w:right w:w="108" w:type="dxa"/>
          </w:tblCellMar>
        </w:tblPrEx>
        <w:trPr>
          <w:jc w:val="center"/>
        </w:trPr>
        <w:tc>
          <w:tcPr>
            <w:tcW w:w="3780" w:type="dxa"/>
            <w:vAlign w:val="center"/>
          </w:tcPr>
          <w:p w14:paraId="7D0FA090">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地址：西安市电子二路18号</w:t>
            </w:r>
          </w:p>
        </w:tc>
        <w:tc>
          <w:tcPr>
            <w:tcW w:w="3088" w:type="dxa"/>
            <w:vAlign w:val="center"/>
          </w:tcPr>
          <w:p w14:paraId="1BADE130">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地址：</w:t>
            </w:r>
          </w:p>
        </w:tc>
        <w:tc>
          <w:tcPr>
            <w:tcW w:w="2495" w:type="dxa"/>
            <w:vAlign w:val="center"/>
          </w:tcPr>
          <w:p w14:paraId="2AE04C19">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地址：</w:t>
            </w:r>
          </w:p>
        </w:tc>
      </w:tr>
      <w:tr w14:paraId="7FA5B711">
        <w:tblPrEx>
          <w:tblCellMar>
            <w:top w:w="0" w:type="dxa"/>
            <w:left w:w="108" w:type="dxa"/>
            <w:bottom w:w="0" w:type="dxa"/>
            <w:right w:w="108" w:type="dxa"/>
          </w:tblCellMar>
        </w:tblPrEx>
        <w:trPr>
          <w:jc w:val="center"/>
        </w:trPr>
        <w:tc>
          <w:tcPr>
            <w:tcW w:w="3780" w:type="dxa"/>
            <w:vAlign w:val="center"/>
          </w:tcPr>
          <w:p w14:paraId="52F99CE4">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日期:202 年月日</w:t>
            </w:r>
          </w:p>
        </w:tc>
        <w:tc>
          <w:tcPr>
            <w:tcW w:w="3088" w:type="dxa"/>
            <w:vAlign w:val="center"/>
          </w:tcPr>
          <w:p w14:paraId="27658DEF">
            <w:pPr>
              <w:spacing w:line="360" w:lineRule="auto"/>
              <w:ind w:firstLine="315" w:firstLineChars="150"/>
              <w:rPr>
                <w:rFonts w:hint="eastAsia" w:ascii="宋体" w:hAnsi="宋体" w:eastAsia="宋体" w:cs="宋体"/>
                <w:szCs w:val="21"/>
              </w:rPr>
            </w:pPr>
            <w:r>
              <w:rPr>
                <w:rFonts w:hint="eastAsia" w:ascii="宋体" w:hAnsi="宋体" w:eastAsia="宋体" w:cs="宋体"/>
                <w:szCs w:val="21"/>
              </w:rPr>
              <w:t>日期:202 年月日</w:t>
            </w:r>
          </w:p>
        </w:tc>
        <w:tc>
          <w:tcPr>
            <w:tcW w:w="2495" w:type="dxa"/>
            <w:vAlign w:val="center"/>
          </w:tcPr>
          <w:p w14:paraId="6B1CB9CE">
            <w:pPr>
              <w:spacing w:line="360" w:lineRule="auto"/>
              <w:ind w:firstLine="315" w:firstLineChars="150"/>
              <w:rPr>
                <w:rFonts w:hint="eastAsia" w:ascii="宋体" w:hAnsi="宋体" w:eastAsia="宋体" w:cs="宋体"/>
                <w:szCs w:val="21"/>
              </w:rPr>
            </w:pPr>
          </w:p>
        </w:tc>
      </w:tr>
    </w:tbl>
    <w:p w14:paraId="11F597A1">
      <w:pPr>
        <w:ind w:firstLine="480" w:firstLineChars="150"/>
        <w:jc w:val="center"/>
        <w:rPr>
          <w:rFonts w:hint="eastAsia" w:ascii="宋体" w:hAnsi="宋体" w:eastAsia="宋体" w:cs="宋体"/>
          <w:sz w:val="32"/>
          <w:szCs w:val="32"/>
        </w:rPr>
      </w:pPr>
    </w:p>
    <w:p w14:paraId="014D97FB">
      <w:pPr>
        <w:ind w:firstLine="480" w:firstLineChars="150"/>
        <w:jc w:val="center"/>
        <w:rPr>
          <w:rFonts w:hint="eastAsia" w:ascii="宋体" w:hAnsi="宋体" w:eastAsia="宋体" w:cs="宋体"/>
          <w:sz w:val="32"/>
          <w:szCs w:val="32"/>
        </w:rPr>
      </w:pPr>
    </w:p>
    <w:p w14:paraId="26FAD48E">
      <w:pPr>
        <w:ind w:firstLine="480" w:firstLineChars="150"/>
        <w:jc w:val="center"/>
        <w:rPr>
          <w:rFonts w:hint="eastAsia" w:ascii="宋体" w:hAnsi="宋体" w:eastAsia="宋体" w:cs="宋体"/>
          <w:sz w:val="32"/>
          <w:szCs w:val="32"/>
        </w:rPr>
      </w:pPr>
    </w:p>
    <w:p w14:paraId="7DC08DD7">
      <w:pPr>
        <w:ind w:firstLine="480" w:firstLineChars="150"/>
        <w:jc w:val="center"/>
        <w:rPr>
          <w:rFonts w:hint="eastAsia" w:ascii="宋体" w:hAnsi="宋体" w:eastAsia="宋体" w:cs="宋体"/>
          <w:sz w:val="32"/>
          <w:szCs w:val="32"/>
        </w:rPr>
      </w:pPr>
    </w:p>
    <w:p w14:paraId="4C6362A3">
      <w:pPr>
        <w:rPr>
          <w:rFonts w:hint="eastAsia" w:ascii="宋体" w:hAnsi="宋体" w:eastAsia="宋体" w:cs="宋体"/>
          <w:sz w:val="32"/>
          <w:szCs w:val="32"/>
        </w:rPr>
      </w:pPr>
      <w:r>
        <w:rPr>
          <w:rFonts w:hint="eastAsia" w:ascii="宋体" w:hAnsi="宋体" w:eastAsia="宋体" w:cs="宋体"/>
          <w:sz w:val="32"/>
          <w:szCs w:val="32"/>
        </w:rPr>
        <w:br w:type="page"/>
      </w:r>
    </w:p>
    <w:p w14:paraId="71675795">
      <w:pPr>
        <w:ind w:firstLine="452" w:firstLineChars="150"/>
        <w:jc w:val="center"/>
        <w:rPr>
          <w:rFonts w:hint="eastAsia" w:ascii="宋体" w:hAnsi="宋体" w:eastAsia="宋体" w:cs="宋体"/>
          <w:sz w:val="24"/>
        </w:rPr>
      </w:pPr>
      <w:r>
        <w:rPr>
          <w:rFonts w:hint="eastAsia" w:ascii="宋体" w:hAnsi="宋体" w:eastAsia="宋体" w:cs="宋体"/>
          <w:b/>
          <w:bCs/>
          <w:sz w:val="30"/>
          <w:szCs w:val="30"/>
        </w:rPr>
        <w:t>××技术协议</w:t>
      </w:r>
    </w:p>
    <w:p w14:paraId="6FF7E25B">
      <w:pPr>
        <w:ind w:firstLine="361" w:firstLineChars="150"/>
        <w:rPr>
          <w:rFonts w:hint="eastAsia" w:ascii="宋体" w:hAnsi="宋体" w:eastAsia="宋体" w:cs="宋体"/>
          <w:b/>
          <w:sz w:val="24"/>
        </w:rPr>
      </w:pPr>
      <w:r>
        <w:rPr>
          <w:rFonts w:hint="eastAsia" w:ascii="宋体" w:hAnsi="宋体" w:eastAsia="宋体" w:cs="宋体"/>
          <w:b/>
          <w:sz w:val="24"/>
        </w:rPr>
        <w:t>注：若技术参数等内容较少并能在合同中准确完整的描述，则不需单独签订技术协议。</w:t>
      </w:r>
    </w:p>
    <w:p w14:paraId="20DBDA69">
      <w:pPr>
        <w:tabs>
          <w:tab w:val="left" w:pos="2880"/>
        </w:tabs>
        <w:ind w:firstLine="360" w:firstLineChars="150"/>
        <w:rPr>
          <w:rFonts w:hint="eastAsia" w:ascii="宋体" w:hAnsi="宋体" w:eastAsia="宋体" w:cs="宋体"/>
          <w:sz w:val="24"/>
        </w:rPr>
      </w:pPr>
      <w:r>
        <w:rPr>
          <w:rFonts w:hint="eastAsia" w:ascii="宋体" w:hAnsi="宋体" w:eastAsia="宋体" w:cs="宋体"/>
          <w:sz w:val="24"/>
        </w:rPr>
        <w:t>甲方：西安石油大学</w:t>
      </w:r>
      <w:r>
        <w:rPr>
          <w:rFonts w:hint="eastAsia" w:ascii="宋体" w:hAnsi="宋体" w:eastAsia="宋体" w:cs="宋体"/>
          <w:sz w:val="24"/>
        </w:rPr>
        <w:tab/>
      </w:r>
    </w:p>
    <w:p w14:paraId="422C6B1E">
      <w:pPr>
        <w:ind w:firstLine="360" w:firstLineChars="150"/>
        <w:rPr>
          <w:rFonts w:hint="eastAsia" w:ascii="宋体" w:hAnsi="宋体" w:eastAsia="宋体" w:cs="宋体"/>
          <w:sz w:val="24"/>
        </w:rPr>
      </w:pPr>
      <w:r>
        <w:rPr>
          <w:rFonts w:hint="eastAsia" w:ascii="宋体" w:hAnsi="宋体" w:eastAsia="宋体" w:cs="宋体"/>
          <w:sz w:val="24"/>
        </w:rPr>
        <w:t>乙方：××公司</w:t>
      </w:r>
    </w:p>
    <w:p w14:paraId="1B482844">
      <w:pPr>
        <w:ind w:firstLine="360" w:firstLineChars="150"/>
        <w:rPr>
          <w:rFonts w:hint="eastAsia" w:ascii="宋体" w:hAnsi="宋体" w:eastAsia="宋体" w:cs="宋体"/>
          <w:sz w:val="24"/>
        </w:rPr>
      </w:pPr>
      <w:r>
        <w:rPr>
          <w:rFonts w:hint="eastAsia" w:ascii="宋体" w:hAnsi="宋体" w:eastAsia="宋体" w:cs="宋体"/>
          <w:sz w:val="24"/>
        </w:rPr>
        <w:t>西安石油大学（以下简称甲方）和××公司（以下简称乙方）通过谈判，就甲方××院××购置，达成以下技术协议：</w:t>
      </w:r>
    </w:p>
    <w:p w14:paraId="69C3901B">
      <w:pPr>
        <w:ind w:firstLine="360" w:firstLineChars="150"/>
        <w:rPr>
          <w:rFonts w:hint="eastAsia" w:ascii="宋体" w:hAnsi="宋体" w:eastAsia="宋体" w:cs="宋体"/>
          <w:sz w:val="24"/>
        </w:rPr>
      </w:pPr>
      <w:r>
        <w:rPr>
          <w:rFonts w:hint="eastAsia" w:ascii="宋体" w:hAnsi="宋体" w:eastAsia="宋体" w:cs="宋体"/>
          <w:sz w:val="24"/>
        </w:rPr>
        <w:t>一、设备名称、规格型号、生产厂家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55E97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0A45FACB">
            <w:pPr>
              <w:jc w:val="center"/>
              <w:rPr>
                <w:rFonts w:hint="eastAsia" w:ascii="宋体" w:hAnsi="宋体" w:eastAsia="宋体" w:cs="宋体"/>
                <w:sz w:val="24"/>
              </w:rPr>
            </w:pPr>
            <w:r>
              <w:rPr>
                <w:rFonts w:hint="eastAsia" w:ascii="宋体" w:hAnsi="宋体" w:eastAsia="宋体" w:cs="宋体"/>
                <w:sz w:val="24"/>
              </w:rPr>
              <w:t>序号</w:t>
            </w:r>
          </w:p>
        </w:tc>
        <w:tc>
          <w:tcPr>
            <w:tcW w:w="2270" w:type="dxa"/>
            <w:vAlign w:val="center"/>
          </w:tcPr>
          <w:p w14:paraId="0BEB70BA">
            <w:pPr>
              <w:jc w:val="center"/>
              <w:rPr>
                <w:rFonts w:hint="eastAsia" w:ascii="宋体" w:hAnsi="宋体" w:eastAsia="宋体" w:cs="宋体"/>
                <w:sz w:val="24"/>
              </w:rPr>
            </w:pPr>
            <w:r>
              <w:rPr>
                <w:rFonts w:hint="eastAsia" w:ascii="宋体" w:hAnsi="宋体" w:eastAsia="宋体" w:cs="宋体"/>
                <w:sz w:val="24"/>
              </w:rPr>
              <w:t>设备名称</w:t>
            </w:r>
          </w:p>
        </w:tc>
        <w:tc>
          <w:tcPr>
            <w:tcW w:w="2541" w:type="dxa"/>
            <w:vAlign w:val="center"/>
          </w:tcPr>
          <w:p w14:paraId="636F2005">
            <w:pPr>
              <w:jc w:val="center"/>
              <w:rPr>
                <w:rFonts w:hint="eastAsia" w:ascii="宋体" w:hAnsi="宋体" w:eastAsia="宋体" w:cs="宋体"/>
                <w:sz w:val="24"/>
              </w:rPr>
            </w:pPr>
            <w:r>
              <w:rPr>
                <w:rFonts w:hint="eastAsia" w:ascii="宋体" w:hAnsi="宋体" w:eastAsia="宋体" w:cs="宋体"/>
                <w:sz w:val="24"/>
              </w:rPr>
              <w:t>规格型号</w:t>
            </w:r>
          </w:p>
        </w:tc>
        <w:tc>
          <w:tcPr>
            <w:tcW w:w="2149" w:type="dxa"/>
            <w:vAlign w:val="center"/>
          </w:tcPr>
          <w:p w14:paraId="6C763402">
            <w:pPr>
              <w:jc w:val="center"/>
              <w:rPr>
                <w:rFonts w:hint="eastAsia" w:ascii="宋体" w:hAnsi="宋体" w:eastAsia="宋体" w:cs="宋体"/>
                <w:sz w:val="24"/>
              </w:rPr>
            </w:pPr>
            <w:r>
              <w:rPr>
                <w:rFonts w:hint="eastAsia" w:ascii="宋体" w:hAnsi="宋体" w:eastAsia="宋体" w:cs="宋体"/>
                <w:sz w:val="24"/>
              </w:rPr>
              <w:t>生产厂家</w:t>
            </w:r>
          </w:p>
        </w:tc>
      </w:tr>
      <w:tr w14:paraId="02B27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34B4F682">
            <w:pPr>
              <w:ind w:firstLine="360" w:firstLineChars="150"/>
              <w:rPr>
                <w:rFonts w:hint="eastAsia" w:ascii="宋体" w:hAnsi="宋体" w:eastAsia="宋体" w:cs="宋体"/>
                <w:sz w:val="24"/>
              </w:rPr>
            </w:pPr>
          </w:p>
        </w:tc>
        <w:tc>
          <w:tcPr>
            <w:tcW w:w="2270" w:type="dxa"/>
            <w:vAlign w:val="center"/>
          </w:tcPr>
          <w:p w14:paraId="625B6EC4">
            <w:pPr>
              <w:ind w:firstLine="360" w:firstLineChars="150"/>
              <w:rPr>
                <w:rFonts w:hint="eastAsia" w:ascii="宋体" w:hAnsi="宋体" w:eastAsia="宋体" w:cs="宋体"/>
                <w:sz w:val="24"/>
              </w:rPr>
            </w:pPr>
          </w:p>
        </w:tc>
        <w:tc>
          <w:tcPr>
            <w:tcW w:w="2541" w:type="dxa"/>
            <w:vAlign w:val="center"/>
          </w:tcPr>
          <w:p w14:paraId="6057291C">
            <w:pPr>
              <w:ind w:firstLine="360" w:firstLineChars="150"/>
              <w:rPr>
                <w:rFonts w:hint="eastAsia" w:ascii="宋体" w:hAnsi="宋体" w:eastAsia="宋体" w:cs="宋体"/>
                <w:sz w:val="24"/>
              </w:rPr>
            </w:pPr>
          </w:p>
        </w:tc>
        <w:tc>
          <w:tcPr>
            <w:tcW w:w="2149" w:type="dxa"/>
            <w:vAlign w:val="center"/>
          </w:tcPr>
          <w:p w14:paraId="7F54B6C1">
            <w:pPr>
              <w:ind w:firstLine="360" w:firstLineChars="150"/>
              <w:rPr>
                <w:rFonts w:hint="eastAsia" w:ascii="宋体" w:hAnsi="宋体" w:eastAsia="宋体" w:cs="宋体"/>
                <w:sz w:val="24"/>
              </w:rPr>
            </w:pPr>
          </w:p>
        </w:tc>
      </w:tr>
    </w:tbl>
    <w:p w14:paraId="190EEE4B">
      <w:pPr>
        <w:ind w:firstLine="360" w:firstLineChars="150"/>
        <w:rPr>
          <w:rFonts w:hint="eastAsia" w:ascii="宋体" w:hAnsi="宋体" w:eastAsia="宋体" w:cs="宋体"/>
          <w:sz w:val="24"/>
        </w:rPr>
      </w:pPr>
      <w:r>
        <w:rPr>
          <w:rFonts w:hint="eastAsia" w:ascii="宋体" w:hAnsi="宋体" w:eastAsia="宋体" w:cs="宋体"/>
          <w:sz w:val="24"/>
        </w:rPr>
        <w:t>二、设备配置及技术指标:</w:t>
      </w:r>
    </w:p>
    <w:p w14:paraId="2C226F6F">
      <w:pPr>
        <w:ind w:firstLine="240" w:firstLineChars="100"/>
        <w:rPr>
          <w:rFonts w:hint="eastAsia" w:ascii="宋体" w:hAnsi="宋体" w:eastAsia="宋体" w:cs="宋体"/>
          <w:sz w:val="24"/>
        </w:rPr>
      </w:pPr>
      <w:r>
        <w:rPr>
          <w:rFonts w:hint="eastAsia" w:ascii="宋体" w:hAnsi="宋体" w:eastAsia="宋体" w:cs="宋体"/>
          <w:sz w:val="24"/>
        </w:rPr>
        <w:t>1、××××××××××；</w:t>
      </w:r>
    </w:p>
    <w:p w14:paraId="548EBC7B">
      <w:pPr>
        <w:ind w:firstLine="360" w:firstLineChars="150"/>
        <w:rPr>
          <w:rFonts w:hint="eastAsia" w:ascii="宋体" w:hAnsi="宋体" w:eastAsia="宋体" w:cs="宋体"/>
          <w:sz w:val="24"/>
        </w:rPr>
      </w:pPr>
      <w:r>
        <w:rPr>
          <w:rFonts w:hint="eastAsia" w:ascii="宋体" w:hAnsi="宋体" w:eastAsia="宋体" w:cs="宋体"/>
          <w:sz w:val="24"/>
        </w:rPr>
        <w:t>2、××××××××××；</w:t>
      </w:r>
    </w:p>
    <w:p w14:paraId="1169048C">
      <w:pPr>
        <w:ind w:firstLine="360" w:firstLineChars="150"/>
        <w:rPr>
          <w:rFonts w:hint="eastAsia" w:ascii="宋体" w:hAnsi="宋体" w:eastAsia="宋体" w:cs="宋体"/>
          <w:sz w:val="24"/>
        </w:rPr>
      </w:pPr>
      <w:r>
        <w:rPr>
          <w:rFonts w:hint="eastAsia" w:ascii="宋体" w:hAnsi="宋体" w:eastAsia="宋体" w:cs="宋体"/>
          <w:sz w:val="24"/>
        </w:rPr>
        <w:t>3、××××××××××。</w:t>
      </w:r>
    </w:p>
    <w:p w14:paraId="065B19EA">
      <w:pPr>
        <w:ind w:firstLine="360" w:firstLineChars="150"/>
        <w:rPr>
          <w:rFonts w:hint="eastAsia" w:ascii="宋体" w:hAnsi="宋体" w:eastAsia="宋体" w:cs="宋体"/>
          <w:sz w:val="24"/>
        </w:rPr>
      </w:pPr>
      <w:r>
        <w:rPr>
          <w:rFonts w:hint="eastAsia" w:ascii="宋体" w:hAnsi="宋体" w:eastAsia="宋体" w:cs="宋体"/>
          <w:sz w:val="24"/>
        </w:rPr>
        <w:t>三、解决协议纠纷方式：双方友好协商解决，协商未果由西安市仲裁委员会仲裁。</w:t>
      </w:r>
    </w:p>
    <w:p w14:paraId="4EE667AD">
      <w:pPr>
        <w:ind w:firstLine="360" w:firstLineChars="150"/>
        <w:rPr>
          <w:rFonts w:hint="eastAsia" w:ascii="宋体" w:hAnsi="宋体" w:eastAsia="宋体" w:cs="宋体"/>
          <w:sz w:val="24"/>
        </w:rPr>
      </w:pPr>
      <w:r>
        <w:rPr>
          <w:rFonts w:hint="eastAsia" w:ascii="宋体" w:hAnsi="宋体" w:eastAsia="宋体" w:cs="宋体"/>
          <w:sz w:val="24"/>
        </w:rPr>
        <w:t>四、其它事项</w:t>
      </w:r>
    </w:p>
    <w:p w14:paraId="7A3753E5">
      <w:pPr>
        <w:ind w:firstLine="360" w:firstLineChars="150"/>
        <w:rPr>
          <w:rFonts w:hint="eastAsia" w:ascii="宋体" w:hAnsi="宋体" w:eastAsia="宋体" w:cs="宋体"/>
          <w:sz w:val="24"/>
        </w:rPr>
      </w:pPr>
      <w:r>
        <w:rPr>
          <w:rFonts w:hint="eastAsia" w:ascii="宋体" w:hAnsi="宋体" w:eastAsia="宋体" w:cs="宋体"/>
          <w:sz w:val="24"/>
        </w:rPr>
        <w:t>1、本协议作为设备购置合同附件与合同同时生效。</w:t>
      </w:r>
    </w:p>
    <w:p w14:paraId="728E9568">
      <w:pPr>
        <w:ind w:firstLine="360" w:firstLineChars="150"/>
        <w:rPr>
          <w:rFonts w:hint="eastAsia" w:ascii="宋体" w:hAnsi="宋体" w:eastAsia="宋体" w:cs="宋体"/>
          <w:sz w:val="24"/>
        </w:rPr>
      </w:pPr>
      <w:r>
        <w:rPr>
          <w:rFonts w:hint="eastAsia" w:ascii="宋体" w:hAnsi="宋体" w:eastAsia="宋体" w:cs="宋体"/>
          <w:sz w:val="24"/>
        </w:rPr>
        <w:t>2、本协议一式七份，甲方五份，乙方一份，代理机构一份，经甲、乙双方签字盖章后生效。</w:t>
      </w:r>
    </w:p>
    <w:p w14:paraId="2AC3F408">
      <w:pPr>
        <w:ind w:firstLine="360" w:firstLineChars="150"/>
        <w:rPr>
          <w:rFonts w:hint="eastAsia" w:ascii="宋体" w:hAnsi="宋体" w:eastAsia="宋体" w:cs="宋体"/>
          <w:sz w:val="2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58439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039E600">
            <w:pPr>
              <w:ind w:firstLine="360" w:firstLineChars="150"/>
              <w:rPr>
                <w:rFonts w:hint="eastAsia" w:ascii="宋体" w:hAnsi="宋体" w:eastAsia="宋体" w:cs="宋体"/>
                <w:sz w:val="24"/>
              </w:rPr>
            </w:pPr>
            <w:r>
              <w:rPr>
                <w:rFonts w:hint="eastAsia" w:ascii="宋体" w:hAnsi="宋体" w:eastAsia="宋体" w:cs="宋体"/>
                <w:sz w:val="24"/>
              </w:rPr>
              <w:t>甲方</w:t>
            </w:r>
          </w:p>
        </w:tc>
        <w:tc>
          <w:tcPr>
            <w:tcW w:w="4829" w:type="dxa"/>
            <w:tcBorders>
              <w:top w:val="nil"/>
              <w:left w:val="nil"/>
              <w:bottom w:val="nil"/>
              <w:right w:val="nil"/>
            </w:tcBorders>
            <w:vAlign w:val="center"/>
          </w:tcPr>
          <w:p w14:paraId="6F205737">
            <w:pPr>
              <w:ind w:firstLine="360" w:firstLineChars="150"/>
              <w:rPr>
                <w:rFonts w:hint="eastAsia" w:ascii="宋体" w:hAnsi="宋体" w:eastAsia="宋体" w:cs="宋体"/>
                <w:sz w:val="24"/>
              </w:rPr>
            </w:pPr>
            <w:r>
              <w:rPr>
                <w:rFonts w:hint="eastAsia" w:ascii="宋体" w:hAnsi="宋体" w:eastAsia="宋体" w:cs="宋体"/>
                <w:sz w:val="24"/>
              </w:rPr>
              <w:t>乙方</w:t>
            </w:r>
          </w:p>
        </w:tc>
      </w:tr>
      <w:tr w14:paraId="0776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411948C">
            <w:pPr>
              <w:ind w:firstLine="360" w:firstLineChars="150"/>
              <w:rPr>
                <w:rFonts w:hint="eastAsia" w:ascii="宋体" w:hAnsi="宋体" w:eastAsia="宋体" w:cs="宋体"/>
                <w:sz w:val="24"/>
              </w:rPr>
            </w:pPr>
            <w:r>
              <w:rPr>
                <w:rFonts w:hint="eastAsia" w:ascii="宋体" w:hAnsi="宋体" w:eastAsia="宋体" w:cs="宋体"/>
                <w:sz w:val="24"/>
              </w:rPr>
              <w:t>单位名称：西安石油大学XXXX（部门）</w:t>
            </w:r>
          </w:p>
        </w:tc>
        <w:tc>
          <w:tcPr>
            <w:tcW w:w="4829" w:type="dxa"/>
            <w:tcBorders>
              <w:top w:val="nil"/>
              <w:left w:val="nil"/>
              <w:bottom w:val="nil"/>
              <w:right w:val="nil"/>
            </w:tcBorders>
            <w:vAlign w:val="center"/>
          </w:tcPr>
          <w:p w14:paraId="6C61F6B7">
            <w:pPr>
              <w:ind w:firstLine="360" w:firstLineChars="150"/>
              <w:rPr>
                <w:rFonts w:hint="eastAsia" w:ascii="宋体" w:hAnsi="宋体" w:eastAsia="宋体" w:cs="宋体"/>
                <w:sz w:val="24"/>
              </w:rPr>
            </w:pPr>
            <w:r>
              <w:rPr>
                <w:rFonts w:hint="eastAsia" w:ascii="宋体" w:hAnsi="宋体" w:eastAsia="宋体" w:cs="宋体"/>
                <w:sz w:val="24"/>
              </w:rPr>
              <w:t>单位名称：××公司</w:t>
            </w:r>
          </w:p>
        </w:tc>
      </w:tr>
      <w:tr w14:paraId="2B95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676E925">
            <w:pPr>
              <w:ind w:firstLine="360" w:firstLineChars="150"/>
              <w:rPr>
                <w:rFonts w:hint="eastAsia" w:ascii="宋体" w:hAnsi="宋体" w:eastAsia="宋体" w:cs="宋体"/>
                <w:sz w:val="24"/>
              </w:rPr>
            </w:pPr>
            <w:r>
              <w:rPr>
                <w:rFonts w:hint="eastAsia" w:ascii="宋体" w:hAnsi="宋体" w:eastAsia="宋体" w:cs="宋体"/>
                <w:sz w:val="24"/>
              </w:rPr>
              <w:t>地址：西安市电子二路18号</w:t>
            </w:r>
          </w:p>
        </w:tc>
        <w:tc>
          <w:tcPr>
            <w:tcW w:w="4829" w:type="dxa"/>
            <w:tcBorders>
              <w:top w:val="nil"/>
              <w:left w:val="nil"/>
              <w:bottom w:val="nil"/>
              <w:right w:val="nil"/>
            </w:tcBorders>
            <w:vAlign w:val="center"/>
          </w:tcPr>
          <w:p w14:paraId="2E87C018">
            <w:pPr>
              <w:ind w:firstLine="360" w:firstLineChars="150"/>
              <w:rPr>
                <w:rFonts w:hint="eastAsia" w:ascii="宋体" w:hAnsi="宋体" w:eastAsia="宋体" w:cs="宋体"/>
                <w:sz w:val="24"/>
              </w:rPr>
            </w:pPr>
            <w:r>
              <w:rPr>
                <w:rFonts w:hint="eastAsia" w:ascii="宋体" w:hAnsi="宋体" w:eastAsia="宋体" w:cs="宋体"/>
                <w:sz w:val="24"/>
              </w:rPr>
              <w:t>地址：</w:t>
            </w:r>
          </w:p>
        </w:tc>
      </w:tr>
      <w:tr w14:paraId="2355B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39D5905">
            <w:pPr>
              <w:ind w:firstLine="360" w:firstLineChars="150"/>
              <w:rPr>
                <w:rFonts w:hint="eastAsia" w:ascii="宋体" w:hAnsi="宋体" w:eastAsia="宋体" w:cs="宋体"/>
                <w:sz w:val="24"/>
              </w:rPr>
            </w:pPr>
            <w:r>
              <w:rPr>
                <w:rFonts w:hint="eastAsia" w:ascii="宋体" w:hAnsi="宋体" w:eastAsia="宋体" w:cs="宋体"/>
                <w:sz w:val="24"/>
              </w:rPr>
              <w:t>代表人：</w:t>
            </w:r>
          </w:p>
        </w:tc>
        <w:tc>
          <w:tcPr>
            <w:tcW w:w="4829" w:type="dxa"/>
            <w:tcBorders>
              <w:top w:val="nil"/>
              <w:left w:val="nil"/>
              <w:bottom w:val="nil"/>
              <w:right w:val="nil"/>
            </w:tcBorders>
            <w:vAlign w:val="center"/>
          </w:tcPr>
          <w:p w14:paraId="0E4DEE8F">
            <w:pPr>
              <w:ind w:firstLine="360" w:firstLineChars="150"/>
              <w:rPr>
                <w:rFonts w:hint="eastAsia" w:ascii="宋体" w:hAnsi="宋体" w:eastAsia="宋体" w:cs="宋体"/>
                <w:sz w:val="24"/>
              </w:rPr>
            </w:pPr>
            <w:r>
              <w:rPr>
                <w:rFonts w:hint="eastAsia" w:ascii="宋体" w:hAnsi="宋体" w:eastAsia="宋体" w:cs="宋体"/>
                <w:sz w:val="24"/>
              </w:rPr>
              <w:t>代表人：</w:t>
            </w:r>
          </w:p>
        </w:tc>
      </w:tr>
      <w:tr w14:paraId="4AF8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C0E05AA">
            <w:pPr>
              <w:ind w:firstLine="360" w:firstLineChars="150"/>
              <w:rPr>
                <w:rFonts w:hint="eastAsia" w:ascii="宋体" w:hAnsi="宋体" w:eastAsia="宋体" w:cs="宋体"/>
                <w:sz w:val="24"/>
              </w:rPr>
            </w:pPr>
            <w:r>
              <w:rPr>
                <w:rFonts w:hint="eastAsia" w:ascii="宋体" w:hAnsi="宋体" w:eastAsia="宋体" w:cs="宋体"/>
                <w:sz w:val="24"/>
              </w:rPr>
              <w:t>联系电话：029—88382333</w:t>
            </w:r>
          </w:p>
        </w:tc>
        <w:tc>
          <w:tcPr>
            <w:tcW w:w="4829" w:type="dxa"/>
            <w:tcBorders>
              <w:top w:val="nil"/>
              <w:left w:val="nil"/>
              <w:bottom w:val="nil"/>
              <w:right w:val="nil"/>
            </w:tcBorders>
            <w:vAlign w:val="center"/>
          </w:tcPr>
          <w:p w14:paraId="347925D1">
            <w:pPr>
              <w:ind w:firstLine="360" w:firstLineChars="150"/>
              <w:rPr>
                <w:rFonts w:hint="eastAsia" w:ascii="宋体" w:hAnsi="宋体" w:eastAsia="宋体" w:cs="宋体"/>
                <w:sz w:val="24"/>
              </w:rPr>
            </w:pPr>
            <w:r>
              <w:rPr>
                <w:rFonts w:hint="eastAsia" w:ascii="宋体" w:hAnsi="宋体" w:eastAsia="宋体" w:cs="宋体"/>
                <w:sz w:val="24"/>
              </w:rPr>
              <w:t>联系电话：</w:t>
            </w:r>
          </w:p>
        </w:tc>
      </w:tr>
      <w:tr w14:paraId="48D4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26C6CEF5">
            <w:pPr>
              <w:ind w:firstLine="360" w:firstLineChars="150"/>
              <w:rPr>
                <w:rFonts w:hint="eastAsia" w:ascii="宋体" w:hAnsi="宋体" w:eastAsia="宋体" w:cs="宋体"/>
                <w:sz w:val="24"/>
              </w:rPr>
            </w:pPr>
            <w:r>
              <w:rPr>
                <w:rFonts w:hint="eastAsia" w:ascii="宋体" w:hAnsi="宋体" w:eastAsia="宋体" w:cs="宋体"/>
                <w:sz w:val="24"/>
              </w:rPr>
              <w:t>202 年月日</w:t>
            </w:r>
          </w:p>
        </w:tc>
        <w:tc>
          <w:tcPr>
            <w:tcW w:w="4829" w:type="dxa"/>
            <w:tcBorders>
              <w:top w:val="nil"/>
              <w:left w:val="nil"/>
              <w:bottom w:val="nil"/>
              <w:right w:val="nil"/>
            </w:tcBorders>
            <w:vAlign w:val="center"/>
          </w:tcPr>
          <w:p w14:paraId="14830416">
            <w:pPr>
              <w:ind w:firstLine="360" w:firstLineChars="150"/>
              <w:rPr>
                <w:rFonts w:hint="eastAsia" w:ascii="宋体" w:hAnsi="宋体" w:eastAsia="宋体" w:cs="宋体"/>
                <w:sz w:val="24"/>
              </w:rPr>
            </w:pPr>
            <w:r>
              <w:rPr>
                <w:rFonts w:hint="eastAsia" w:ascii="宋体" w:hAnsi="宋体" w:eastAsia="宋体" w:cs="宋体"/>
                <w:sz w:val="24"/>
              </w:rPr>
              <w:t>202 年月日</w:t>
            </w:r>
          </w:p>
        </w:tc>
      </w:tr>
    </w:tbl>
    <w:p w14:paraId="3A8B186B">
      <w:pPr>
        <w:keepNext w:val="0"/>
        <w:keepLines w:val="0"/>
        <w:pageBreakBefore w:val="0"/>
        <w:widowControl w:val="0"/>
        <w:kinsoku/>
        <w:wordWrap/>
        <w:overflowPunct/>
        <w:topLinePunct w:val="0"/>
        <w:autoSpaceDE/>
        <w:autoSpaceDN/>
        <w:bidi w:val="0"/>
        <w:adjustRightInd w:val="0"/>
        <w:snapToGrid/>
        <w:spacing w:line="500" w:lineRule="exact"/>
        <w:textAlignment w:val="auto"/>
        <w:rPr>
          <w:rFonts w:hint="default"/>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12C6514"/>
    <w:rsid w:val="01D3500E"/>
    <w:rsid w:val="02672DC5"/>
    <w:rsid w:val="04F05A45"/>
    <w:rsid w:val="06B156A8"/>
    <w:rsid w:val="0C7E0D4F"/>
    <w:rsid w:val="0D50443E"/>
    <w:rsid w:val="0D7336B7"/>
    <w:rsid w:val="0F8E6586"/>
    <w:rsid w:val="11D05EB6"/>
    <w:rsid w:val="12374CB3"/>
    <w:rsid w:val="134045C6"/>
    <w:rsid w:val="13897287"/>
    <w:rsid w:val="13ED47D7"/>
    <w:rsid w:val="148C7F6D"/>
    <w:rsid w:val="15396F94"/>
    <w:rsid w:val="177F50ED"/>
    <w:rsid w:val="17EE22B8"/>
    <w:rsid w:val="19377C8F"/>
    <w:rsid w:val="1DCB4E4A"/>
    <w:rsid w:val="1DD27F86"/>
    <w:rsid w:val="20865BFF"/>
    <w:rsid w:val="212154AC"/>
    <w:rsid w:val="220C3FE2"/>
    <w:rsid w:val="224D22D1"/>
    <w:rsid w:val="24197545"/>
    <w:rsid w:val="25E1345C"/>
    <w:rsid w:val="26597496"/>
    <w:rsid w:val="289B3D96"/>
    <w:rsid w:val="29397D2E"/>
    <w:rsid w:val="2B2160A9"/>
    <w:rsid w:val="2F302D5E"/>
    <w:rsid w:val="30B83353"/>
    <w:rsid w:val="325B00F2"/>
    <w:rsid w:val="337865E3"/>
    <w:rsid w:val="34313801"/>
    <w:rsid w:val="345319C9"/>
    <w:rsid w:val="375872F6"/>
    <w:rsid w:val="39D32C64"/>
    <w:rsid w:val="3AB111F7"/>
    <w:rsid w:val="3B893F22"/>
    <w:rsid w:val="3C046C52"/>
    <w:rsid w:val="3CFE449C"/>
    <w:rsid w:val="3DD33817"/>
    <w:rsid w:val="3F001454"/>
    <w:rsid w:val="3FF04570"/>
    <w:rsid w:val="41F540C0"/>
    <w:rsid w:val="43184F8F"/>
    <w:rsid w:val="47B47214"/>
    <w:rsid w:val="490E1637"/>
    <w:rsid w:val="49B075FB"/>
    <w:rsid w:val="49DF11B1"/>
    <w:rsid w:val="4A291C66"/>
    <w:rsid w:val="4C241E79"/>
    <w:rsid w:val="4CE92A73"/>
    <w:rsid w:val="50A56CB1"/>
    <w:rsid w:val="53B52B8D"/>
    <w:rsid w:val="540957A8"/>
    <w:rsid w:val="547B54A6"/>
    <w:rsid w:val="54FA2979"/>
    <w:rsid w:val="591272D1"/>
    <w:rsid w:val="5B843924"/>
    <w:rsid w:val="5D2A767C"/>
    <w:rsid w:val="5D610403"/>
    <w:rsid w:val="5E1D0E75"/>
    <w:rsid w:val="5EAA7B88"/>
    <w:rsid w:val="6142054C"/>
    <w:rsid w:val="645914C4"/>
    <w:rsid w:val="66682803"/>
    <w:rsid w:val="67C40077"/>
    <w:rsid w:val="68A35D74"/>
    <w:rsid w:val="68AA0EB0"/>
    <w:rsid w:val="69272501"/>
    <w:rsid w:val="697D7C9D"/>
    <w:rsid w:val="699851AD"/>
    <w:rsid w:val="69F61ED3"/>
    <w:rsid w:val="69FC2C32"/>
    <w:rsid w:val="6A8E65B0"/>
    <w:rsid w:val="6C5F729D"/>
    <w:rsid w:val="6D7E46BA"/>
    <w:rsid w:val="6DAD677E"/>
    <w:rsid w:val="6EDD13D6"/>
    <w:rsid w:val="706A7177"/>
    <w:rsid w:val="70E64A50"/>
    <w:rsid w:val="72930C07"/>
    <w:rsid w:val="73661E78"/>
    <w:rsid w:val="737D4712"/>
    <w:rsid w:val="74145D78"/>
    <w:rsid w:val="7439758C"/>
    <w:rsid w:val="75923CD6"/>
    <w:rsid w:val="76971454"/>
    <w:rsid w:val="76B233D8"/>
    <w:rsid w:val="77822FF8"/>
    <w:rsid w:val="77E85551"/>
    <w:rsid w:val="77F79321"/>
    <w:rsid w:val="79200D1B"/>
    <w:rsid w:val="7A5223BA"/>
    <w:rsid w:val="7A6F7CFA"/>
    <w:rsid w:val="7B71585E"/>
    <w:rsid w:val="7CC876FF"/>
    <w:rsid w:val="7D5804B4"/>
    <w:rsid w:val="7D944A96"/>
    <w:rsid w:val="7ECF121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unhideWhenUsed/>
    <w:qFormat/>
    <w:uiPriority w:val="9"/>
    <w:pPr>
      <w:jc w:val="left"/>
      <w:outlineLvl w:val="1"/>
    </w:pPr>
    <w:rPr>
      <w:sz w:val="30"/>
      <w:szCs w:val="2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hAnsi="Times New Roman" w:eastAsia="楷体_GB2312" w:cs="Times New Roman"/>
      <w:sz w:val="32"/>
      <w:szCs w:val="32"/>
    </w:rPr>
  </w:style>
  <w:style w:type="paragraph" w:styleId="5">
    <w:name w:val="annotation text"/>
    <w:basedOn w:val="1"/>
    <w:qFormat/>
    <w:uiPriority w:val="0"/>
    <w:pPr>
      <w:jc w:val="left"/>
    </w:pPr>
  </w:style>
  <w:style w:type="paragraph" w:styleId="6">
    <w:name w:val="Body Text"/>
    <w:basedOn w:val="1"/>
    <w:qFormat/>
    <w:uiPriority w:val="0"/>
    <w:pPr>
      <w:jc w:val="left"/>
    </w:pPr>
    <w:rPr>
      <w:rFonts w:ascii="Copperplate Gothic Bold" w:hAnsi="Copperplate Gothic Bold"/>
      <w:sz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4"/>
    <w:basedOn w:val="1"/>
    <w:next w:val="1"/>
    <w:unhideWhenUsed/>
    <w:qFormat/>
    <w:uiPriority w:val="31"/>
    <w:pPr>
      <w:ind w:left="1275"/>
    </w:pPr>
    <w:rPr>
      <w:rFonts w:ascii="Calibri" w:hAnsi="Calibri"/>
      <w:szCs w:val="21"/>
    </w:rPr>
  </w:style>
  <w:style w:type="paragraph" w:styleId="10">
    <w:name w:val="Normal (Web)"/>
    <w:basedOn w:val="1"/>
    <w:qFormat/>
    <w:uiPriority w:val="0"/>
    <w:pPr>
      <w:spacing w:beforeAutospacing="1" w:afterAutospacing="1"/>
      <w:jc w:val="left"/>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semiHidden/>
    <w:unhideWhenUsed/>
    <w:qFormat/>
    <w:uiPriority w:val="99"/>
    <w:rPr>
      <w:sz w:val="21"/>
      <w:szCs w:val="21"/>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段"/>
    <w:next w:val="1"/>
    <w:autoRedefine/>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styleId="20">
    <w:name w:val="No Spacing"/>
    <w:qFormat/>
    <w:uiPriority w:val="1"/>
    <w:pPr>
      <w:widowControl w:val="0"/>
      <w:jc w:val="center"/>
    </w:pPr>
    <w:rPr>
      <w:rFonts w:eastAsia="仿宋_GB2312" w:asciiTheme="minorHAnsi" w:hAnsiTheme="minorHAnsi" w:cstheme="minorBidi"/>
      <w:kern w:val="2"/>
      <w:sz w:val="24"/>
      <w:szCs w:val="21"/>
      <w:lang w:val="en-US" w:eastAsia="zh-CN" w:bidi="ar-SA"/>
      <w14:ligatures w14:val="standardContextual"/>
    </w:rPr>
  </w:style>
  <w:style w:type="paragraph" w:styleId="21">
    <w:name w:val="List Paragraph"/>
    <w:basedOn w:val="1"/>
    <w:autoRedefine/>
    <w:unhideWhenUsed/>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3689</Words>
  <Characters>3795</Characters>
  <Lines>0</Lines>
  <Paragraphs>0</Paragraphs>
  <TotalTime>0</TotalTime>
  <ScaleCrop>false</ScaleCrop>
  <LinksUpToDate>false</LinksUpToDate>
  <CharactersWithSpaces>3844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孟孟孟</cp:lastModifiedBy>
  <dcterms:modified xsi:type="dcterms:W3CDTF">2026-06-27T08:46:22Z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eyJoZGlkIjoiOGUxMzE0NGNmY2MxMzc5YjE0OGE4ZjViMzEwODdkNzMiLCJ1c2VySWQiOiIzMDY5OTEwMDEifQ==</vt:lpwstr>
  </property>
  <property fmtid="{D5CDD505-2E9C-101B-9397-08002B2CF9AE}" pid="4" name="ICV">
    <vt:lpwstr>4DC77CBE0F6C4D60B225144330F1ADDA_13</vt:lpwstr>
  </property>
</Properties>
</file>