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版本号：SXZHZC2026-JT02020260608001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购置辅警春秋执勤服</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SXZHZC2026-JT020</w:t>
      </w:r>
      <w:r>
        <w:br/>
      </w:r>
      <w:r>
        <w:br/>
      </w:r>
      <w:r>
        <w:br/>
      </w:r>
    </w:p>
    <w:p>
      <w:pPr>
        <w:pStyle w:val="null3"/>
        <w:jc w:val="center"/>
        <w:outlineLvl w:val="2"/>
      </w:pPr>
      <w:r>
        <w:rPr>
          <w:rFonts w:ascii="仿宋_GB2312" w:hAnsi="仿宋_GB2312" w:cs="仿宋_GB2312" w:eastAsia="仿宋_GB2312"/>
          <w:sz w:val="28"/>
          <w:b/>
        </w:rPr>
        <w:t>西安市公安局雁塔分局</w:t>
      </w:r>
    </w:p>
    <w:p>
      <w:pPr>
        <w:pStyle w:val="null3"/>
        <w:jc w:val="center"/>
        <w:outlineLvl w:val="2"/>
      </w:pPr>
      <w:r>
        <w:rPr>
          <w:rFonts w:ascii="仿宋_GB2312" w:hAnsi="仿宋_GB2312" w:cs="仿宋_GB2312" w:eastAsia="仿宋_GB2312"/>
          <w:sz w:val="28"/>
          <w:b/>
        </w:rPr>
        <w:t>陕西泽航项目管理有限公司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陕西泽航项目管理有限公司</w:t>
      </w:r>
      <w:r>
        <w:rPr>
          <w:rFonts w:ascii="仿宋_GB2312" w:hAnsi="仿宋_GB2312" w:cs="仿宋_GB2312" w:eastAsia="仿宋_GB2312"/>
        </w:rPr>
        <w:t>（以下简称“代理机构”）受</w:t>
      </w:r>
      <w:r>
        <w:rPr>
          <w:rFonts w:ascii="仿宋_GB2312" w:hAnsi="仿宋_GB2312" w:cs="仿宋_GB2312" w:eastAsia="仿宋_GB2312"/>
        </w:rPr>
        <w:t>西安市公安局雁塔分局</w:t>
      </w:r>
      <w:r>
        <w:rPr>
          <w:rFonts w:ascii="仿宋_GB2312" w:hAnsi="仿宋_GB2312" w:cs="仿宋_GB2312" w:eastAsia="仿宋_GB2312"/>
        </w:rPr>
        <w:t>委托，拟对</w:t>
      </w:r>
      <w:r>
        <w:rPr>
          <w:rFonts w:ascii="仿宋_GB2312" w:hAnsi="仿宋_GB2312" w:cs="仿宋_GB2312" w:eastAsia="仿宋_GB2312"/>
        </w:rPr>
        <w:t>购置辅警春秋执勤服</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SXZHZC2026-JT020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购置辅警春秋执勤服</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购置辅警春秋执勤服</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采购包1（购置辅警春秋执勤服）：属于专门面向中小企业采购。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谈判的，须出具法定代表人身份证明。法定代表人委托代理人参加谈判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西安市公安局雁塔分局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雁塔区翠华路333号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029-86772046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陕西泽航项目管理有限公司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西安市未央区未央路80号盛龙广场A区1号楼1单元2601-619室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张婉莹、程康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029-86477988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029-85241400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采购包1：773,146.00元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 /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收费管理暂行办法》（计价格〔2002〕1980号）和国家发展和改革委员会办公厅印发的《关于招标代理服务收费有关问题的通知》（发改办价格〔2003〕857号）的有关规定执行。 成交供应商在领取成交通知书前，须向采购代理机构一次性支付招标代理服务费。 户名：陕西泽航项目管理有限公司 开户行：中国工商银行股份有限公司西安经济技术开发区支行 账号：3700 0006 0920 0406 578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西安市公安局雁塔分局</w:t>
      </w:r>
      <w:r>
        <w:rPr>
          <w:rFonts w:ascii="仿宋_GB2312" w:hAnsi="仿宋_GB2312" w:cs="仿宋_GB2312" w:eastAsia="仿宋_GB2312"/>
        </w:rPr>
        <w:t>和</w:t>
      </w:r>
      <w:r>
        <w:rPr>
          <w:rFonts w:ascii="仿宋_GB2312" w:hAnsi="仿宋_GB2312" w:cs="仿宋_GB2312" w:eastAsia="仿宋_GB2312"/>
        </w:rPr>
        <w:t>陕西泽航项目管理有限公司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西安市公安局雁塔分局</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陕西泽航项目管理有限公司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西安市公安局雁塔分局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陕西泽航项目管理有限公司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详见合同文件</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联系人：张婉莹 程康</w:t>
      </w:r>
    </w:p>
    <w:p>
      <w:pPr>
        <w:pStyle w:val="null3"/>
      </w:pPr>
      <w:r>
        <w:rPr>
          <w:rFonts w:ascii="仿宋_GB2312" w:hAnsi="仿宋_GB2312" w:cs="仿宋_GB2312" w:eastAsia="仿宋_GB2312"/>
        </w:rPr>
        <w:t>联系电话：029-86477988</w:t>
      </w:r>
    </w:p>
    <w:p>
      <w:pPr>
        <w:pStyle w:val="null3"/>
      </w:pPr>
      <w:r>
        <w:rPr>
          <w:rFonts w:ascii="仿宋_GB2312" w:hAnsi="仿宋_GB2312" w:cs="仿宋_GB2312" w:eastAsia="仿宋_GB2312"/>
        </w:rPr>
        <w:t>地址：西安市未央区未央路80号盛龙广场A区1号楼1单元2601-619室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购置辅警春秋执勤服</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773,146.00</w:t>
      </w:r>
    </w:p>
    <w:p>
      <w:pPr>
        <w:pStyle w:val="null3"/>
      </w:pPr>
      <w:r>
        <w:rPr>
          <w:rFonts w:ascii="仿宋_GB2312" w:hAnsi="仿宋_GB2312" w:cs="仿宋_GB2312" w:eastAsia="仿宋_GB2312"/>
        </w:rPr>
        <w:t>采购包最高限价（元）: 773,146.00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辅警服装采购项目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773,146.00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标的名称：辅警服装采购项目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5"/>
              <w:gridCol w:w="140"/>
              <w:gridCol w:w="1657"/>
              <w:gridCol w:w="127"/>
              <w:gridCol w:w="222"/>
              <w:gridCol w:w="222"/>
            </w:tblGrid>
            <w:tr>
              <w:tc>
                <w:tcPr>
                  <w:tcW w:type="dxa" w:w="185"/>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b/>
                    </w:rPr>
                    <w:t>参数性质</w:t>
                  </w:r>
                </w:p>
              </w:tc>
              <w:tc>
                <w:tcPr>
                  <w:tcW w:type="dxa" w:w="140"/>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b/>
                    </w:rPr>
                    <w:t>序号</w:t>
                  </w:r>
                </w:p>
              </w:tc>
              <w:tc>
                <w:tcPr>
                  <w:tcW w:type="dxa" w:w="1657"/>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b/>
                    </w:rPr>
                    <w:t>技术参数与性能指标</w:t>
                  </w:r>
                </w:p>
              </w:tc>
              <w:tc>
                <w:tcPr>
                  <w:tcW w:type="dxa" w:w="127"/>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b/>
                    </w:rPr>
                    <w:t>单位</w:t>
                  </w:r>
                </w:p>
              </w:tc>
              <w:tc>
                <w:tcPr>
                  <w:tcW w:type="dxa" w:w="222"/>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b/>
                    </w:rPr>
                    <w:t>数量</w:t>
                  </w:r>
                </w:p>
              </w:tc>
              <w:tc>
                <w:tcPr>
                  <w:tcW w:type="dxa" w:w="222"/>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b/>
                    </w:rPr>
                    <w:t>所属行业</w:t>
                  </w:r>
                </w:p>
              </w:tc>
            </w:tr>
            <w:tr>
              <w:tc>
                <w:tcPr>
                  <w:tcW w:type="dxa" w:w="18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4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1</w:t>
                  </w:r>
                </w:p>
              </w:tc>
              <w:tc>
                <w:tcPr>
                  <w:tcW w:type="dxa" w:w="16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4"/>
                    </w:rPr>
                    <w:t>春秋作训服</w:t>
                  </w:r>
                  <w:r>
                    <w:rPr>
                      <w:rFonts w:ascii="仿宋_GB2312" w:hAnsi="仿宋_GB2312" w:cs="仿宋_GB2312" w:eastAsia="仿宋_GB2312"/>
                      <w:sz w:val="24"/>
                    </w:rPr>
                    <w:t>/勤务春秋执勤服（</w:t>
                  </w:r>
                  <w:r>
                    <w:rPr>
                      <w:rFonts w:ascii="仿宋_GB2312" w:hAnsi="仿宋_GB2312" w:cs="仿宋_GB2312" w:eastAsia="仿宋_GB2312"/>
                      <w:sz w:val="24"/>
                      <w:b/>
                    </w:rPr>
                    <w:t>核心产品</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面料：棉聚酯纬弹加厚斜纹布，藏蓝色。</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1、纤维含量：58%新疆棉，42%复合聚酯弹性纤维（棉≥52%）。单位面积质量：240g/㎡（±10）。</w:t>
                  </w:r>
                  <w:r>
                    <w:br/>
                  </w:r>
                  <w:r>
                    <w:rPr>
                      <w:rFonts w:ascii="仿宋_GB2312" w:hAnsi="仿宋_GB2312" w:cs="仿宋_GB2312" w:eastAsia="仿宋_GB2312"/>
                      <w:sz w:val="24"/>
                    </w:rPr>
                    <w:t>★</w:t>
                  </w:r>
                  <w:r>
                    <w:rPr>
                      <w:rFonts w:ascii="仿宋_GB2312" w:hAnsi="仿宋_GB2312" w:cs="仿宋_GB2312" w:eastAsia="仿宋_GB2312"/>
                      <w:sz w:val="24"/>
                    </w:rPr>
                    <w:t>2、线密度/dtex:经纱：棉37tex，纬纱：复合聚酯弹性长丝 330dtex/144F。</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3、耐光色牢度≥5</w:t>
                  </w:r>
                  <w:r>
                    <w:br/>
                  </w:r>
                  <w:r>
                    <w:rPr>
                      <w:rFonts w:ascii="仿宋_GB2312" w:hAnsi="仿宋_GB2312" w:cs="仿宋_GB2312" w:eastAsia="仿宋_GB2312"/>
                      <w:sz w:val="24"/>
                    </w:rPr>
                    <w:t>★</w:t>
                  </w:r>
                  <w:r>
                    <w:rPr>
                      <w:rFonts w:ascii="仿宋_GB2312" w:hAnsi="仿宋_GB2312" w:cs="仿宋_GB2312" w:eastAsia="仿宋_GB2312"/>
                      <w:sz w:val="24"/>
                    </w:rPr>
                    <w:t>4、耐皂洗色牢度:变色≥4 沾色≥3-4</w:t>
                  </w:r>
                  <w:r>
                    <w:br/>
                  </w:r>
                  <w:r>
                    <w:rPr>
                      <w:rFonts w:ascii="仿宋_GB2312" w:hAnsi="仿宋_GB2312" w:cs="仿宋_GB2312" w:eastAsia="仿宋_GB2312"/>
                      <w:sz w:val="24"/>
                    </w:rPr>
                    <w:t>★</w:t>
                  </w:r>
                  <w:r>
                    <w:rPr>
                      <w:rFonts w:ascii="仿宋_GB2312" w:hAnsi="仿宋_GB2312" w:cs="仿宋_GB2312" w:eastAsia="仿宋_GB2312"/>
                      <w:sz w:val="24"/>
                    </w:rPr>
                    <w:t>5、耐摩擦色牢度:干摩≥3-4 湿摩≥3</w:t>
                  </w:r>
                  <w:r>
                    <w:br/>
                  </w:r>
                  <w:r>
                    <w:rPr>
                      <w:rFonts w:ascii="仿宋_GB2312" w:hAnsi="仿宋_GB2312" w:cs="仿宋_GB2312" w:eastAsia="仿宋_GB2312"/>
                      <w:sz w:val="24"/>
                    </w:rPr>
                    <w:t>★</w:t>
                  </w:r>
                  <w:r>
                    <w:rPr>
                      <w:rFonts w:ascii="仿宋_GB2312" w:hAnsi="仿宋_GB2312" w:cs="仿宋_GB2312" w:eastAsia="仿宋_GB2312"/>
                      <w:sz w:val="24"/>
                    </w:rPr>
                    <w:t>6、耐热压色牢度:干压变色≥4 潮压沾色≥3-4</w:t>
                  </w:r>
                  <w:r>
                    <w:br/>
                  </w:r>
                  <w:r>
                    <w:rPr>
                      <w:rFonts w:ascii="仿宋_GB2312" w:hAnsi="仿宋_GB2312" w:cs="仿宋_GB2312" w:eastAsia="仿宋_GB2312"/>
                      <w:sz w:val="24"/>
                    </w:rPr>
                    <w:t>★</w:t>
                  </w:r>
                  <w:r>
                    <w:rPr>
                      <w:rFonts w:ascii="仿宋_GB2312" w:hAnsi="仿宋_GB2312" w:cs="仿宋_GB2312" w:eastAsia="仿宋_GB2312"/>
                      <w:sz w:val="24"/>
                    </w:rPr>
                    <w:t>7、耐刷洗色牢度:变色≥3</w:t>
                  </w:r>
                  <w:r>
                    <w:br/>
                  </w:r>
                  <w:r>
                    <w:rPr>
                      <w:rFonts w:ascii="仿宋_GB2312" w:hAnsi="仿宋_GB2312" w:cs="仿宋_GB2312" w:eastAsia="仿宋_GB2312"/>
                      <w:sz w:val="24"/>
                    </w:rPr>
                    <w:t>★</w:t>
                  </w:r>
                  <w:r>
                    <w:rPr>
                      <w:rFonts w:ascii="仿宋_GB2312" w:hAnsi="仿宋_GB2312" w:cs="仿宋_GB2312" w:eastAsia="仿宋_GB2312"/>
                      <w:sz w:val="24"/>
                    </w:rPr>
                    <w:t>8、耐光、汗复合色牢度≥4</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9、耐汗渍色牢度:变色≥4 沾色≥4-5</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10、耐水色牢度：变色&gt;4.级沾色&gt;4 级。</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11、起毛起球≥4</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12、密度/(根/10cm),经向 340±20,纬向 240±20</w:t>
                  </w:r>
                  <w:r>
                    <w:br/>
                  </w:r>
                  <w:r>
                    <w:rPr>
                      <w:rFonts w:ascii="仿宋_GB2312" w:hAnsi="仿宋_GB2312" w:cs="仿宋_GB2312" w:eastAsia="仿宋_GB2312"/>
                      <w:sz w:val="24"/>
                    </w:rPr>
                    <w:t>★</w:t>
                  </w:r>
                  <w:r>
                    <w:rPr>
                      <w:rFonts w:ascii="仿宋_GB2312" w:hAnsi="仿宋_GB2312" w:cs="仿宋_GB2312" w:eastAsia="仿宋_GB2312"/>
                      <w:sz w:val="24"/>
                    </w:rPr>
                    <w:t>13、断裂强力/N,经向≥750,纬向≥650</w:t>
                  </w:r>
                  <w:r>
                    <w:br/>
                  </w:r>
                  <w:r>
                    <w:rPr>
                      <w:rFonts w:ascii="仿宋_GB2312" w:hAnsi="仿宋_GB2312" w:cs="仿宋_GB2312" w:eastAsia="仿宋_GB2312"/>
                      <w:sz w:val="24"/>
                    </w:rPr>
                    <w:t>★</w:t>
                  </w:r>
                  <w:r>
                    <w:rPr>
                      <w:rFonts w:ascii="仿宋_GB2312" w:hAnsi="仿宋_GB2312" w:cs="仿宋_GB2312" w:eastAsia="仿宋_GB2312"/>
                      <w:sz w:val="24"/>
                    </w:rPr>
                    <w:t>14、撕破强力/N 经向≥20,纬向≥40</w:t>
                  </w:r>
                  <w:r>
                    <w:br/>
                  </w:r>
                  <w:r>
                    <w:rPr>
                      <w:rFonts w:ascii="仿宋_GB2312" w:hAnsi="仿宋_GB2312" w:cs="仿宋_GB2312" w:eastAsia="仿宋_GB2312"/>
                      <w:sz w:val="24"/>
                    </w:rPr>
                    <w:t>★</w:t>
                  </w:r>
                  <w:r>
                    <w:rPr>
                      <w:rFonts w:ascii="仿宋_GB2312" w:hAnsi="仿宋_GB2312" w:cs="仿宋_GB2312" w:eastAsia="仿宋_GB2312"/>
                      <w:sz w:val="24"/>
                    </w:rPr>
                    <w:t>15、水洗尺寸变化率/%：经向-2.0~+1.0,纬向-2.0~+1.0。</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16、干热尺寸变化率/%：经向-2.0~+1.0,纬向-2.0~+1.0。</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17、缝子纰裂程度：成品缝子纰裂程度：小于等于0.6cm。</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18、总折痕回复角/（度）：≥200</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19、弯曲长度/cm：经向2.5±0.5，纬向1.7±0.5</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20、定力伸长率/%：纬向≥10</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21、定力弹性回复率/%：纬向≥85</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22、pH值 4、0~8、5</w:t>
                  </w:r>
                  <w:r>
                    <w:br/>
                  </w:r>
                  <w:r>
                    <w:rPr>
                      <w:rFonts w:ascii="仿宋_GB2312" w:hAnsi="仿宋_GB2312" w:cs="仿宋_GB2312" w:eastAsia="仿宋_GB2312"/>
                      <w:sz w:val="24"/>
                    </w:rPr>
                    <w:t>★</w:t>
                  </w:r>
                  <w:r>
                    <w:rPr>
                      <w:rFonts w:ascii="仿宋_GB2312" w:hAnsi="仿宋_GB2312" w:cs="仿宋_GB2312" w:eastAsia="仿宋_GB2312"/>
                      <w:sz w:val="24"/>
                    </w:rPr>
                    <w:t xml:space="preserve">23、甲醛含量：≤ 75mg/kg。                                     </w:t>
                  </w:r>
                  <w:r>
                    <w:br/>
                  </w:r>
                  <w:r>
                    <w:rPr>
                      <w:rFonts w:ascii="仿宋_GB2312" w:hAnsi="仿宋_GB2312" w:cs="仿宋_GB2312" w:eastAsia="仿宋_GB2312"/>
                      <w:sz w:val="24"/>
                    </w:rPr>
                    <w:t>★</w:t>
                  </w:r>
                  <w:r>
                    <w:rPr>
                      <w:rFonts w:ascii="仿宋_GB2312" w:hAnsi="仿宋_GB2312" w:cs="仿宋_GB2312" w:eastAsia="仿宋_GB2312"/>
                      <w:sz w:val="24"/>
                    </w:rPr>
                    <w:t>24、可分解致癌芳香胺染料(mg/kg)≤20mg/kg。</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25.提供样品（技术参数与性能指标中标记</w:t>
                  </w:r>
                  <w:r>
                    <w:rPr>
                      <w:rFonts w:ascii="仿宋_GB2312" w:hAnsi="仿宋_GB2312" w:cs="仿宋_GB2312" w:eastAsia="仿宋_GB2312"/>
                      <w:sz w:val="24"/>
                    </w:rPr>
                    <w:t>★</w:t>
                  </w:r>
                  <w:r>
                    <w:rPr>
                      <w:rFonts w:ascii="仿宋_GB2312" w:hAnsi="仿宋_GB2312" w:cs="仿宋_GB2312" w:eastAsia="仿宋_GB2312"/>
                      <w:sz w:val="24"/>
                    </w:rPr>
                    <w:t>的</w:t>
                  </w:r>
                  <w:r>
                    <w:rPr>
                      <w:rFonts w:ascii="仿宋_GB2312" w:hAnsi="仿宋_GB2312" w:cs="仿宋_GB2312" w:eastAsia="仿宋_GB2312"/>
                      <w:sz w:val="24"/>
                    </w:rPr>
                    <w:t>参数要求提供样品，根据供应商提供的样品进行评审，</w:t>
                  </w:r>
                  <w:r>
                    <w:rPr>
                      <w:rFonts w:ascii="仿宋_GB2312" w:hAnsi="仿宋_GB2312" w:cs="仿宋_GB2312" w:eastAsia="仿宋_GB2312"/>
                      <w:sz w:val="24"/>
                    </w:rPr>
                    <w:t>★</w:t>
                  </w:r>
                  <w:r>
                    <w:rPr>
                      <w:rFonts w:ascii="仿宋_GB2312" w:hAnsi="仿宋_GB2312" w:cs="仿宋_GB2312" w:eastAsia="仿宋_GB2312"/>
                      <w:sz w:val="24"/>
                    </w:rPr>
                    <w:t>项参数要求提供检测报告复印件或扫描件加盖供应商公章作为佐证，未提供样品或不符合要求按无效投标处理</w:t>
                  </w:r>
                  <w:r>
                    <w:rPr>
                      <w:rFonts w:ascii="仿宋_GB2312" w:hAnsi="仿宋_GB2312" w:cs="仿宋_GB2312" w:eastAsia="仿宋_GB2312"/>
                      <w:sz w:val="24"/>
                    </w:rPr>
                    <w:t>）</w:t>
                  </w:r>
                </w:p>
              </w:tc>
              <w:tc>
                <w:tcPr>
                  <w:tcW w:type="dxa" w:w="1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4"/>
                    </w:rPr>
                    <w:t>套</w:t>
                  </w:r>
                </w:p>
              </w:tc>
              <w:tc>
                <w:tcPr>
                  <w:tcW w:type="dxa" w:w="2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4"/>
                    </w:rPr>
                    <w:t>1243</w:t>
                  </w:r>
                </w:p>
              </w:tc>
              <w:tc>
                <w:tcPr>
                  <w:tcW w:type="dxa" w:w="2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4"/>
                    </w:rPr>
                    <w:t>工业</w:t>
                  </w:r>
                </w:p>
              </w:tc>
            </w:tr>
            <w:tr>
              <w:tc>
                <w:tcPr>
                  <w:tcW w:type="dxa" w:w="18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4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2</w:t>
                  </w:r>
                </w:p>
              </w:tc>
              <w:tc>
                <w:tcPr>
                  <w:tcW w:type="dxa" w:w="16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4"/>
                    </w:rPr>
                    <w:t>冬执勤服</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面料：棉涤纬弹加厚斜纹布，藏蓝色</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1、纤维含量：58%新疆棉，42%复合聚酯弹性纤维（棉≥52%）。单位面积质量：240g/㎡（±10）。</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2、线密度/dtex:经纱：棉37tex，纬纱：复合聚酯弹性长丝 330dtex/144F。</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3、辅料：春亚纺涂层面料 藏蓝色，100%聚酯纤维，单位面积</w:t>
                  </w:r>
                  <w:r>
                    <w:rPr>
                      <w:rFonts w:ascii="仿宋_GB2312" w:hAnsi="仿宋_GB2312" w:cs="仿宋_GB2312" w:eastAsia="仿宋_GB2312"/>
                      <w:sz w:val="24"/>
                    </w:rPr>
                    <w:t>质量：</w:t>
                  </w:r>
                  <w:r>
                    <w:rPr>
                      <w:rFonts w:ascii="仿宋_GB2312" w:hAnsi="仿宋_GB2312" w:cs="仿宋_GB2312" w:eastAsia="仿宋_GB2312"/>
                      <w:sz w:val="24"/>
                    </w:rPr>
                    <w:t>70g/㎡</w:t>
                  </w:r>
                  <w:r>
                    <w:rPr>
                      <w:rFonts w:ascii="仿宋_GB2312" w:hAnsi="仿宋_GB2312" w:cs="仿宋_GB2312" w:eastAsia="仿宋_GB2312"/>
                      <w:sz w:val="24"/>
                    </w:rPr>
                    <w:t>。涤棉平布，藏蓝色，涤</w:t>
                  </w:r>
                  <w:r>
                    <w:rPr>
                      <w:rFonts w:ascii="仿宋_GB2312" w:hAnsi="仿宋_GB2312" w:cs="仿宋_GB2312" w:eastAsia="仿宋_GB2312"/>
                      <w:sz w:val="24"/>
                    </w:rPr>
                    <w:t>80%棉20%，13tex/13tex。</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4、内胆填充物：超细纤维絮片，内胆温区大身、袖子、领面120g/㎡，内胆寒区大身、袖子、领面150g/㎡。</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5、耐光色牢度≥5</w:t>
                  </w:r>
                  <w:r>
                    <w:br/>
                  </w:r>
                  <w:r>
                    <w:rPr>
                      <w:rFonts w:ascii="仿宋_GB2312" w:hAnsi="仿宋_GB2312" w:cs="仿宋_GB2312" w:eastAsia="仿宋_GB2312"/>
                      <w:sz w:val="24"/>
                    </w:rPr>
                    <w:t>★</w:t>
                  </w:r>
                  <w:r>
                    <w:rPr>
                      <w:rFonts w:ascii="仿宋_GB2312" w:hAnsi="仿宋_GB2312" w:cs="仿宋_GB2312" w:eastAsia="仿宋_GB2312"/>
                      <w:sz w:val="24"/>
                    </w:rPr>
                    <w:t>6、耐皂洗色牢度:变色≥4 沾色≥3-4</w:t>
                  </w:r>
                  <w:r>
                    <w:br/>
                  </w:r>
                  <w:r>
                    <w:rPr>
                      <w:rFonts w:ascii="仿宋_GB2312" w:hAnsi="仿宋_GB2312" w:cs="仿宋_GB2312" w:eastAsia="仿宋_GB2312"/>
                      <w:sz w:val="24"/>
                    </w:rPr>
                    <w:t>★</w:t>
                  </w:r>
                  <w:r>
                    <w:rPr>
                      <w:rFonts w:ascii="仿宋_GB2312" w:hAnsi="仿宋_GB2312" w:cs="仿宋_GB2312" w:eastAsia="仿宋_GB2312"/>
                      <w:sz w:val="24"/>
                    </w:rPr>
                    <w:t>7、耐摩擦色牢度:干摩≥3-4 湿摩≥3</w:t>
                  </w:r>
                  <w:r>
                    <w:br/>
                  </w:r>
                  <w:r>
                    <w:rPr>
                      <w:rFonts w:ascii="仿宋_GB2312" w:hAnsi="仿宋_GB2312" w:cs="仿宋_GB2312" w:eastAsia="仿宋_GB2312"/>
                      <w:sz w:val="24"/>
                    </w:rPr>
                    <w:t>★</w:t>
                  </w:r>
                  <w:r>
                    <w:rPr>
                      <w:rFonts w:ascii="仿宋_GB2312" w:hAnsi="仿宋_GB2312" w:cs="仿宋_GB2312" w:eastAsia="仿宋_GB2312"/>
                      <w:sz w:val="24"/>
                    </w:rPr>
                    <w:t>8、耐热压色牢度:干压变色≥4 潮压沾色≥3-4</w:t>
                  </w:r>
                  <w:r>
                    <w:br/>
                  </w:r>
                  <w:r>
                    <w:rPr>
                      <w:rFonts w:ascii="仿宋_GB2312" w:hAnsi="仿宋_GB2312" w:cs="仿宋_GB2312" w:eastAsia="仿宋_GB2312"/>
                      <w:sz w:val="24"/>
                    </w:rPr>
                    <w:t>★</w:t>
                  </w:r>
                  <w:r>
                    <w:rPr>
                      <w:rFonts w:ascii="仿宋_GB2312" w:hAnsi="仿宋_GB2312" w:cs="仿宋_GB2312" w:eastAsia="仿宋_GB2312"/>
                      <w:sz w:val="24"/>
                    </w:rPr>
                    <w:t>9、耐刷洗色牢度:变色≥3</w:t>
                  </w:r>
                  <w:r>
                    <w:br/>
                  </w:r>
                  <w:r>
                    <w:rPr>
                      <w:rFonts w:ascii="仿宋_GB2312" w:hAnsi="仿宋_GB2312" w:cs="仿宋_GB2312" w:eastAsia="仿宋_GB2312"/>
                      <w:sz w:val="24"/>
                    </w:rPr>
                    <w:t>★</w:t>
                  </w:r>
                  <w:r>
                    <w:rPr>
                      <w:rFonts w:ascii="仿宋_GB2312" w:hAnsi="仿宋_GB2312" w:cs="仿宋_GB2312" w:eastAsia="仿宋_GB2312"/>
                      <w:sz w:val="24"/>
                    </w:rPr>
                    <w:t>10、耐光、汗复合色牢度≥4</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11、耐汗渍色牢度:变色≥4 沾色≥4-5</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12、耐水色牢度：变色&gt;4.级沾色&gt;4 级。</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13、起毛起球≥4</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14、密度/(根/10cm),经向 340±20,纬向 240±20</w:t>
                  </w:r>
                  <w:r>
                    <w:br/>
                  </w:r>
                  <w:r>
                    <w:rPr>
                      <w:rFonts w:ascii="仿宋_GB2312" w:hAnsi="仿宋_GB2312" w:cs="仿宋_GB2312" w:eastAsia="仿宋_GB2312"/>
                      <w:sz w:val="24"/>
                    </w:rPr>
                    <w:t>★</w:t>
                  </w:r>
                  <w:r>
                    <w:rPr>
                      <w:rFonts w:ascii="仿宋_GB2312" w:hAnsi="仿宋_GB2312" w:cs="仿宋_GB2312" w:eastAsia="仿宋_GB2312"/>
                      <w:sz w:val="24"/>
                    </w:rPr>
                    <w:t>15、断裂强力/N,经向≥750,纬向≥650</w:t>
                  </w:r>
                  <w:r>
                    <w:br/>
                  </w:r>
                  <w:r>
                    <w:rPr>
                      <w:rFonts w:ascii="仿宋_GB2312" w:hAnsi="仿宋_GB2312" w:cs="仿宋_GB2312" w:eastAsia="仿宋_GB2312"/>
                      <w:sz w:val="24"/>
                    </w:rPr>
                    <w:t>★</w:t>
                  </w:r>
                  <w:r>
                    <w:rPr>
                      <w:rFonts w:ascii="仿宋_GB2312" w:hAnsi="仿宋_GB2312" w:cs="仿宋_GB2312" w:eastAsia="仿宋_GB2312"/>
                      <w:sz w:val="24"/>
                    </w:rPr>
                    <w:t>16、撕破强力/N 经向≥20,纬向≥40</w:t>
                  </w:r>
                  <w:r>
                    <w:br/>
                  </w:r>
                  <w:r>
                    <w:rPr>
                      <w:rFonts w:ascii="仿宋_GB2312" w:hAnsi="仿宋_GB2312" w:cs="仿宋_GB2312" w:eastAsia="仿宋_GB2312"/>
                      <w:sz w:val="24"/>
                    </w:rPr>
                    <w:t>★</w:t>
                  </w:r>
                  <w:r>
                    <w:rPr>
                      <w:rFonts w:ascii="仿宋_GB2312" w:hAnsi="仿宋_GB2312" w:cs="仿宋_GB2312" w:eastAsia="仿宋_GB2312"/>
                      <w:sz w:val="24"/>
                    </w:rPr>
                    <w:t>17、水洗尺寸变化率 /% , 经向-2.0~+1.0,纬向-2.0~+1.0。</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18、干热尺寸变化率/%：经向-2.0~+1.0,纬向-2.0~+1.0。</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19、缝子纰裂程度：成品缝子纰裂程度：小于等于0.6cm。</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20、总折痕回复角/（度）：≥200</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21、弯曲长度/cm：经向2.5±0.5，纬向1.7±0.5</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22、定力伸长率/%：纬向≥10</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23、定力弹性回复率/%：纬向≥85</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24、pH值 4、0~8、5</w:t>
                  </w:r>
                  <w:r>
                    <w:br/>
                  </w:r>
                  <w:r>
                    <w:rPr>
                      <w:rFonts w:ascii="仿宋_GB2312" w:hAnsi="仿宋_GB2312" w:cs="仿宋_GB2312" w:eastAsia="仿宋_GB2312"/>
                      <w:sz w:val="24"/>
                    </w:rPr>
                    <w:t>★</w:t>
                  </w:r>
                  <w:r>
                    <w:rPr>
                      <w:rFonts w:ascii="仿宋_GB2312" w:hAnsi="仿宋_GB2312" w:cs="仿宋_GB2312" w:eastAsia="仿宋_GB2312"/>
                      <w:sz w:val="24"/>
                    </w:rPr>
                    <w:t>25、甲醛含量：≤ 75mg/kg。</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26、可分解致癌芳香胺染料(mg/kg)≤20mg/kg。</w:t>
                  </w:r>
                </w:p>
                <w:p>
                  <w:pPr>
                    <w:pStyle w:val="null3"/>
                    <w:spacing w:after="120"/>
                    <w:jc w:val="both"/>
                  </w:pPr>
                  <w:r>
                    <w:rPr>
                      <w:rFonts w:ascii="仿宋_GB2312" w:hAnsi="仿宋_GB2312" w:cs="仿宋_GB2312" w:eastAsia="仿宋_GB2312"/>
                      <w:sz w:val="24"/>
                    </w:rPr>
                    <w:t>★</w:t>
                  </w:r>
                  <w:r>
                    <w:rPr>
                      <w:rFonts w:ascii="仿宋_GB2312" w:hAnsi="仿宋_GB2312" w:cs="仿宋_GB2312" w:eastAsia="仿宋_GB2312"/>
                      <w:sz w:val="24"/>
                    </w:rPr>
                    <w:t>27、内胆可拆卸。</w:t>
                  </w:r>
                </w:p>
                <w:p>
                  <w:pPr>
                    <w:pStyle w:val="null3"/>
                    <w:spacing w:after="120"/>
                    <w:jc w:val="both"/>
                  </w:pPr>
                  <w:r>
                    <w:rPr>
                      <w:rFonts w:ascii="仿宋_GB2312" w:hAnsi="仿宋_GB2312" w:cs="仿宋_GB2312" w:eastAsia="仿宋_GB2312"/>
                      <w:sz w:val="24"/>
                    </w:rPr>
                    <w:t>★</w:t>
                  </w:r>
                  <w:r>
                    <w:rPr>
                      <w:rFonts w:ascii="仿宋_GB2312" w:hAnsi="仿宋_GB2312" w:cs="仿宋_GB2312" w:eastAsia="仿宋_GB2312"/>
                      <w:sz w:val="24"/>
                    </w:rPr>
                    <w:t>28、提供样品（技术参数与性能指标中标记</w:t>
                  </w:r>
                  <w:r>
                    <w:rPr>
                      <w:rFonts w:ascii="仿宋_GB2312" w:hAnsi="仿宋_GB2312" w:cs="仿宋_GB2312" w:eastAsia="仿宋_GB2312"/>
                      <w:sz w:val="24"/>
                    </w:rPr>
                    <w:t>★</w:t>
                  </w:r>
                  <w:r>
                    <w:rPr>
                      <w:rFonts w:ascii="仿宋_GB2312" w:hAnsi="仿宋_GB2312" w:cs="仿宋_GB2312" w:eastAsia="仿宋_GB2312"/>
                      <w:sz w:val="24"/>
                    </w:rPr>
                    <w:t>的</w:t>
                  </w:r>
                  <w:r>
                    <w:rPr>
                      <w:rFonts w:ascii="仿宋_GB2312" w:hAnsi="仿宋_GB2312" w:cs="仿宋_GB2312" w:eastAsia="仿宋_GB2312"/>
                      <w:sz w:val="24"/>
                    </w:rPr>
                    <w:t>参数要求提供样品，根据供应商提供的样品进行评审，</w:t>
                  </w:r>
                  <w:r>
                    <w:rPr>
                      <w:rFonts w:ascii="仿宋_GB2312" w:hAnsi="仿宋_GB2312" w:cs="仿宋_GB2312" w:eastAsia="仿宋_GB2312"/>
                      <w:sz w:val="24"/>
                    </w:rPr>
                    <w:t>★</w:t>
                  </w:r>
                  <w:r>
                    <w:rPr>
                      <w:rFonts w:ascii="仿宋_GB2312" w:hAnsi="仿宋_GB2312" w:cs="仿宋_GB2312" w:eastAsia="仿宋_GB2312"/>
                      <w:sz w:val="24"/>
                    </w:rPr>
                    <w:t>项参数要求提供检测报告复印件或扫描件加盖供应商公章作为佐证，未提供样品或不符合要求按无效投标处理</w:t>
                  </w:r>
                  <w:r>
                    <w:rPr>
                      <w:rFonts w:ascii="仿宋_GB2312" w:hAnsi="仿宋_GB2312" w:cs="仿宋_GB2312" w:eastAsia="仿宋_GB2312"/>
                      <w:sz w:val="24"/>
                    </w:rPr>
                    <w:t>）</w:t>
                  </w:r>
                </w:p>
              </w:tc>
              <w:tc>
                <w:tcPr>
                  <w:tcW w:type="dxa" w:w="1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4"/>
                    </w:rPr>
                    <w:t>套</w:t>
                  </w:r>
                </w:p>
              </w:tc>
              <w:tc>
                <w:tcPr>
                  <w:tcW w:type="dxa" w:w="2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4"/>
                    </w:rPr>
                    <w:t>1243</w:t>
                  </w:r>
                </w:p>
              </w:tc>
              <w:tc>
                <w:tcPr>
                  <w:tcW w:type="dxa" w:w="2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4"/>
                    </w:rPr>
                    <w:t>工业</w:t>
                  </w:r>
                </w:p>
              </w:tc>
            </w:tr>
            <w:tr>
              <w:tc>
                <w:tcPr>
                  <w:tcW w:type="dxa" w:w="2553"/>
                  <w:gridSpan w:val="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pPr>
                  <w:r>
                    <w:rPr>
                      <w:rFonts w:ascii="仿宋_GB2312" w:hAnsi="仿宋_GB2312" w:cs="仿宋_GB2312" w:eastAsia="仿宋_GB2312"/>
                      <w:sz w:val="24"/>
                      <w:b/>
                    </w:rPr>
                    <w:t>注：</w:t>
                  </w:r>
                </w:p>
                <w:p>
                  <w:pPr>
                    <w:pStyle w:val="null3"/>
                  </w:pPr>
                  <w:r>
                    <w:rPr>
                      <w:rFonts w:ascii="仿宋_GB2312" w:hAnsi="仿宋_GB2312" w:cs="仿宋_GB2312" w:eastAsia="仿宋_GB2312"/>
                      <w:sz w:val="24"/>
                      <w:b/>
                    </w:rPr>
                    <w:t>1.供应商在填写中小企业声明函时，应对本章3.3技术要求中所属行业为工业的产品逐项声明，如有漏项或任意一项不满足要求，则不予认定。</w:t>
                  </w:r>
                </w:p>
                <w:p>
                  <w:pPr>
                    <w:pStyle w:val="null3"/>
                    <w:jc w:val="left"/>
                  </w:pPr>
                  <w:r>
                    <w:rPr>
                      <w:rFonts w:ascii="仿宋_GB2312" w:hAnsi="仿宋_GB2312" w:cs="仿宋_GB2312" w:eastAsia="仿宋_GB2312"/>
                      <w:sz w:val="21"/>
                      <w:b/>
                    </w:rPr>
                    <w:t>2.</w:t>
                  </w:r>
                  <w:r>
                    <w:rPr>
                      <w:rFonts w:ascii="仿宋_GB2312" w:hAnsi="仿宋_GB2312" w:cs="仿宋_GB2312" w:eastAsia="仿宋_GB2312"/>
                      <w:sz w:val="24"/>
                      <w:b/>
                    </w:rPr>
                    <w:t>带</w:t>
                  </w:r>
                  <w:r>
                    <w:rPr>
                      <w:rFonts w:ascii="仿宋_GB2312" w:hAnsi="仿宋_GB2312" w:cs="仿宋_GB2312" w:eastAsia="仿宋_GB2312"/>
                      <w:sz w:val="24"/>
                      <w:b/>
                    </w:rPr>
                    <w:t>“★”项的技术参数供应商除填写技术规格偏离表外还应按要求提供证明材料（例如：检测报告或产品说明书或官网介绍截图等证明材料）并加盖供应商公章，未提供相关证明材料或提供的证明材料不能证明其满足谈判文件要求视为无效响应。</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合同签订之日起15个工作日内交付所有货物。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进度款，辅警服装到达采购人指定地点履约验收合格后，按照合同支付货款。付款前，供应商应向采购人开具符合财务、税务规定的等额增值税发票，达到付款条件起30个工作日内，支付合同总金额的100.0%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详见合同文件</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详见合同文件</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3.5.1关于弃标的说明：按照《西安市财政局关于促进政府采购公平竞争优化营商环境的通知》（市财函〔2021〕431号）规定：供应商登记免费领取谈判文件的，如不参与项目谈判，应在提交谈判响应文件截止时间前一日以书面形式告知采购代理机构（出具弃标函发送至代理机构邮箱：sxzhxmgl001@163.com）。否则，采购代理机构可以向财政部门反映情况并提供相应的佐证。供应商一年内累计出现三次该情形，将被监管部门记录为失信行为。 3.5.2纸质版响应文件要求：成交供应商在领取成交通知书前，须向采购代理机构提供纸质版响应文件3套（1正2副），U盘2份（包括响应文件的全部内容）且提供的响应文件必须与在陕西省政府采购综合管理平台的项目电子化交易系统中提交的电子响应文件内容一致，纸质版响应文件必须装订成册签字盖章。 3.5.3本项目落实《国务院办公厅关于在政府采购中实施本国产品标准及相关政策的通知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②供应商对其提供的产品出具《关于符合本国产品标准的声明函》或财政部会同有关部门规定的有关证明文件的，该产品视为本国产品。供应商提供虚假《声明函》、虚假证明文件谋取中标、成交的，依照《中华人民共和国政府采购法》等法律法规规定追究相应责任。③供应商可同时享受支持中小企业发展政策以及对本国产品的支持政策。 3.5.4 样品密封邮寄，在密封包装内注明供应商名称。须在开标前邮寄至：陕西省西安市经开区凤城五路与明光路FED创新中心；收件人：张迪；电话：17782477998（逾期拒收，到付拒收） 项目发布中标（成交）结果公告后5个工作日内，供应商联系项目负责人退回样品。（中标（成交）供应商的样品将封存做为供货后验收用，暂时不予退回。）</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财务状况报告：（1）提供2024或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 3.提供具有履行合同所必需的设备和专业技术能力的承诺； 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 5.提供响应文件提交截止时间前一年内已缴存的至少一个月的社会保障资金缴存单据或社保机构开具的社会保险参保缴费情况证明，依法不需要缴纳社会保障资金的供应商应提供相应证明文件；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要求同供应商应具备《中华人民共和国政府采购法》第二十二条规定的条件第2条。</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谈判的，须出具法定代表人身份证明。法定代表人委托代理人参加谈判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谈判方案 中小企业声明函 保密承诺书 报价表 技术和商务偏离表 响应文件封面 资格证明文件 谈判分项报价表 残疾人福利性单位声明函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符合谈判文件签署盖章要求</w:t>
            </w:r>
          </w:p>
        </w:tc>
        <w:tc>
          <w:tcPr>
            <w:tcW w:type="dxa" w:w="1661"/>
          </w:tcPr>
          <w:p>
            <w:pPr>
              <w:pStyle w:val="null3"/>
            </w:pPr>
            <w:r>
              <w:rPr>
                <w:rFonts w:ascii="仿宋_GB2312" w:hAnsi="仿宋_GB2312" w:cs="仿宋_GB2312" w:eastAsia="仿宋_GB2312"/>
              </w:rPr>
              <w:t>谈判方案 中小企业声明函 保密承诺书 报价表 技术和商务偏离表 响应文件封面 资格证明文件 谈判分项报价表 残疾人福利性单位声明函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标的清单 报价表 技术和商务偏离表 合同条款响应</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1.谈判报价唯一； 2.报价货币符合谈判文件要求； 3.未超出采购预算或谈判文件规定的最高限价</w:t>
            </w:r>
          </w:p>
        </w:tc>
        <w:tc>
          <w:tcPr>
            <w:tcW w:type="dxa" w:w="1661"/>
          </w:tcPr>
          <w:p>
            <w:pPr>
              <w:pStyle w:val="null3"/>
            </w:pPr>
            <w:r>
              <w:rPr>
                <w:rFonts w:ascii="仿宋_GB2312" w:hAnsi="仿宋_GB2312" w:cs="仿宋_GB2312" w:eastAsia="仿宋_GB2312"/>
              </w:rPr>
              <w:t>谈判分项报价表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响应谈判文件合同条款未出现负偏离且响应的内容中未附有采购人不能接受的附加条件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保密承诺书</w:t>
            </w:r>
          </w:p>
        </w:tc>
        <w:tc>
          <w:tcPr>
            <w:tcW w:type="dxa" w:w="3322"/>
          </w:tcPr>
          <w:p>
            <w:pPr>
              <w:pStyle w:val="null3"/>
            </w:pPr>
            <w:r>
              <w:rPr>
                <w:rFonts w:ascii="仿宋_GB2312" w:hAnsi="仿宋_GB2312" w:cs="仿宋_GB2312" w:eastAsia="仿宋_GB2312"/>
              </w:rPr>
              <w:t>供应商需要提交保密承诺书（格式后附）</w:t>
            </w:r>
          </w:p>
        </w:tc>
        <w:tc>
          <w:tcPr>
            <w:tcW w:type="dxa" w:w="1661"/>
          </w:tcPr>
          <w:p>
            <w:pPr>
              <w:pStyle w:val="null3"/>
            </w:pPr>
            <w:r>
              <w:rPr>
                <w:rFonts w:ascii="仿宋_GB2312" w:hAnsi="仿宋_GB2312" w:cs="仿宋_GB2312" w:eastAsia="仿宋_GB2312"/>
              </w:rPr>
              <w:t>保密承诺书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无谈判文件中规定的无效情形</w:t>
            </w:r>
          </w:p>
        </w:tc>
        <w:tc>
          <w:tcPr>
            <w:tcW w:type="dxa" w:w="1661"/>
          </w:tcPr>
          <w:p>
            <w:pPr>
              <w:pStyle w:val="null3"/>
            </w:pPr>
            <w:r>
              <w:rPr>
                <w:rFonts w:ascii="仿宋_GB2312" w:hAnsi="仿宋_GB2312" w:cs="仿宋_GB2312" w:eastAsia="仿宋_GB2312"/>
              </w:rPr>
              <w:t>谈判方案 中小企业声明函 保密承诺书 报价表 技术和商务偏离表 响应文件封面 资格证明文件 谈判分项报价表 残疾人福利性单位声明函 标的清单 陕西省政府采购供应商拒绝政府采购领域商业贿赂承诺书 响应函 合同条款响应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详见附件：保密承诺书</w:t>
      </w:r>
    </w:p>
    <w:p>
      <w:pPr>
        <w:pStyle w:val="null3"/>
        <w:ind w:firstLine="960"/>
      </w:pPr>
      <w:r>
        <w:rPr>
          <w:rFonts w:ascii="仿宋_GB2312" w:hAnsi="仿宋_GB2312" w:cs="仿宋_GB2312" w:eastAsia="仿宋_GB2312"/>
        </w:rPr>
        <w:t>详见附件：合同条款响应</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详见附件：谈判分项报价表</w:t>
      </w:r>
    </w:p>
    <w:p>
      <w:pPr>
        <w:pStyle w:val="null3"/>
        <w:ind w:firstLine="960"/>
      </w:pPr>
      <w:r>
        <w:rPr>
          <w:rFonts w:ascii="仿宋_GB2312" w:hAnsi="仿宋_GB2312" w:cs="仿宋_GB2312" w:eastAsia="仿宋_GB2312"/>
        </w:rPr>
        <w:t>详见附件：谈判方案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