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85A81">
      <w:pPr>
        <w:pStyle w:val="11"/>
        <w:jc w:val="center"/>
        <w:outlineLvl w:val="1"/>
        <w:rPr>
          <w:rFonts w:hint="eastAsia" w:ascii="仿宋" w:hAnsi="仿宋" w:eastAsia="仿宋" w:cs="仿宋"/>
          <w:color w:val="auto"/>
        </w:rPr>
      </w:pPr>
      <w:r>
        <w:rPr>
          <w:rFonts w:hint="eastAsia" w:ascii="仿宋" w:hAnsi="仿宋" w:eastAsia="仿宋" w:cs="仿宋"/>
          <w:b/>
          <w:color w:val="auto"/>
          <w:sz w:val="36"/>
        </w:rPr>
        <w:t>拟签订采购合同文本</w:t>
      </w:r>
    </w:p>
    <w:p w14:paraId="65BE2668">
      <w:pPr>
        <w:pStyle w:val="11"/>
        <w:rPr>
          <w:rFonts w:hint="eastAsia" w:ascii="仿宋" w:hAnsi="仿宋" w:eastAsia="仿宋" w:cs="仿宋"/>
          <w:color w:val="auto"/>
        </w:rPr>
      </w:pPr>
    </w:p>
    <w:p w14:paraId="00BD918B">
      <w:pPr>
        <w:pStyle w:val="11"/>
        <w:rPr>
          <w:rFonts w:hint="eastAsia" w:ascii="仿宋" w:hAnsi="仿宋" w:eastAsia="仿宋" w:cs="仿宋"/>
          <w:color w:val="auto"/>
        </w:rPr>
      </w:pPr>
      <w:r>
        <w:rPr>
          <w:rFonts w:hint="eastAsia" w:ascii="仿宋" w:hAnsi="仿宋" w:eastAsia="仿宋" w:cs="仿宋"/>
          <w:color w:val="auto"/>
        </w:rPr>
        <w:t xml:space="preserve"> </w:t>
      </w:r>
    </w:p>
    <w:p w14:paraId="37091CB3">
      <w:pPr>
        <w:spacing w:line="360" w:lineRule="auto"/>
        <w:rPr>
          <w:rFonts w:ascii="仿宋" w:hAnsi="仿宋" w:eastAsia="仿宋" w:cs="仿宋"/>
          <w:b/>
          <w:bCs/>
          <w:color w:val="auto"/>
          <w:sz w:val="28"/>
          <w:szCs w:val="28"/>
        </w:rPr>
      </w:pPr>
      <w:r>
        <w:rPr>
          <w:rFonts w:hint="eastAsia" w:ascii="仿宋" w:hAnsi="仿宋" w:eastAsia="仿宋" w:cs="仿宋"/>
          <w:b/>
          <w:bCs/>
          <w:color w:val="auto"/>
          <w:sz w:val="28"/>
          <w:szCs w:val="28"/>
        </w:rPr>
        <w:t>合同编号:</w:t>
      </w:r>
    </w:p>
    <w:p w14:paraId="6CF76EF3">
      <w:pPr>
        <w:pStyle w:val="7"/>
        <w:ind w:firstLine="210"/>
        <w:rPr>
          <w:rFonts w:ascii="仿宋" w:hAnsi="仿宋" w:eastAsia="仿宋" w:cs="仿宋"/>
          <w:color w:val="auto"/>
        </w:rPr>
      </w:pPr>
    </w:p>
    <w:p w14:paraId="14B20820">
      <w:pPr>
        <w:rPr>
          <w:rFonts w:ascii="仿宋" w:hAnsi="仿宋" w:eastAsia="仿宋" w:cs="仿宋"/>
          <w:color w:val="auto"/>
          <w:sz w:val="28"/>
          <w:szCs w:val="28"/>
        </w:rPr>
      </w:pPr>
    </w:p>
    <w:p w14:paraId="44A1C714">
      <w:pPr>
        <w:pStyle w:val="2"/>
        <w:rPr>
          <w:color w:val="auto"/>
        </w:rPr>
      </w:pPr>
    </w:p>
    <w:p w14:paraId="07DF7C5C">
      <w:pPr>
        <w:pStyle w:val="4"/>
        <w:jc w:val="center"/>
        <w:rPr>
          <w:rFonts w:hint="eastAsia" w:ascii="仿宋" w:hAnsi="仿宋" w:eastAsia="仿宋" w:cs="仿宋"/>
          <w:b/>
          <w:color w:val="auto"/>
          <w:kern w:val="0"/>
          <w:sz w:val="32"/>
          <w:szCs w:val="32"/>
          <w:lang w:eastAsia="zh-CN"/>
        </w:rPr>
      </w:pPr>
      <w:r>
        <w:rPr>
          <w:rFonts w:hint="eastAsia" w:ascii="仿宋" w:hAnsi="仿宋" w:eastAsia="仿宋" w:cs="仿宋"/>
          <w:b/>
          <w:color w:val="auto"/>
          <w:kern w:val="0"/>
          <w:sz w:val="32"/>
          <w:szCs w:val="32"/>
          <w:lang w:val="en-US" w:eastAsia="zh-CN"/>
        </w:rPr>
        <w:t>购置辅警春秋执勤服</w:t>
      </w:r>
    </w:p>
    <w:p w14:paraId="6F51ADBE">
      <w:pPr>
        <w:pStyle w:val="4"/>
        <w:jc w:val="center"/>
        <w:rPr>
          <w:rFonts w:ascii="仿宋" w:hAnsi="仿宋" w:eastAsia="仿宋" w:cs="仿宋"/>
          <w:b/>
          <w:color w:val="auto"/>
          <w:kern w:val="0"/>
          <w:sz w:val="28"/>
          <w:szCs w:val="28"/>
        </w:rPr>
      </w:pPr>
    </w:p>
    <w:p w14:paraId="1208EF36">
      <w:pPr>
        <w:rPr>
          <w:rFonts w:ascii="仿宋" w:hAnsi="仿宋" w:eastAsia="仿宋" w:cs="仿宋"/>
          <w:color w:val="auto"/>
        </w:rPr>
      </w:pPr>
    </w:p>
    <w:p w14:paraId="1EF63368">
      <w:pPr>
        <w:pStyle w:val="4"/>
        <w:jc w:val="center"/>
        <w:rPr>
          <w:rFonts w:ascii="仿宋" w:hAnsi="仿宋" w:eastAsia="仿宋" w:cs="仿宋"/>
          <w:b/>
          <w:color w:val="auto"/>
          <w:kern w:val="0"/>
          <w:sz w:val="44"/>
          <w:szCs w:val="44"/>
        </w:rPr>
      </w:pPr>
    </w:p>
    <w:p w14:paraId="3FBE60B8">
      <w:pPr>
        <w:pStyle w:val="4"/>
        <w:jc w:val="center"/>
        <w:rPr>
          <w:rFonts w:ascii="仿宋" w:hAnsi="仿宋" w:eastAsia="仿宋" w:cs="仿宋"/>
          <w:b/>
          <w:color w:val="auto"/>
          <w:kern w:val="0"/>
          <w:sz w:val="44"/>
          <w:szCs w:val="44"/>
        </w:rPr>
      </w:pPr>
      <w:r>
        <w:rPr>
          <w:rFonts w:hint="eastAsia" w:ascii="仿宋" w:hAnsi="仿宋" w:eastAsia="仿宋" w:cs="仿宋"/>
          <w:b/>
          <w:color w:val="auto"/>
          <w:kern w:val="0"/>
          <w:sz w:val="44"/>
          <w:szCs w:val="44"/>
        </w:rPr>
        <w:t>（示范文本）</w:t>
      </w:r>
    </w:p>
    <w:p w14:paraId="1E50CBCA">
      <w:pPr>
        <w:rPr>
          <w:rFonts w:ascii="仿宋" w:hAnsi="仿宋" w:eastAsia="仿宋" w:cs="仿宋"/>
          <w:color w:val="auto"/>
          <w:sz w:val="28"/>
          <w:szCs w:val="28"/>
        </w:rPr>
      </w:pPr>
    </w:p>
    <w:p w14:paraId="23646192">
      <w:pPr>
        <w:pStyle w:val="7"/>
        <w:ind w:firstLine="210"/>
        <w:rPr>
          <w:rFonts w:ascii="仿宋" w:hAnsi="仿宋" w:eastAsia="仿宋" w:cs="仿宋"/>
          <w:color w:val="auto"/>
        </w:rPr>
      </w:pPr>
    </w:p>
    <w:p w14:paraId="336A1974">
      <w:pPr>
        <w:ind w:firstLine="1968" w:firstLineChars="700"/>
        <w:jc w:val="left"/>
        <w:rPr>
          <w:rFonts w:ascii="仿宋" w:hAnsi="仿宋" w:eastAsia="仿宋" w:cs="仿宋"/>
          <w:b/>
          <w:color w:val="auto"/>
          <w:sz w:val="28"/>
          <w:szCs w:val="28"/>
        </w:rPr>
      </w:pPr>
      <w:r>
        <w:rPr>
          <w:rFonts w:hint="eastAsia" w:ascii="仿宋" w:hAnsi="仿宋" w:eastAsia="仿宋" w:cs="仿宋"/>
          <w:b/>
          <w:color w:val="auto"/>
          <w:sz w:val="28"/>
          <w:szCs w:val="28"/>
        </w:rPr>
        <w:t xml:space="preserve">采购人(甲方) :                              </w:t>
      </w:r>
    </w:p>
    <w:p w14:paraId="49B76D5D">
      <w:pPr>
        <w:ind w:firstLine="1968" w:firstLineChars="700"/>
        <w:jc w:val="left"/>
        <w:rPr>
          <w:rFonts w:ascii="仿宋" w:hAnsi="仿宋" w:eastAsia="仿宋" w:cs="仿宋"/>
          <w:b/>
          <w:color w:val="auto"/>
          <w:sz w:val="28"/>
          <w:szCs w:val="28"/>
        </w:rPr>
      </w:pPr>
      <w:r>
        <w:rPr>
          <w:rFonts w:hint="eastAsia" w:ascii="仿宋" w:hAnsi="仿宋" w:eastAsia="仿宋" w:cs="仿宋"/>
          <w:b/>
          <w:color w:val="auto"/>
          <w:sz w:val="28"/>
          <w:szCs w:val="28"/>
        </w:rPr>
        <w:t xml:space="preserve">供应商(乙方) :                              </w:t>
      </w:r>
    </w:p>
    <w:p w14:paraId="13E2267D">
      <w:pPr>
        <w:ind w:firstLine="562" w:firstLineChars="200"/>
        <w:jc w:val="left"/>
        <w:rPr>
          <w:rFonts w:ascii="仿宋" w:hAnsi="仿宋" w:eastAsia="仿宋" w:cs="仿宋"/>
          <w:b/>
          <w:color w:val="auto"/>
          <w:sz w:val="28"/>
          <w:szCs w:val="28"/>
        </w:rPr>
      </w:pPr>
    </w:p>
    <w:p w14:paraId="5B4B7DA1">
      <w:pPr>
        <w:pStyle w:val="7"/>
        <w:ind w:firstLine="0" w:firstLineChars="0"/>
        <w:rPr>
          <w:rFonts w:ascii="仿宋" w:hAnsi="仿宋" w:eastAsia="仿宋" w:cs="仿宋"/>
          <w:color w:val="auto"/>
        </w:rPr>
      </w:pPr>
    </w:p>
    <w:p w14:paraId="3A4D03B6">
      <w:pPr>
        <w:pStyle w:val="8"/>
        <w:rPr>
          <w:color w:val="auto"/>
        </w:rPr>
      </w:pPr>
    </w:p>
    <w:p w14:paraId="4C82B58C">
      <w:pPr>
        <w:rPr>
          <w:rFonts w:ascii="仿宋" w:hAnsi="仿宋" w:eastAsia="仿宋" w:cs="仿宋"/>
          <w:color w:val="auto"/>
          <w:sz w:val="24"/>
        </w:rPr>
      </w:pPr>
    </w:p>
    <w:p w14:paraId="215EA47D">
      <w:pPr>
        <w:ind w:firstLine="480" w:firstLineChars="200"/>
        <w:rPr>
          <w:rFonts w:ascii="仿宋" w:hAnsi="仿宋" w:eastAsia="仿宋" w:cs="仿宋"/>
          <w:color w:val="auto"/>
          <w:sz w:val="24"/>
        </w:rPr>
      </w:pPr>
      <w:r>
        <w:rPr>
          <w:rFonts w:hint="eastAsia" w:ascii="仿宋" w:hAnsi="仿宋" w:eastAsia="仿宋" w:cs="仿宋"/>
          <w:color w:val="auto"/>
          <w:sz w:val="24"/>
        </w:rPr>
        <w:t>合同编号：</w:t>
      </w:r>
    </w:p>
    <w:p w14:paraId="6EAA6CA4">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签订地点：</w:t>
      </w:r>
    </w:p>
    <w:p w14:paraId="20E22AD0">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签订时间：</w:t>
      </w:r>
    </w:p>
    <w:p w14:paraId="354EE89F">
      <w:pPr>
        <w:pStyle w:val="11"/>
        <w:rPr>
          <w:rFonts w:hint="eastAsia" w:ascii="仿宋" w:hAnsi="仿宋" w:eastAsia="仿宋" w:cs="仿宋"/>
          <w:color w:val="auto"/>
          <w:lang w:val="en-US" w:eastAsia="zh-Hans"/>
        </w:rPr>
      </w:pPr>
    </w:p>
    <w:p w14:paraId="048CA461">
      <w:pPr>
        <w:rPr>
          <w:rFonts w:hint="eastAsia" w:ascii="仿宋" w:hAnsi="仿宋" w:eastAsia="仿宋" w:cs="仿宋"/>
          <w:color w:val="auto"/>
          <w:lang w:val="en-US" w:eastAsia="zh-CN"/>
        </w:rPr>
      </w:pPr>
      <w:r>
        <w:rPr>
          <w:rFonts w:hint="eastAsia" w:ascii="仿宋" w:hAnsi="仿宋" w:eastAsia="仿宋" w:cs="仿宋"/>
          <w:color w:val="auto"/>
          <w:lang w:val="en-US" w:eastAsia="zh-CN"/>
        </w:rPr>
        <w:br w:type="page"/>
      </w:r>
    </w:p>
    <w:p w14:paraId="6E100F9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宋体" w:hAnsi="宋体" w:cs="宋体"/>
          <w:color w:val="auto"/>
          <w:sz w:val="52"/>
          <w:szCs w:val="52"/>
        </w:rPr>
      </w:pPr>
      <w:r>
        <w:rPr>
          <w:rStyle w:val="12"/>
          <w:rFonts w:hint="eastAsia" w:hAnsi="Times New Roman" w:cs="Times New Roman"/>
          <w:b/>
          <w:bCs/>
          <w:color w:val="auto"/>
          <w:sz w:val="40"/>
          <w:szCs w:val="40"/>
          <w:lang w:val="zh-CN" w:eastAsia="zh-CN"/>
        </w:rPr>
        <w:t>拟签订的合同条款文本</w:t>
      </w:r>
    </w:p>
    <w:p w14:paraId="284A42A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甲方（采购人）： </w:t>
      </w:r>
    </w:p>
    <w:p w14:paraId="63C34C0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乙方（</w:t>
      </w:r>
      <w:r>
        <w:rPr>
          <w:rFonts w:hint="eastAsia" w:ascii="宋体" w:hAnsi="宋体" w:eastAsia="宋体" w:cs="宋体"/>
          <w:bCs/>
          <w:color w:val="auto"/>
          <w:sz w:val="24"/>
          <w:szCs w:val="24"/>
          <w:lang w:eastAsia="zh-CN"/>
        </w:rPr>
        <w:t>成交供应商</w:t>
      </w:r>
      <w:r>
        <w:rPr>
          <w:rFonts w:hint="eastAsia" w:ascii="宋体" w:hAnsi="宋体" w:eastAsia="宋体" w:cs="宋体"/>
          <w:bCs/>
          <w:color w:val="auto"/>
          <w:sz w:val="24"/>
          <w:szCs w:val="24"/>
        </w:rPr>
        <w:t xml:space="preserve">）： </w:t>
      </w:r>
    </w:p>
    <w:p w14:paraId="4C09DFE8">
      <w:pPr>
        <w:keepNext w:val="0"/>
        <w:keepLines w:val="0"/>
        <w:pageBreakBefore w:val="0"/>
        <w:widowControl w:val="0"/>
        <w:kinsoku/>
        <w:wordWrap w:val="0"/>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u w:val="single"/>
          <w:lang w:val="en-US" w:eastAsia="zh-CN"/>
        </w:rPr>
        <w:t>购置辅警春秋执勤服</w:t>
      </w:r>
      <w:r>
        <w:rPr>
          <w:rFonts w:hint="eastAsia" w:ascii="宋体" w:hAnsi="宋体" w:eastAsia="宋体" w:cs="宋体"/>
          <w:bCs/>
          <w:color w:val="auto"/>
          <w:sz w:val="24"/>
          <w:szCs w:val="24"/>
          <w:u w:val="single"/>
        </w:rPr>
        <w:t>(项目编号：SXZHZC2026-JT020 )</w:t>
      </w:r>
      <w:r>
        <w:rPr>
          <w:rFonts w:hint="eastAsia" w:ascii="宋体" w:hAnsi="宋体" w:eastAsia="宋体" w:cs="宋体"/>
          <w:bCs/>
          <w:color w:val="auto"/>
          <w:sz w:val="24"/>
          <w:szCs w:val="24"/>
        </w:rPr>
        <w:t>，由</w:t>
      </w:r>
      <w:r>
        <w:rPr>
          <w:rFonts w:hint="eastAsia" w:ascii="宋体" w:hAnsi="宋体" w:eastAsia="宋体" w:cs="宋体"/>
          <w:bCs/>
          <w:color w:val="auto"/>
          <w:sz w:val="24"/>
          <w:szCs w:val="24"/>
          <w:lang w:eastAsia="zh-CN"/>
        </w:rPr>
        <w:t>陕西泽航项目管理有限公司</w:t>
      </w:r>
      <w:r>
        <w:rPr>
          <w:rFonts w:hint="eastAsia" w:ascii="宋体" w:hAnsi="宋体" w:eastAsia="宋体" w:cs="宋体"/>
          <w:bCs/>
          <w:color w:val="auto"/>
          <w:sz w:val="24"/>
          <w:szCs w:val="24"/>
        </w:rPr>
        <w:t>组织</w:t>
      </w:r>
      <w:r>
        <w:rPr>
          <w:rFonts w:hint="eastAsia" w:ascii="宋体" w:hAnsi="宋体" w:eastAsia="宋体" w:cs="宋体"/>
          <w:bCs/>
          <w:color w:val="auto"/>
          <w:sz w:val="24"/>
          <w:szCs w:val="24"/>
          <w:lang w:val="en-US" w:eastAsia="zh-CN"/>
        </w:rPr>
        <w:t>公开招标</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lang w:val="en-US" w:eastAsia="zh-CN"/>
        </w:rPr>
        <w:t>西安市公安局雁塔分局</w:t>
      </w:r>
      <w:r>
        <w:rPr>
          <w:rFonts w:hint="eastAsia" w:ascii="宋体" w:hAnsi="宋体" w:eastAsia="宋体" w:cs="宋体"/>
          <w:bCs/>
          <w:color w:val="auto"/>
          <w:sz w:val="24"/>
          <w:szCs w:val="24"/>
        </w:rPr>
        <w:t>(以下简称“甲方”)确定</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（以下简称“乙方”）为该项目的</w:t>
      </w:r>
      <w:r>
        <w:rPr>
          <w:rFonts w:hint="eastAsia" w:ascii="宋体" w:hAnsi="宋体" w:eastAsia="宋体" w:cs="宋体"/>
          <w:bCs/>
          <w:color w:val="auto"/>
          <w:sz w:val="24"/>
          <w:szCs w:val="24"/>
          <w:lang w:eastAsia="zh-CN"/>
        </w:rPr>
        <w:t>成交供应商</w:t>
      </w:r>
      <w:r>
        <w:rPr>
          <w:rFonts w:hint="eastAsia" w:ascii="宋体" w:hAnsi="宋体" w:eastAsia="宋体" w:cs="宋体"/>
          <w:bCs/>
          <w:color w:val="auto"/>
          <w:sz w:val="24"/>
          <w:szCs w:val="24"/>
        </w:rPr>
        <w:t>。</w:t>
      </w:r>
    </w:p>
    <w:p w14:paraId="35A80EF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依据《中华人民共和国</w:t>
      </w:r>
      <w:r>
        <w:rPr>
          <w:rFonts w:hint="eastAsia" w:ascii="宋体" w:hAnsi="宋体" w:eastAsia="宋体" w:cs="宋体"/>
          <w:bCs/>
          <w:color w:val="auto"/>
          <w:sz w:val="24"/>
          <w:szCs w:val="24"/>
          <w:lang w:eastAsia="zh-CN"/>
        </w:rPr>
        <w:t>民法典</w:t>
      </w:r>
      <w:r>
        <w:rPr>
          <w:rFonts w:hint="eastAsia" w:ascii="宋体" w:hAnsi="宋体" w:eastAsia="宋体" w:cs="宋体"/>
          <w:bCs/>
          <w:color w:val="auto"/>
          <w:sz w:val="24"/>
          <w:szCs w:val="24"/>
        </w:rPr>
        <w:t>》和《中华人民共和国政府采购法》之规定，经双方在平等、自愿、互利的基础上，签订本合同，共同信守。</w:t>
      </w:r>
    </w:p>
    <w:p w14:paraId="0BE721B8">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rPr>
        <w:t>一、</w:t>
      </w:r>
      <w:r>
        <w:rPr>
          <w:rFonts w:hint="eastAsia" w:ascii="宋体" w:hAnsi="宋体" w:eastAsia="宋体" w:cs="宋体"/>
          <w:b/>
          <w:bCs/>
          <w:color w:val="auto"/>
          <w:sz w:val="24"/>
          <w:szCs w:val="24"/>
          <w:lang w:val="zh-CN"/>
        </w:rPr>
        <w:t>合同标的</w:t>
      </w:r>
      <w:r>
        <w:rPr>
          <w:rFonts w:hint="eastAsia" w:ascii="宋体" w:hAnsi="宋体" w:eastAsia="宋体" w:cs="宋体"/>
          <w:b/>
          <w:bCs/>
          <w:color w:val="auto"/>
          <w:sz w:val="24"/>
          <w:szCs w:val="24"/>
        </w:rPr>
        <w:t>物内容</w:t>
      </w:r>
      <w:r>
        <w:rPr>
          <w:rFonts w:hint="eastAsia" w:ascii="宋体" w:hAnsi="宋体" w:eastAsia="宋体" w:cs="宋体"/>
          <w:b/>
          <w:bCs/>
          <w:color w:val="auto"/>
          <w:sz w:val="24"/>
          <w:szCs w:val="24"/>
          <w:lang w:val="zh-CN"/>
        </w:rPr>
        <w:t>及数量</w:t>
      </w:r>
    </w:p>
    <w:p w14:paraId="7A5E7B4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lang w:val="zh-CN"/>
        </w:rPr>
      </w:pPr>
      <w:r>
        <w:rPr>
          <w:rFonts w:hint="eastAsia" w:ascii="宋体" w:hAnsi="宋体" w:eastAsia="宋体" w:cs="宋体"/>
          <w:bCs/>
          <w:color w:val="auto"/>
          <w:sz w:val="24"/>
          <w:szCs w:val="24"/>
          <w:lang w:val="zh-CN"/>
        </w:rPr>
        <w:t>乙方向甲方提供下列货物（产品）：</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7960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199ED14E">
            <w:pPr>
              <w:autoSpaceDE w:val="0"/>
              <w:autoSpaceDN w:val="0"/>
              <w:adjustRightInd w:val="0"/>
              <w:snapToGrid w:val="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序号</w:t>
            </w:r>
          </w:p>
        </w:tc>
        <w:tc>
          <w:tcPr>
            <w:tcW w:w="1649" w:type="dxa"/>
            <w:noWrap w:val="0"/>
            <w:vAlign w:val="center"/>
          </w:tcPr>
          <w:p w14:paraId="10741A5E">
            <w:pPr>
              <w:autoSpaceDE w:val="0"/>
              <w:autoSpaceDN w:val="0"/>
              <w:adjustRightInd w:val="0"/>
              <w:snapToGrid w:val="0"/>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货物</w:t>
            </w:r>
            <w:r>
              <w:rPr>
                <w:rFonts w:hint="eastAsia" w:ascii="宋体" w:hAnsi="宋体" w:eastAsia="宋体" w:cs="宋体"/>
                <w:bCs/>
                <w:color w:val="auto"/>
                <w:sz w:val="24"/>
                <w:szCs w:val="24"/>
              </w:rPr>
              <w:t>名称</w:t>
            </w:r>
          </w:p>
        </w:tc>
        <w:tc>
          <w:tcPr>
            <w:tcW w:w="1481" w:type="dxa"/>
            <w:noWrap w:val="0"/>
            <w:vAlign w:val="center"/>
          </w:tcPr>
          <w:p w14:paraId="08B50234">
            <w:pPr>
              <w:autoSpaceDE w:val="0"/>
              <w:autoSpaceDN w:val="0"/>
              <w:adjustRightInd w:val="0"/>
              <w:snapToGrid w:val="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品牌/型号</w:t>
            </w:r>
          </w:p>
        </w:tc>
        <w:tc>
          <w:tcPr>
            <w:tcW w:w="531" w:type="dxa"/>
            <w:noWrap w:val="0"/>
            <w:vAlign w:val="center"/>
          </w:tcPr>
          <w:p w14:paraId="40E35D28">
            <w:pPr>
              <w:autoSpaceDE w:val="0"/>
              <w:autoSpaceDN w:val="0"/>
              <w:adjustRightInd w:val="0"/>
              <w:snapToGrid w:val="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规格</w:t>
            </w:r>
          </w:p>
        </w:tc>
        <w:tc>
          <w:tcPr>
            <w:tcW w:w="717" w:type="dxa"/>
            <w:noWrap w:val="0"/>
            <w:vAlign w:val="center"/>
          </w:tcPr>
          <w:p w14:paraId="68211333">
            <w:pPr>
              <w:autoSpaceDE w:val="0"/>
              <w:autoSpaceDN w:val="0"/>
              <w:adjustRightInd w:val="0"/>
              <w:snapToGrid w:val="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单位</w:t>
            </w:r>
          </w:p>
        </w:tc>
        <w:tc>
          <w:tcPr>
            <w:tcW w:w="730" w:type="dxa"/>
            <w:noWrap w:val="0"/>
            <w:vAlign w:val="center"/>
          </w:tcPr>
          <w:p w14:paraId="4EC0C578">
            <w:pPr>
              <w:autoSpaceDE w:val="0"/>
              <w:autoSpaceDN w:val="0"/>
              <w:adjustRightInd w:val="0"/>
              <w:snapToGrid w:val="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数量</w:t>
            </w:r>
          </w:p>
        </w:tc>
        <w:tc>
          <w:tcPr>
            <w:tcW w:w="1060" w:type="dxa"/>
            <w:noWrap w:val="0"/>
            <w:vAlign w:val="center"/>
          </w:tcPr>
          <w:p w14:paraId="35FC5682">
            <w:pPr>
              <w:autoSpaceDE w:val="0"/>
              <w:autoSpaceDN w:val="0"/>
              <w:adjustRightInd w:val="0"/>
              <w:snapToGrid w:val="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单价（元）</w:t>
            </w:r>
          </w:p>
        </w:tc>
        <w:tc>
          <w:tcPr>
            <w:tcW w:w="1461" w:type="dxa"/>
            <w:noWrap w:val="0"/>
            <w:vAlign w:val="center"/>
          </w:tcPr>
          <w:p w14:paraId="3FB28F77">
            <w:pPr>
              <w:autoSpaceDE w:val="0"/>
              <w:autoSpaceDN w:val="0"/>
              <w:adjustRightInd w:val="0"/>
              <w:snapToGrid w:val="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金额 (元)</w:t>
            </w:r>
          </w:p>
        </w:tc>
      </w:tr>
      <w:tr w14:paraId="58AB1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2A28F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649" w:type="dxa"/>
            <w:noWrap w:val="0"/>
            <w:vAlign w:val="top"/>
          </w:tcPr>
          <w:p w14:paraId="4033781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481" w:type="dxa"/>
            <w:noWrap w:val="0"/>
            <w:vAlign w:val="top"/>
          </w:tcPr>
          <w:p w14:paraId="2A030DF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531" w:type="dxa"/>
            <w:noWrap w:val="0"/>
            <w:vAlign w:val="top"/>
          </w:tcPr>
          <w:p w14:paraId="0A77671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717" w:type="dxa"/>
            <w:noWrap w:val="0"/>
            <w:vAlign w:val="top"/>
          </w:tcPr>
          <w:p w14:paraId="157A6FA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730" w:type="dxa"/>
            <w:noWrap w:val="0"/>
            <w:vAlign w:val="top"/>
          </w:tcPr>
          <w:p w14:paraId="1876E6A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060" w:type="dxa"/>
            <w:noWrap w:val="0"/>
            <w:vAlign w:val="top"/>
          </w:tcPr>
          <w:p w14:paraId="52A00F2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461" w:type="dxa"/>
            <w:noWrap w:val="0"/>
            <w:vAlign w:val="top"/>
          </w:tcPr>
          <w:p w14:paraId="7043B05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r>
      <w:tr w14:paraId="2C402A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7A675F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649" w:type="dxa"/>
            <w:noWrap w:val="0"/>
            <w:vAlign w:val="top"/>
          </w:tcPr>
          <w:p w14:paraId="4C30AA5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481" w:type="dxa"/>
            <w:noWrap w:val="0"/>
            <w:vAlign w:val="top"/>
          </w:tcPr>
          <w:p w14:paraId="0FA1160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531" w:type="dxa"/>
            <w:noWrap w:val="0"/>
            <w:vAlign w:val="top"/>
          </w:tcPr>
          <w:p w14:paraId="7DEE1C4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717" w:type="dxa"/>
            <w:noWrap w:val="0"/>
            <w:vAlign w:val="top"/>
          </w:tcPr>
          <w:p w14:paraId="37FEAC0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730" w:type="dxa"/>
            <w:noWrap w:val="0"/>
            <w:vAlign w:val="top"/>
          </w:tcPr>
          <w:p w14:paraId="21F949A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060" w:type="dxa"/>
            <w:noWrap w:val="0"/>
            <w:vAlign w:val="top"/>
          </w:tcPr>
          <w:p w14:paraId="6E5DFD0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461" w:type="dxa"/>
            <w:noWrap w:val="0"/>
            <w:vAlign w:val="top"/>
          </w:tcPr>
          <w:p w14:paraId="221E60F0">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r>
      <w:tr w14:paraId="7EFBC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58182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649" w:type="dxa"/>
            <w:noWrap w:val="0"/>
            <w:vAlign w:val="top"/>
          </w:tcPr>
          <w:p w14:paraId="17A3308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481" w:type="dxa"/>
            <w:noWrap w:val="0"/>
            <w:vAlign w:val="top"/>
          </w:tcPr>
          <w:p w14:paraId="5BFAFF5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531" w:type="dxa"/>
            <w:noWrap w:val="0"/>
            <w:vAlign w:val="top"/>
          </w:tcPr>
          <w:p w14:paraId="38F7A3B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717" w:type="dxa"/>
            <w:noWrap w:val="0"/>
            <w:vAlign w:val="top"/>
          </w:tcPr>
          <w:p w14:paraId="0316669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730" w:type="dxa"/>
            <w:noWrap w:val="0"/>
            <w:vAlign w:val="top"/>
          </w:tcPr>
          <w:p w14:paraId="6127EFA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060" w:type="dxa"/>
            <w:noWrap w:val="0"/>
            <w:vAlign w:val="top"/>
          </w:tcPr>
          <w:p w14:paraId="3E1E7F8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c>
          <w:tcPr>
            <w:tcW w:w="1461" w:type="dxa"/>
            <w:noWrap w:val="0"/>
            <w:vAlign w:val="top"/>
          </w:tcPr>
          <w:p w14:paraId="388008F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p>
        </w:tc>
      </w:tr>
      <w:tr w14:paraId="17A09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0AC44D95">
            <w:pPr>
              <w:autoSpaceDE w:val="0"/>
              <w:autoSpaceDN w:val="0"/>
              <w:adjustRightInd w:val="0"/>
              <w:snapToGrid w:val="0"/>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合计</w:t>
            </w:r>
          </w:p>
        </w:tc>
        <w:tc>
          <w:tcPr>
            <w:tcW w:w="3459" w:type="dxa"/>
            <w:gridSpan w:val="4"/>
            <w:noWrap w:val="0"/>
            <w:vAlign w:val="center"/>
          </w:tcPr>
          <w:p w14:paraId="4B4D81C3">
            <w:pPr>
              <w:autoSpaceDE w:val="0"/>
              <w:autoSpaceDN w:val="0"/>
              <w:adjustRightInd w:val="0"/>
              <w:snapToGrid w:val="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大写</w:t>
            </w:r>
          </w:p>
        </w:tc>
        <w:tc>
          <w:tcPr>
            <w:tcW w:w="2521" w:type="dxa"/>
            <w:gridSpan w:val="2"/>
            <w:noWrap w:val="0"/>
            <w:vAlign w:val="center"/>
          </w:tcPr>
          <w:p w14:paraId="090BD9EB">
            <w:pPr>
              <w:autoSpaceDE w:val="0"/>
              <w:autoSpaceDN w:val="0"/>
              <w:adjustRightInd w:val="0"/>
              <w:snapToGrid w:val="0"/>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w:t>
            </w:r>
          </w:p>
        </w:tc>
      </w:tr>
    </w:tbl>
    <w:p w14:paraId="28C00B61">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二、合同价款</w:t>
      </w:r>
    </w:p>
    <w:p w14:paraId="413538F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（一）合同价款为人民币（大写）</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w:t>
      </w:r>
    </w:p>
    <w:p w14:paraId="11DDB6D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（二）合同价款包括但不限于</w:t>
      </w:r>
      <w:r>
        <w:rPr>
          <w:rFonts w:hint="eastAsia" w:ascii="宋体" w:hAnsi="宋体" w:eastAsia="宋体" w:cs="宋体"/>
          <w:color w:val="auto"/>
          <w:sz w:val="24"/>
          <w:szCs w:val="24"/>
          <w:lang w:val="zh-CN"/>
        </w:rPr>
        <w:t>产品供应费、运</w:t>
      </w:r>
      <w:r>
        <w:rPr>
          <w:rFonts w:hint="eastAsia" w:ascii="宋体" w:hAnsi="宋体" w:eastAsia="宋体" w:cs="宋体"/>
          <w:color w:val="auto"/>
          <w:sz w:val="24"/>
          <w:szCs w:val="24"/>
          <w:lang w:val="en-US" w:eastAsia="zh-CN"/>
        </w:rPr>
        <w:t>杂</w:t>
      </w:r>
      <w:r>
        <w:rPr>
          <w:rFonts w:hint="eastAsia" w:ascii="宋体" w:hAnsi="宋体" w:eastAsia="宋体" w:cs="宋体"/>
          <w:color w:val="auto"/>
          <w:sz w:val="24"/>
          <w:szCs w:val="24"/>
          <w:lang w:val="zh-CN"/>
        </w:rPr>
        <w:t>费、</w:t>
      </w:r>
      <w:r>
        <w:rPr>
          <w:rFonts w:hint="eastAsia" w:ascii="宋体" w:hAnsi="宋体" w:eastAsia="宋体" w:cs="宋体"/>
          <w:color w:val="auto"/>
          <w:sz w:val="24"/>
          <w:szCs w:val="24"/>
          <w:lang w:val="en-US" w:eastAsia="zh-CN"/>
        </w:rPr>
        <w:t>质检</w:t>
      </w:r>
      <w:r>
        <w:rPr>
          <w:rFonts w:hint="eastAsia" w:ascii="宋体" w:hAnsi="宋体" w:eastAsia="宋体" w:cs="宋体"/>
          <w:color w:val="auto"/>
          <w:sz w:val="24"/>
          <w:szCs w:val="24"/>
          <w:lang w:val="zh-CN"/>
        </w:rPr>
        <w:t>验收费、税金及其它相关的费用</w:t>
      </w:r>
      <w:r>
        <w:rPr>
          <w:rFonts w:hint="eastAsia" w:ascii="宋体" w:hAnsi="宋体" w:eastAsia="宋体" w:cs="宋体"/>
          <w:bCs/>
          <w:color w:val="auto"/>
          <w:sz w:val="24"/>
          <w:szCs w:val="24"/>
        </w:rPr>
        <w:t>。</w:t>
      </w:r>
    </w:p>
    <w:p w14:paraId="428DDED8">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bCs/>
          <w:color w:val="auto"/>
          <w:sz w:val="24"/>
          <w:szCs w:val="24"/>
        </w:rPr>
        <w:t>（三）合同价款一次性包死，不受市场价格变化因素的影响。</w:t>
      </w:r>
    </w:p>
    <w:p w14:paraId="6BA27243">
      <w:pPr>
        <w:autoSpaceDE w:val="0"/>
        <w:autoSpaceDN w:val="0"/>
        <w:adjustRightInd w:val="0"/>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款项结算</w:t>
      </w:r>
    </w:p>
    <w:p w14:paraId="03C9F85D">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（一）付款方式：</w:t>
      </w:r>
    </w:p>
    <w:p w14:paraId="135AC51D">
      <w:pPr>
        <w:widowControl w:val="0"/>
        <w:autoSpaceDE w:val="0"/>
        <w:autoSpaceDN w:val="0"/>
        <w:adjustRightInd w:val="0"/>
        <w:spacing w:line="360" w:lineRule="auto"/>
        <w:ind w:firstLine="480" w:firstLineChars="200"/>
        <w:jc w:val="both"/>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辅警服装到达采购人指定地点履约验收合格后，按照合同支付货款。付款前，供应商应向采购人开具符合财务、税务规定的等额增值税发票。支付合同总金额的 100.00%。</w:t>
      </w:r>
    </w:p>
    <w:p w14:paraId="4C31BDEE">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（二）结算</w:t>
      </w:r>
      <w:r>
        <w:rPr>
          <w:rFonts w:hint="eastAsia" w:ascii="宋体" w:hAnsi="宋体" w:eastAsia="宋体" w:cs="宋体"/>
          <w:bCs/>
          <w:color w:val="auto"/>
          <w:sz w:val="24"/>
          <w:szCs w:val="24"/>
        </w:rPr>
        <w:t>方式：银行转账。</w:t>
      </w:r>
    </w:p>
    <w:p w14:paraId="15E52D2D">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（三）</w:t>
      </w:r>
      <w:r>
        <w:rPr>
          <w:rFonts w:hint="eastAsia" w:ascii="宋体" w:hAnsi="宋体" w:eastAsia="宋体" w:cs="宋体"/>
          <w:bCs/>
          <w:color w:val="auto"/>
          <w:sz w:val="24"/>
          <w:szCs w:val="24"/>
          <w:lang w:val="en-US" w:eastAsia="zh-CN"/>
        </w:rPr>
        <w:t>结算单位</w:t>
      </w:r>
      <w:r>
        <w:rPr>
          <w:rFonts w:hint="eastAsia" w:ascii="宋体" w:hAnsi="宋体" w:eastAsia="宋体" w:cs="宋体"/>
          <w:bCs/>
          <w:color w:val="auto"/>
          <w:sz w:val="24"/>
          <w:szCs w:val="24"/>
        </w:rPr>
        <w:t>：</w:t>
      </w:r>
      <w:r>
        <w:rPr>
          <w:rFonts w:hint="eastAsia" w:ascii="宋体" w:hAnsi="宋体" w:eastAsia="宋体" w:cs="宋体"/>
          <w:color w:val="auto"/>
          <w:sz w:val="24"/>
          <w:szCs w:val="24"/>
          <w:lang w:val="zh-CN"/>
        </w:rPr>
        <w:t>由</w:t>
      </w:r>
      <w:r>
        <w:rPr>
          <w:rFonts w:hint="eastAsia" w:ascii="宋体" w:hAnsi="宋体" w:eastAsia="宋体" w:cs="宋体"/>
          <w:color w:val="auto"/>
          <w:sz w:val="24"/>
          <w:szCs w:val="24"/>
        </w:rPr>
        <w:t>甲方</w:t>
      </w:r>
      <w:r>
        <w:rPr>
          <w:rFonts w:hint="eastAsia" w:ascii="宋体" w:hAnsi="宋体" w:eastAsia="宋体" w:cs="宋体"/>
          <w:color w:val="auto"/>
          <w:sz w:val="24"/>
          <w:szCs w:val="24"/>
          <w:lang w:val="zh-CN"/>
        </w:rPr>
        <w:t>负责结算，</w:t>
      </w:r>
      <w:r>
        <w:rPr>
          <w:rFonts w:hint="eastAsia" w:ascii="宋体" w:hAnsi="宋体" w:eastAsia="宋体" w:cs="宋体"/>
          <w:bCs/>
          <w:color w:val="auto"/>
          <w:sz w:val="24"/>
          <w:szCs w:val="24"/>
        </w:rPr>
        <w:t>乙方开具</w:t>
      </w:r>
      <w:r>
        <w:rPr>
          <w:rFonts w:hint="eastAsia" w:ascii="宋体" w:hAnsi="宋体" w:eastAsia="宋体" w:cs="宋体"/>
          <w:bCs/>
          <w:color w:val="auto"/>
          <w:sz w:val="24"/>
          <w:szCs w:val="24"/>
          <w:lang w:val="en-US" w:eastAsia="zh-CN"/>
        </w:rPr>
        <w:t>等</w:t>
      </w:r>
      <w:r>
        <w:rPr>
          <w:rFonts w:hint="eastAsia" w:ascii="宋体" w:hAnsi="宋体" w:eastAsia="宋体" w:cs="宋体"/>
          <w:bCs/>
          <w:color w:val="auto"/>
          <w:sz w:val="24"/>
          <w:szCs w:val="24"/>
        </w:rPr>
        <w:t>额发票给甲方。</w:t>
      </w:r>
    </w:p>
    <w:p w14:paraId="00A41548">
      <w:pPr>
        <w:autoSpaceDE w:val="0"/>
        <w:autoSpaceDN w:val="0"/>
        <w:adjustRightInd w:val="0"/>
        <w:spacing w:line="360" w:lineRule="auto"/>
        <w:ind w:firstLine="482" w:firstLineChars="20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交货条件</w:t>
      </w:r>
    </w:p>
    <w:p w14:paraId="34FD6A14">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（一）</w:t>
      </w:r>
      <w:r>
        <w:rPr>
          <w:rFonts w:hint="eastAsia" w:ascii="宋体" w:hAnsi="宋体" w:eastAsia="宋体" w:cs="宋体"/>
          <w:bCs/>
          <w:color w:val="auto"/>
          <w:sz w:val="24"/>
          <w:szCs w:val="24"/>
          <w:highlight w:val="none"/>
          <w:lang w:val="en-US" w:eastAsia="zh-CN"/>
        </w:rPr>
        <w:t>交货期</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自合同签订后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日内供货到位</w:t>
      </w:r>
      <w:r>
        <w:rPr>
          <w:rFonts w:hint="eastAsia" w:ascii="宋体" w:hAnsi="宋体" w:eastAsia="宋体" w:cs="宋体"/>
          <w:bCs/>
          <w:color w:val="auto"/>
          <w:sz w:val="24"/>
          <w:szCs w:val="24"/>
          <w:highlight w:val="none"/>
          <w:lang w:eastAsia="zh-CN"/>
        </w:rPr>
        <w:t>。</w:t>
      </w:r>
    </w:p>
    <w:p w14:paraId="1482F533">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二</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交货</w:t>
      </w:r>
      <w:r>
        <w:rPr>
          <w:rFonts w:hint="eastAsia" w:ascii="宋体" w:hAnsi="宋体" w:eastAsia="宋体" w:cs="宋体"/>
          <w:bCs/>
          <w:color w:val="auto"/>
          <w:sz w:val="24"/>
          <w:szCs w:val="24"/>
          <w:highlight w:val="none"/>
        </w:rPr>
        <w:t>地点：</w:t>
      </w:r>
      <w:r>
        <w:rPr>
          <w:rFonts w:hint="eastAsia" w:ascii="宋体" w:hAnsi="宋体" w:eastAsia="宋体" w:cs="宋体"/>
          <w:bCs/>
          <w:color w:val="auto"/>
          <w:sz w:val="24"/>
          <w:szCs w:val="24"/>
          <w:highlight w:val="none"/>
          <w:lang w:val="en-US" w:eastAsia="zh-CN"/>
        </w:rPr>
        <w:t>甲方指定地点</w:t>
      </w:r>
      <w:r>
        <w:rPr>
          <w:rFonts w:hint="eastAsia" w:ascii="宋体" w:hAnsi="宋体" w:eastAsia="宋体" w:cs="宋体"/>
          <w:bCs/>
          <w:color w:val="auto"/>
          <w:sz w:val="24"/>
          <w:szCs w:val="24"/>
          <w:highlight w:val="none"/>
        </w:rPr>
        <w:t>。</w:t>
      </w:r>
    </w:p>
    <w:p w14:paraId="33247ED9">
      <w:pPr>
        <w:autoSpaceDE w:val="0"/>
        <w:autoSpaceDN w:val="0"/>
        <w:adjustRightIn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五、技术标准、质量标准及其他要求</w:t>
      </w:r>
    </w:p>
    <w:p w14:paraId="7D8DB21F">
      <w:pPr>
        <w:autoSpaceDE w:val="0"/>
        <w:autoSpaceDN w:val="0"/>
        <w:adjustRightIn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（一）所选材料必须保证质量可靠、进货渠道正规，服装面料、成衣符合国家、行业标准合格品要求。</w:t>
      </w:r>
    </w:p>
    <w:p w14:paraId="2C4D8564">
      <w:pPr>
        <w:autoSpaceDE w:val="0"/>
        <w:autoSpaceDN w:val="0"/>
        <w:adjustRightIn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（二）所提供的产品符合国家现行标准和相应的技术规范，标准和技术规范应为合同签订之日为止最新公布发行的标准和技术规范。</w:t>
      </w:r>
    </w:p>
    <w:p w14:paraId="57EECC1D">
      <w:pPr>
        <w:autoSpaceDE w:val="0"/>
        <w:autoSpaceDN w:val="0"/>
        <w:adjustRightIn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（三）产品质保期一年，服装到达用户所在地后90日内，如发现不合体的警服，制造厂商应负责包修、包换；如发现服装材料及加工质量问题，制造厂商应负责包换。</w:t>
      </w:r>
    </w:p>
    <w:p w14:paraId="08D2F49A">
      <w:pPr>
        <w:autoSpaceDE w:val="0"/>
        <w:autoSpaceDN w:val="0"/>
        <w:adjustRightIn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（四）乙方提供的产品，若发生侵权而产生的一切后果，由乙方负责，甲方保留索赔权力。</w:t>
      </w:r>
    </w:p>
    <w:p w14:paraId="490658C8">
      <w:pPr>
        <w:autoSpaceDE w:val="0"/>
        <w:autoSpaceDN w:val="0"/>
        <w:adjustRightIn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六、</w:t>
      </w:r>
      <w:r>
        <w:rPr>
          <w:rFonts w:hint="eastAsia" w:ascii="宋体" w:hAnsi="宋体" w:eastAsia="宋体" w:cs="宋体"/>
          <w:b/>
          <w:color w:val="auto"/>
          <w:sz w:val="24"/>
          <w:szCs w:val="24"/>
        </w:rPr>
        <w:t>双方的权利和义务</w:t>
      </w:r>
    </w:p>
    <w:p w14:paraId="7E4FE71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（一）甲方的权利与义务</w:t>
      </w:r>
    </w:p>
    <w:p w14:paraId="4432449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积极配合乙方验收工作。</w:t>
      </w:r>
    </w:p>
    <w:p w14:paraId="3913289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组织使用单位严格按照</w:t>
      </w:r>
      <w:r>
        <w:rPr>
          <w:rFonts w:hint="eastAsia" w:ascii="宋体" w:hAnsi="宋体" w:eastAsia="宋体" w:cs="宋体"/>
          <w:bCs/>
          <w:color w:val="auto"/>
          <w:sz w:val="24"/>
          <w:szCs w:val="24"/>
          <w:lang w:eastAsia="zh-CN"/>
        </w:rPr>
        <w:t>磋商文件</w:t>
      </w:r>
      <w:r>
        <w:rPr>
          <w:rFonts w:hint="eastAsia" w:ascii="宋体" w:hAnsi="宋体" w:eastAsia="宋体" w:cs="宋体"/>
          <w:bCs/>
          <w:color w:val="auto"/>
          <w:sz w:val="24"/>
          <w:szCs w:val="24"/>
        </w:rPr>
        <w:t>及</w:t>
      </w:r>
      <w:r>
        <w:rPr>
          <w:rFonts w:hint="eastAsia" w:ascii="宋体" w:hAnsi="宋体" w:eastAsia="宋体" w:cs="宋体"/>
          <w:bCs/>
          <w:color w:val="auto"/>
          <w:sz w:val="24"/>
          <w:szCs w:val="24"/>
          <w:lang w:val="en-US" w:eastAsia="zh-CN"/>
        </w:rPr>
        <w:t>响应文件</w:t>
      </w:r>
      <w:r>
        <w:rPr>
          <w:rFonts w:hint="eastAsia" w:ascii="宋体" w:hAnsi="宋体" w:eastAsia="宋体" w:cs="宋体"/>
          <w:bCs/>
          <w:color w:val="auto"/>
          <w:sz w:val="24"/>
          <w:szCs w:val="24"/>
        </w:rPr>
        <w:t>要求和标准验收货物。</w:t>
      </w:r>
    </w:p>
    <w:p w14:paraId="67B07D1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（二）乙方的权利与义务</w:t>
      </w:r>
    </w:p>
    <w:p w14:paraId="47EE1C2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保证对其出售的产品享有合法的权利，不存在任何未曾向甲方透露的担保物权，如抵押权、质押权、留置权。</w:t>
      </w:r>
    </w:p>
    <w:p w14:paraId="396DC75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保证对其出售的产品或其任何一部分没有侵犯第三方的专利权、版权、商标权或其他权利。</w:t>
      </w:r>
    </w:p>
    <w:p w14:paraId="47A217F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负责产品的</w:t>
      </w:r>
      <w:r>
        <w:rPr>
          <w:rFonts w:hint="eastAsia" w:ascii="宋体" w:hAnsi="宋体" w:eastAsia="宋体" w:cs="宋体"/>
          <w:bCs/>
          <w:color w:val="auto"/>
          <w:sz w:val="24"/>
          <w:szCs w:val="24"/>
          <w:lang w:val="en-US" w:eastAsia="zh-CN"/>
        </w:rPr>
        <w:t>供应、</w:t>
      </w:r>
      <w:r>
        <w:rPr>
          <w:rFonts w:hint="eastAsia" w:ascii="宋体" w:hAnsi="宋体" w:eastAsia="宋体" w:cs="宋体"/>
          <w:bCs/>
          <w:color w:val="auto"/>
          <w:sz w:val="24"/>
          <w:szCs w:val="24"/>
        </w:rPr>
        <w:t>运输，并在合同约定的时间完工，运输及安装施工全过程中的安全由乙方负责。</w:t>
      </w:r>
    </w:p>
    <w:p w14:paraId="1FD272F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4</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按照合同约定要求甲方及时付款。</w:t>
      </w:r>
    </w:p>
    <w:p w14:paraId="27D85106">
      <w:pPr>
        <w:autoSpaceDE w:val="0"/>
        <w:autoSpaceDN w:val="0"/>
        <w:adjustRightInd w:val="0"/>
        <w:snapToGrid w:val="0"/>
        <w:spacing w:line="360" w:lineRule="auto"/>
        <w:ind w:firstLine="482" w:firstLineChars="200"/>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七</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lang w:val="en-US" w:eastAsia="zh-CN"/>
        </w:rPr>
        <w:t>运输</w:t>
      </w:r>
    </w:p>
    <w:p w14:paraId="12EEAEB9">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（一）乙方负责所有产品的运输，确保采购产品安全、完整 到达采购人指定地点。运杂费一次性包死在总价内，采购人不再额外支付，包括从生产厂家到使用（安装）现场的包装、装载、运 输、卸载、现场保管、二次倒运等费用。</w:t>
      </w:r>
    </w:p>
    <w:p w14:paraId="20519F2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（二）运输方式由乙方自行选择，选择风险小、运费低、运距短的运输路线。但必须保证按期交货所有采购产品在运输、搬运的过程中，造成甲方损失的，由乙方为甲方修复或更新。</w:t>
      </w:r>
    </w:p>
    <w:p w14:paraId="660CBDCB">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（三）全部货物(产品)均应按照国家、行业规定的标准和保护措施进行包装，该包装应适应于远距离运输、防潮、防震、防锈和防野蛮装卸，以确保货物安全运抵指定地点。</w:t>
      </w:r>
    </w:p>
    <w:p w14:paraId="1AD2FA02">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（四）当包装使用塑料、纸质、木材等包装材料时，除应当按照国家、行业规定的包装标准进行包装外，还需按照《商品包装政府采购 需求标准(试行)》(财办库[2020])123号)规定的环保要求进行包装。</w:t>
      </w:r>
    </w:p>
    <w:p w14:paraId="64775C5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（五）当采用快递交货方式时，快递包装除应当按照国家、行业规定的包装标准进行包装外，还需按照《快递包装政府采购需求标准(试行)》(财办库[2020])123号)规定的环保要求进行包装。</w:t>
      </w:r>
    </w:p>
    <w:p w14:paraId="5FED488F">
      <w:pPr>
        <w:autoSpaceDE w:val="0"/>
        <w:autoSpaceDN w:val="0"/>
        <w:adjustRightInd w:val="0"/>
        <w:snapToGrid w:val="0"/>
        <w:spacing w:line="360" w:lineRule="auto"/>
        <w:ind w:firstLine="482" w:firstLineChars="200"/>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八</w:t>
      </w:r>
      <w:r>
        <w:rPr>
          <w:rFonts w:hint="eastAsia" w:ascii="宋体" w:hAnsi="宋体" w:eastAsia="宋体" w:cs="宋体"/>
          <w:b/>
          <w:bCs w:val="0"/>
          <w:color w:val="auto"/>
          <w:sz w:val="24"/>
          <w:szCs w:val="24"/>
        </w:rPr>
        <w:t>、</w:t>
      </w:r>
      <w:r>
        <w:rPr>
          <w:rFonts w:hint="eastAsia" w:ascii="宋体" w:hAnsi="宋体" w:eastAsia="宋体" w:cs="宋体"/>
          <w:b/>
          <w:bCs w:val="0"/>
          <w:color w:val="auto"/>
          <w:sz w:val="24"/>
          <w:szCs w:val="24"/>
          <w:lang w:val="en-US" w:eastAsia="zh-CN"/>
        </w:rPr>
        <w:t>验收</w:t>
      </w:r>
    </w:p>
    <w:p w14:paraId="76945CC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（一）本项目验收费用，由乙方自行承担。</w:t>
      </w:r>
    </w:p>
    <w:p w14:paraId="64290FF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二）初验：产品到达交货地点后，乙方须提供提供省级或以上质量监督检验机构出具的检验报告，相对应的检验费用发票复印件及所提供货物（产品）的合格证、装箱清单、配件等资料交付给甲方，甲方根据合同要求，对产品进行外观验收、确认产品的产地、规格和数量，甲方和乙方共同签署到货验收单。未签收到货验收单的产品不得擅自开箱安装。</w:t>
      </w:r>
    </w:p>
    <w:p w14:paraId="6DA29E1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（三）终验：产品供货完成后，乙方进行自测并形成自测报告，出现的问题限期整改。自检最终通过后，乙方提出验收申请 ，甲方确认乙方的自检内容后，会同乙方（必要时请有关专家）进行最终验收。验收合格后，填写项目验收单作为对产品的最终认可。</w:t>
      </w:r>
    </w:p>
    <w:p w14:paraId="5294410A">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（四）验收依据：</w:t>
      </w:r>
    </w:p>
    <w:p w14:paraId="2E9AC95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本合同及附加文本；</w:t>
      </w:r>
    </w:p>
    <w:p w14:paraId="79132C7D">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磋商文件</w:t>
      </w: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成交供应商</w:t>
      </w:r>
      <w:r>
        <w:rPr>
          <w:rFonts w:hint="eastAsia" w:ascii="宋体" w:hAnsi="宋体" w:eastAsia="宋体" w:cs="宋体"/>
          <w:bCs/>
          <w:color w:val="auto"/>
          <w:sz w:val="24"/>
          <w:szCs w:val="24"/>
        </w:rPr>
        <w:t>的</w:t>
      </w:r>
      <w:r>
        <w:rPr>
          <w:rFonts w:hint="eastAsia" w:ascii="宋体" w:hAnsi="宋体" w:eastAsia="宋体" w:cs="宋体"/>
          <w:bCs/>
          <w:color w:val="auto"/>
          <w:sz w:val="24"/>
          <w:szCs w:val="24"/>
          <w:lang w:val="en-US" w:eastAsia="zh-CN"/>
        </w:rPr>
        <w:t>响应文件</w:t>
      </w:r>
      <w:r>
        <w:rPr>
          <w:rFonts w:hint="eastAsia" w:ascii="宋体" w:hAnsi="宋体" w:eastAsia="宋体" w:cs="宋体"/>
          <w:bCs/>
          <w:color w:val="auto"/>
          <w:sz w:val="24"/>
          <w:szCs w:val="24"/>
        </w:rPr>
        <w:t>及澄清（承诺）函；</w:t>
      </w:r>
    </w:p>
    <w:p w14:paraId="1FB5F6AE">
      <w:pPr>
        <w:autoSpaceDE w:val="0"/>
        <w:autoSpaceDN w:val="0"/>
        <w:adjustRightInd w:val="0"/>
        <w:snapToGrid w:val="0"/>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Cs/>
          <w:color w:val="auto"/>
          <w:sz w:val="24"/>
          <w:szCs w:val="24"/>
        </w:rPr>
        <w:t>3</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国家相应的标准、规范。</w:t>
      </w:r>
    </w:p>
    <w:p w14:paraId="2CD80BB0">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、违约责任</w:t>
      </w:r>
    </w:p>
    <w:p w14:paraId="30632D9E">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（一）按《中华人民共和国民法典》中的相关条款执行。</w:t>
      </w:r>
    </w:p>
    <w:p w14:paraId="2E3F2F58">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（二）乙方较好期每超过一天，扣除乙方合同总价款的0.2%，迟交产品超过30天，甲方有权拒收产品。</w:t>
      </w:r>
    </w:p>
    <w:p w14:paraId="3B058314">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三）按合同要求提供产品或产品质量不能满足采购技术要求，乙方必须无条件更换产品，提高技术，完善质量，否则，甲方会同监督机构、采购代理机构有权终止合同并对乙方违约行为进行追究，同时按政府采购供应商管理办法进行相应的处罚。</w:t>
      </w:r>
    </w:p>
    <w:p w14:paraId="151F085C">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（四）任何一方因不可抗力原因不能履行协议时，应尽快通知对方，双方均设法补偿。如仍无法履约协议，可协商延缓或撤销协议，双方责任免除。</w:t>
      </w:r>
    </w:p>
    <w:p w14:paraId="78212992">
      <w:pPr>
        <w:autoSpaceDE w:val="0"/>
        <w:autoSpaceDN w:val="0"/>
        <w:adjustRightInd w:val="0"/>
        <w:snapToGrid w:val="0"/>
        <w:spacing w:line="360" w:lineRule="auto"/>
        <w:ind w:firstLine="482" w:firstLineChars="200"/>
        <w:rPr>
          <w:rFonts w:hint="eastAsia" w:ascii="宋体" w:hAnsi="宋体" w:eastAsia="宋体" w:cs="宋体"/>
          <w:bCs/>
          <w:color w:val="auto"/>
          <w:sz w:val="24"/>
          <w:szCs w:val="24"/>
        </w:rPr>
      </w:pPr>
      <w:r>
        <w:rPr>
          <w:rFonts w:hint="eastAsia" w:ascii="宋体" w:hAnsi="宋体" w:eastAsia="宋体" w:cs="宋体"/>
          <w:b/>
          <w:bCs/>
          <w:color w:val="auto"/>
          <w:sz w:val="24"/>
          <w:szCs w:val="24"/>
        </w:rPr>
        <w:t>十、合同争议解决的方式</w:t>
      </w:r>
    </w:p>
    <w:p w14:paraId="090E00A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（一）本合同在履行过程中发生的争议，由甲、乙双方当事人协商解决，协商不成的按下列第</w:t>
      </w:r>
      <w:r>
        <w:rPr>
          <w:rFonts w:hint="eastAsia" w:ascii="宋体" w:hAnsi="宋体" w:eastAsia="宋体" w:cs="宋体"/>
          <w:bCs/>
          <w:color w:val="auto"/>
          <w:sz w:val="24"/>
          <w:szCs w:val="24"/>
          <w:u w:val="single"/>
        </w:rPr>
        <w:t xml:space="preserve"> 2 </w:t>
      </w:r>
      <w:r>
        <w:rPr>
          <w:rFonts w:hint="eastAsia" w:ascii="宋体" w:hAnsi="宋体" w:eastAsia="宋体" w:cs="宋体"/>
          <w:bCs/>
          <w:color w:val="auto"/>
          <w:sz w:val="24"/>
          <w:szCs w:val="24"/>
        </w:rPr>
        <w:t>种方式解决：</w:t>
      </w:r>
    </w:p>
    <w:p w14:paraId="2A09EBB3">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提交西安市仲裁委员会仲裁；</w:t>
      </w:r>
    </w:p>
    <w:p w14:paraId="3ABD0856">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2</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依法向甲方所在地人民法院起诉。</w:t>
      </w:r>
    </w:p>
    <w:p w14:paraId="40B9D485">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（二）因质量问题发生的争议，由国家权威技术单位进行质量鉴定，该鉴定结论为最终结果，甲乙双方应当接受。</w:t>
      </w:r>
    </w:p>
    <w:p w14:paraId="43568881">
      <w:pPr>
        <w:autoSpaceDE w:val="0"/>
        <w:autoSpaceDN w:val="0"/>
        <w:adjustRightInd w:val="0"/>
        <w:snapToGrid w:val="0"/>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、合同生效</w:t>
      </w:r>
    </w:p>
    <w:p w14:paraId="0DDF422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（一）本合同须经甲、乙双方的法定代表人（授权代理人）在合同书上签字并加盖本单位公章后正式生效。</w:t>
      </w:r>
    </w:p>
    <w:p w14:paraId="37FEDFFF">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（二）合同生效后，甲、乙双方须严格执行本合同条款的规定，全面履行合同，违者按《中华人民共和国民法典》的有关规定承担相应责任。</w:t>
      </w:r>
    </w:p>
    <w:p w14:paraId="7F658891">
      <w:pPr>
        <w:autoSpaceDE w:val="0"/>
        <w:autoSpaceDN w:val="0"/>
        <w:adjustRightInd w:val="0"/>
        <w:snapToGri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（三）本合同一式</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份，甲乙双方各执</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w:t>
      </w:r>
    </w:p>
    <w:p w14:paraId="031EF79E">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bCs/>
          <w:color w:val="auto"/>
          <w:sz w:val="24"/>
          <w:szCs w:val="24"/>
        </w:rPr>
        <w:t>（四）本合同如有未尽事宜，甲、乙双方协商解决。</w:t>
      </w:r>
    </w:p>
    <w:p w14:paraId="5AC04E29">
      <w:pPr>
        <w:rPr>
          <w:rFonts w:hint="eastAsia" w:ascii="宋体" w:hAnsi="宋体" w:eastAsia="宋体" w:cs="宋体"/>
          <w:color w:val="auto"/>
          <w:sz w:val="24"/>
          <w:szCs w:val="24"/>
          <w:lang w:val="en-US" w:eastAsia="zh-CN"/>
        </w:rPr>
      </w:pPr>
    </w:p>
    <w:p w14:paraId="325327C7">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46386224">
      <w:pPr>
        <w:rPr>
          <w:rFonts w:hint="eastAsia"/>
          <w:color w:val="auto"/>
          <w:lang w:val="en-US" w:eastAsia="zh-CN"/>
        </w:rPr>
      </w:pPr>
    </w:p>
    <w:tbl>
      <w:tblPr>
        <w:tblStyle w:val="9"/>
        <w:tblW w:w="0" w:type="auto"/>
        <w:jc w:val="center"/>
        <w:tblLayout w:type="fixed"/>
        <w:tblCellMar>
          <w:top w:w="0" w:type="dxa"/>
          <w:left w:w="108" w:type="dxa"/>
          <w:bottom w:w="0" w:type="dxa"/>
          <w:right w:w="108" w:type="dxa"/>
        </w:tblCellMar>
      </w:tblPr>
      <w:tblGrid>
        <w:gridCol w:w="4201"/>
        <w:gridCol w:w="4202"/>
      </w:tblGrid>
      <w:tr w14:paraId="15B66534">
        <w:tblPrEx>
          <w:tblCellMar>
            <w:top w:w="0" w:type="dxa"/>
            <w:left w:w="108" w:type="dxa"/>
            <w:bottom w:w="0" w:type="dxa"/>
            <w:right w:w="108" w:type="dxa"/>
          </w:tblCellMar>
        </w:tblPrEx>
        <w:trPr>
          <w:trHeight w:val="564" w:hRule="exact"/>
          <w:jc w:val="center"/>
        </w:trPr>
        <w:tc>
          <w:tcPr>
            <w:tcW w:w="4201" w:type="dxa"/>
            <w:noWrap w:val="0"/>
            <w:vAlign w:val="center"/>
          </w:tcPr>
          <w:p w14:paraId="25EF276D">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甲  方</w:t>
            </w:r>
          </w:p>
        </w:tc>
        <w:tc>
          <w:tcPr>
            <w:tcW w:w="4202" w:type="dxa"/>
            <w:noWrap w:val="0"/>
            <w:vAlign w:val="center"/>
          </w:tcPr>
          <w:p w14:paraId="26E60690">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乙  方</w:t>
            </w:r>
          </w:p>
        </w:tc>
      </w:tr>
      <w:tr w14:paraId="0DB0EC94">
        <w:tblPrEx>
          <w:tblCellMar>
            <w:top w:w="0" w:type="dxa"/>
            <w:left w:w="108" w:type="dxa"/>
            <w:bottom w:w="0" w:type="dxa"/>
            <w:right w:w="108" w:type="dxa"/>
          </w:tblCellMar>
        </w:tblPrEx>
        <w:trPr>
          <w:trHeight w:val="550" w:hRule="exact"/>
          <w:jc w:val="center"/>
        </w:trPr>
        <w:tc>
          <w:tcPr>
            <w:tcW w:w="4201" w:type="dxa"/>
            <w:noWrap w:val="0"/>
            <w:vAlign w:val="center"/>
          </w:tcPr>
          <w:p w14:paraId="7B47EDBF">
            <w:pPr>
              <w:autoSpaceDE w:val="0"/>
              <w:autoSpaceDN w:val="0"/>
              <w:adjustRightInd w:val="0"/>
              <w:jc w:val="both"/>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（盖章）</w:t>
            </w:r>
          </w:p>
        </w:tc>
        <w:tc>
          <w:tcPr>
            <w:tcW w:w="4202" w:type="dxa"/>
            <w:noWrap w:val="0"/>
            <w:vAlign w:val="center"/>
          </w:tcPr>
          <w:p w14:paraId="6744793F">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（盖章）</w:t>
            </w:r>
          </w:p>
        </w:tc>
      </w:tr>
      <w:tr w14:paraId="1B6B0DF1">
        <w:tblPrEx>
          <w:tblCellMar>
            <w:top w:w="0" w:type="dxa"/>
            <w:left w:w="108" w:type="dxa"/>
            <w:bottom w:w="0" w:type="dxa"/>
            <w:right w:w="108" w:type="dxa"/>
          </w:tblCellMar>
        </w:tblPrEx>
        <w:trPr>
          <w:trHeight w:val="550" w:hRule="exact"/>
          <w:jc w:val="center"/>
        </w:trPr>
        <w:tc>
          <w:tcPr>
            <w:tcW w:w="4201" w:type="dxa"/>
            <w:noWrap w:val="0"/>
            <w:vAlign w:val="center"/>
          </w:tcPr>
          <w:p w14:paraId="5262B3D2">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 xml:space="preserve">地址： </w:t>
            </w:r>
          </w:p>
        </w:tc>
        <w:tc>
          <w:tcPr>
            <w:tcW w:w="4202" w:type="dxa"/>
            <w:noWrap w:val="0"/>
            <w:vAlign w:val="center"/>
          </w:tcPr>
          <w:p w14:paraId="6D5DA718">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地址：</w:t>
            </w:r>
          </w:p>
        </w:tc>
      </w:tr>
      <w:tr w14:paraId="58E599A3">
        <w:tblPrEx>
          <w:tblCellMar>
            <w:top w:w="0" w:type="dxa"/>
            <w:left w:w="108" w:type="dxa"/>
            <w:bottom w:w="0" w:type="dxa"/>
            <w:right w:w="108" w:type="dxa"/>
          </w:tblCellMar>
        </w:tblPrEx>
        <w:trPr>
          <w:trHeight w:val="579" w:hRule="exact"/>
          <w:jc w:val="center"/>
        </w:trPr>
        <w:tc>
          <w:tcPr>
            <w:tcW w:w="4201" w:type="dxa"/>
            <w:noWrap w:val="0"/>
            <w:vAlign w:val="center"/>
          </w:tcPr>
          <w:p w14:paraId="3D5EEF5C">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邮编：</w:t>
            </w:r>
          </w:p>
        </w:tc>
        <w:tc>
          <w:tcPr>
            <w:tcW w:w="4202" w:type="dxa"/>
            <w:noWrap w:val="0"/>
            <w:vAlign w:val="center"/>
          </w:tcPr>
          <w:p w14:paraId="6AA5548C">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邮编：</w:t>
            </w:r>
          </w:p>
        </w:tc>
      </w:tr>
      <w:tr w14:paraId="43075008">
        <w:tblPrEx>
          <w:tblCellMar>
            <w:top w:w="0" w:type="dxa"/>
            <w:left w:w="108" w:type="dxa"/>
            <w:bottom w:w="0" w:type="dxa"/>
            <w:right w:w="108" w:type="dxa"/>
          </w:tblCellMar>
        </w:tblPrEx>
        <w:trPr>
          <w:trHeight w:val="622" w:hRule="exact"/>
          <w:jc w:val="center"/>
        </w:trPr>
        <w:tc>
          <w:tcPr>
            <w:tcW w:w="4201" w:type="dxa"/>
            <w:noWrap w:val="0"/>
            <w:vAlign w:val="center"/>
          </w:tcPr>
          <w:p w14:paraId="74E3E747">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 xml:space="preserve">法定代表人： </w:t>
            </w:r>
          </w:p>
        </w:tc>
        <w:tc>
          <w:tcPr>
            <w:tcW w:w="4202" w:type="dxa"/>
            <w:noWrap w:val="0"/>
            <w:vAlign w:val="center"/>
          </w:tcPr>
          <w:p w14:paraId="06000618">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法定代表人：</w:t>
            </w:r>
          </w:p>
        </w:tc>
      </w:tr>
      <w:tr w14:paraId="38D8AB59">
        <w:tblPrEx>
          <w:tblCellMar>
            <w:top w:w="0" w:type="dxa"/>
            <w:left w:w="108" w:type="dxa"/>
            <w:bottom w:w="0" w:type="dxa"/>
            <w:right w:w="108" w:type="dxa"/>
          </w:tblCellMar>
        </w:tblPrEx>
        <w:trPr>
          <w:trHeight w:val="593" w:hRule="exact"/>
          <w:jc w:val="center"/>
        </w:trPr>
        <w:tc>
          <w:tcPr>
            <w:tcW w:w="4201" w:type="dxa"/>
            <w:noWrap w:val="0"/>
            <w:vAlign w:val="center"/>
          </w:tcPr>
          <w:p w14:paraId="1A610CD2">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被授权代表：</w:t>
            </w:r>
          </w:p>
        </w:tc>
        <w:tc>
          <w:tcPr>
            <w:tcW w:w="4202" w:type="dxa"/>
            <w:noWrap w:val="0"/>
            <w:vAlign w:val="center"/>
          </w:tcPr>
          <w:p w14:paraId="550229EE">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被授权代表：</w:t>
            </w:r>
          </w:p>
        </w:tc>
      </w:tr>
      <w:tr w14:paraId="48875FE1">
        <w:tblPrEx>
          <w:tblCellMar>
            <w:top w:w="0" w:type="dxa"/>
            <w:left w:w="108" w:type="dxa"/>
            <w:bottom w:w="0" w:type="dxa"/>
            <w:right w:w="108" w:type="dxa"/>
          </w:tblCellMar>
        </w:tblPrEx>
        <w:trPr>
          <w:trHeight w:val="578" w:hRule="exact"/>
          <w:jc w:val="center"/>
        </w:trPr>
        <w:tc>
          <w:tcPr>
            <w:tcW w:w="4201" w:type="dxa"/>
            <w:noWrap w:val="0"/>
            <w:vAlign w:val="center"/>
          </w:tcPr>
          <w:p w14:paraId="6EB4E4B0">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电话：</w:t>
            </w:r>
          </w:p>
        </w:tc>
        <w:tc>
          <w:tcPr>
            <w:tcW w:w="4202" w:type="dxa"/>
            <w:noWrap w:val="0"/>
            <w:vAlign w:val="center"/>
          </w:tcPr>
          <w:p w14:paraId="0651BE80">
            <w:pPr>
              <w:autoSpaceDE w:val="0"/>
              <w:autoSpaceDN w:val="0"/>
              <w:adjustRightInd w:val="0"/>
              <w:ind w:left="840" w:hanging="600" w:hangingChars="30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电话：</w:t>
            </w:r>
          </w:p>
        </w:tc>
      </w:tr>
      <w:tr w14:paraId="7B01C03A">
        <w:tblPrEx>
          <w:tblCellMar>
            <w:top w:w="0" w:type="dxa"/>
            <w:left w:w="108" w:type="dxa"/>
            <w:bottom w:w="0" w:type="dxa"/>
            <w:right w:w="108" w:type="dxa"/>
          </w:tblCellMar>
        </w:tblPrEx>
        <w:trPr>
          <w:trHeight w:val="578" w:hRule="exact"/>
          <w:jc w:val="center"/>
        </w:trPr>
        <w:tc>
          <w:tcPr>
            <w:tcW w:w="4201" w:type="dxa"/>
            <w:noWrap w:val="0"/>
            <w:vAlign w:val="center"/>
          </w:tcPr>
          <w:p w14:paraId="3B7F0D6A">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传真：</w:t>
            </w:r>
          </w:p>
        </w:tc>
        <w:tc>
          <w:tcPr>
            <w:tcW w:w="4202" w:type="dxa"/>
            <w:noWrap w:val="0"/>
            <w:vAlign w:val="center"/>
          </w:tcPr>
          <w:p w14:paraId="5F2AEC41">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传真：</w:t>
            </w:r>
          </w:p>
        </w:tc>
      </w:tr>
      <w:tr w14:paraId="75051210">
        <w:tblPrEx>
          <w:tblCellMar>
            <w:top w:w="0" w:type="dxa"/>
            <w:left w:w="108" w:type="dxa"/>
            <w:bottom w:w="0" w:type="dxa"/>
            <w:right w:w="108" w:type="dxa"/>
          </w:tblCellMar>
        </w:tblPrEx>
        <w:trPr>
          <w:trHeight w:val="607" w:hRule="exact"/>
          <w:jc w:val="center"/>
        </w:trPr>
        <w:tc>
          <w:tcPr>
            <w:tcW w:w="4201" w:type="dxa"/>
            <w:noWrap w:val="0"/>
            <w:vAlign w:val="center"/>
          </w:tcPr>
          <w:p w14:paraId="3CB454BE">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开户银行：</w:t>
            </w:r>
          </w:p>
        </w:tc>
        <w:tc>
          <w:tcPr>
            <w:tcW w:w="4202" w:type="dxa"/>
            <w:noWrap w:val="0"/>
            <w:vAlign w:val="center"/>
          </w:tcPr>
          <w:p w14:paraId="6EAE380B">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开户银行：</w:t>
            </w:r>
          </w:p>
        </w:tc>
      </w:tr>
      <w:tr w14:paraId="70FBB612">
        <w:tblPrEx>
          <w:tblCellMar>
            <w:top w:w="0" w:type="dxa"/>
            <w:left w:w="108" w:type="dxa"/>
            <w:bottom w:w="0" w:type="dxa"/>
            <w:right w:w="108" w:type="dxa"/>
          </w:tblCellMar>
        </w:tblPrEx>
        <w:trPr>
          <w:trHeight w:val="594" w:hRule="exact"/>
          <w:jc w:val="center"/>
        </w:trPr>
        <w:tc>
          <w:tcPr>
            <w:tcW w:w="4201" w:type="dxa"/>
            <w:noWrap w:val="0"/>
            <w:vAlign w:val="center"/>
          </w:tcPr>
          <w:p w14:paraId="5ECE3464">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日期：</w:t>
            </w:r>
          </w:p>
        </w:tc>
        <w:tc>
          <w:tcPr>
            <w:tcW w:w="4202" w:type="dxa"/>
            <w:noWrap w:val="0"/>
            <w:vAlign w:val="center"/>
          </w:tcPr>
          <w:p w14:paraId="66A9B5BD">
            <w:pPr>
              <w:autoSpaceDE w:val="0"/>
              <w:autoSpaceDN w:val="0"/>
              <w:adjustRightInd w:val="0"/>
              <w:rPr>
                <w:rFonts w:hint="eastAsia" w:ascii="宋体" w:hAnsi="宋体" w:eastAsia="宋体" w:cs="宋体"/>
                <w:color w:val="auto"/>
                <w:spacing w:val="-20"/>
                <w:kern w:val="0"/>
                <w:sz w:val="24"/>
                <w:szCs w:val="24"/>
              </w:rPr>
            </w:pPr>
            <w:r>
              <w:rPr>
                <w:rFonts w:hint="eastAsia" w:ascii="宋体" w:hAnsi="宋体" w:eastAsia="宋体" w:cs="宋体"/>
                <w:color w:val="auto"/>
                <w:spacing w:val="-20"/>
                <w:kern w:val="0"/>
                <w:sz w:val="24"/>
                <w:szCs w:val="24"/>
              </w:rPr>
              <w:t>日期：</w:t>
            </w:r>
          </w:p>
        </w:tc>
      </w:tr>
    </w:tbl>
    <w:p w14:paraId="4D10252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729D9"/>
    <w:rsid w:val="4FE72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2"/>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spacing w:line="480" w:lineRule="exact"/>
      <w:ind w:left="-1"/>
    </w:pPr>
    <w:rPr>
      <w:sz w:val="24"/>
      <w:szCs w:val="24"/>
    </w:rPr>
  </w:style>
  <w:style w:type="paragraph" w:styleId="4">
    <w:name w:val="annotation text"/>
    <w:basedOn w:val="1"/>
    <w:qFormat/>
    <w:uiPriority w:val="0"/>
    <w:pPr>
      <w:jc w:val="left"/>
    </w:pPr>
  </w:style>
  <w:style w:type="paragraph" w:styleId="5">
    <w:name w:val="Body Text"/>
    <w:basedOn w:val="1"/>
    <w:qFormat/>
    <w:uiPriority w:val="0"/>
    <w:pPr>
      <w:spacing w:after="120" w:afterLines="0" w:afterAutospacing="0"/>
    </w:pPr>
  </w:style>
  <w:style w:type="paragraph" w:styleId="6">
    <w:name w:val="Body Text Indent"/>
    <w:basedOn w:val="1"/>
    <w:next w:val="1"/>
    <w:qFormat/>
    <w:uiPriority w:val="0"/>
    <w:pPr>
      <w:adjustRightInd w:val="0"/>
      <w:spacing w:line="360" w:lineRule="auto"/>
      <w:ind w:left="600"/>
      <w:textAlignment w:val="baseline"/>
    </w:pPr>
    <w:rPr>
      <w:rFonts w:ascii="宋体"/>
      <w:kern w:val="0"/>
      <w:sz w:val="24"/>
    </w:rPr>
  </w:style>
  <w:style w:type="paragraph" w:styleId="7">
    <w:name w:val="Body Text First Indent"/>
    <w:basedOn w:val="5"/>
    <w:next w:val="8"/>
    <w:qFormat/>
    <w:uiPriority w:val="0"/>
    <w:pPr>
      <w:ind w:firstLine="420" w:firstLineChars="100"/>
    </w:pPr>
  </w:style>
  <w:style w:type="paragraph" w:styleId="8">
    <w:name w:val="Body Text First Indent 2"/>
    <w:basedOn w:val="6"/>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character" w:customStyle="1" w:styleId="12">
    <w:name w:val="标题 1 Char"/>
    <w:link w:val="3"/>
    <w:qFormat/>
    <w:uiPriority w:val="0"/>
    <w:rPr>
      <w:rFonts w:hint="eastAsia" w:ascii="宋体" w:hAnsi="宋体" w:eastAsia="宋体" w:cs="宋体"/>
      <w:b/>
      <w:bCs/>
      <w:kern w:val="44"/>
      <w:sz w:val="48"/>
      <w:szCs w:val="48"/>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2026-06-08T08:25:00Z</dcterms:created>
  <dc:creator>doit</dc:creator>
  <cp:lastModifiedBy>doit</cp:lastModifiedBy>
  <dcterms:modified xsi:type="dcterms:W3CDTF">2026-06-08T08:25:10Z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0EEC78F7844243DCA37F1421005348CA_11</vt:lpwstr>
  </property>
  <property fmtid="{D5CDD505-2E9C-101B-9397-08002B2CF9AE}" pid="4" name="KSOTemplateDocerSaveRecord">
    <vt:lpwstr>eyJoZGlkIjoiNjU3ZGIwMTYyN2VhMzEyODI5YTFjODYzYmY0ZTZjNzciLCJ1c2VySWQiOiI1NDQyNTk1OTUifQ==</vt:lpwstr>
  </property>
</Properties>
</file>