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B7EA76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技术参数响应</w:t>
      </w:r>
    </w:p>
    <w:p w14:paraId="5887039D">
      <w:pPr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参照招标文件第五章《评标办法》相关要求各评审要素，结合第三章《技术要求》中“技术参数与性能指标”填写下表。</w:t>
      </w:r>
    </w:p>
    <w:p w14:paraId="2B3889C2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（一）技术参数响应表</w:t>
      </w:r>
    </w:p>
    <w:tbl>
      <w:tblPr>
        <w:tblStyle w:val="2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696"/>
        <w:gridCol w:w="2094"/>
        <w:gridCol w:w="1855"/>
        <w:gridCol w:w="2780"/>
        <w:gridCol w:w="1397"/>
        <w:gridCol w:w="972"/>
      </w:tblGrid>
      <w:tr w14:paraId="19F60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1" w:hRule="atLeast"/>
          <w:jc w:val="center"/>
        </w:trPr>
        <w:tc>
          <w:tcPr>
            <w:tcW w:w="356" w:type="pct"/>
            <w:noWrap w:val="0"/>
            <w:vAlign w:val="center"/>
          </w:tcPr>
          <w:p w14:paraId="588925C9">
            <w:pPr>
              <w:keepNext w:val="0"/>
              <w:keepLines w:val="0"/>
              <w:suppressLineNumbers w:val="0"/>
              <w:shd w:val="clear" w:color="auto"/>
              <w:spacing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069" w:type="pct"/>
            <w:noWrap w:val="0"/>
            <w:vAlign w:val="center"/>
          </w:tcPr>
          <w:p w14:paraId="5884AABF">
            <w:pPr>
              <w:keepNext w:val="0"/>
              <w:keepLines w:val="0"/>
              <w:suppressLineNumbers w:val="0"/>
              <w:shd w:val="clear" w:color="auto"/>
              <w:spacing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产品名称</w:t>
            </w:r>
          </w:p>
        </w:tc>
        <w:tc>
          <w:tcPr>
            <w:tcW w:w="947" w:type="pct"/>
            <w:noWrap w:val="0"/>
            <w:vAlign w:val="center"/>
          </w:tcPr>
          <w:p w14:paraId="1B794EAE">
            <w:pPr>
              <w:keepNext w:val="0"/>
              <w:keepLines w:val="0"/>
              <w:suppressLineNumbers w:val="0"/>
              <w:shd w:val="clear" w:color="auto"/>
              <w:spacing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  <w:t>招标文件要求</w:t>
            </w:r>
          </w:p>
        </w:tc>
        <w:tc>
          <w:tcPr>
            <w:tcW w:w="1419" w:type="pct"/>
            <w:noWrap w:val="0"/>
            <w:vAlign w:val="center"/>
          </w:tcPr>
          <w:p w14:paraId="267CF5B7">
            <w:pPr>
              <w:keepNext w:val="0"/>
              <w:keepLines w:val="0"/>
              <w:suppressLineNumbers w:val="0"/>
              <w:shd w:val="clear" w:color="auto"/>
              <w:spacing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  <w:t>投标文件响应条款</w:t>
            </w:r>
          </w:p>
        </w:tc>
        <w:tc>
          <w:tcPr>
            <w:tcW w:w="713" w:type="pct"/>
            <w:noWrap w:val="0"/>
            <w:vAlign w:val="center"/>
          </w:tcPr>
          <w:p w14:paraId="6CBADADD">
            <w:pPr>
              <w:keepNext w:val="0"/>
              <w:keepLines w:val="0"/>
              <w:suppressLineNumbers w:val="0"/>
              <w:shd w:val="clear" w:color="auto"/>
              <w:spacing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  <w:t>偏离说明</w:t>
            </w:r>
          </w:p>
        </w:tc>
        <w:tc>
          <w:tcPr>
            <w:tcW w:w="492" w:type="pct"/>
            <w:noWrap w:val="0"/>
            <w:vAlign w:val="center"/>
          </w:tcPr>
          <w:p w14:paraId="4FA0A41B">
            <w:pPr>
              <w:keepNext w:val="0"/>
              <w:keepLines w:val="0"/>
              <w:suppressLineNumbers w:val="0"/>
              <w:shd w:val="clear" w:color="auto"/>
              <w:spacing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  <w:t>备注</w:t>
            </w:r>
          </w:p>
        </w:tc>
      </w:tr>
      <w:tr w14:paraId="187BD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356" w:type="pct"/>
            <w:noWrap w:val="0"/>
            <w:vAlign w:val="top"/>
          </w:tcPr>
          <w:p w14:paraId="741F386B">
            <w:pPr>
              <w:keepNext w:val="0"/>
              <w:keepLines w:val="0"/>
              <w:suppressLineNumbers w:val="0"/>
              <w:shd w:val="clear" w:color="auto"/>
              <w:spacing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69" w:type="pct"/>
            <w:noWrap w:val="0"/>
            <w:vAlign w:val="top"/>
          </w:tcPr>
          <w:p w14:paraId="20A0C6C7">
            <w:pPr>
              <w:keepNext w:val="0"/>
              <w:keepLines w:val="0"/>
              <w:suppressLineNumbers w:val="0"/>
              <w:shd w:val="clear" w:color="auto"/>
              <w:spacing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47" w:type="pct"/>
            <w:noWrap w:val="0"/>
            <w:vAlign w:val="top"/>
          </w:tcPr>
          <w:p w14:paraId="04840774">
            <w:pPr>
              <w:keepNext w:val="0"/>
              <w:keepLines w:val="0"/>
              <w:suppressLineNumbers w:val="0"/>
              <w:shd w:val="clear" w:color="auto"/>
              <w:spacing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19" w:type="pct"/>
            <w:noWrap w:val="0"/>
            <w:vAlign w:val="top"/>
          </w:tcPr>
          <w:p w14:paraId="2339C0AC">
            <w:pPr>
              <w:keepNext w:val="0"/>
              <w:keepLines w:val="0"/>
              <w:suppressLineNumbers w:val="0"/>
              <w:shd w:val="clear" w:color="auto"/>
              <w:spacing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13" w:type="pct"/>
            <w:noWrap w:val="0"/>
            <w:vAlign w:val="top"/>
          </w:tcPr>
          <w:p w14:paraId="016B012B">
            <w:pPr>
              <w:keepNext w:val="0"/>
              <w:keepLines w:val="0"/>
              <w:suppressLineNumbers w:val="0"/>
              <w:shd w:val="clear" w:color="auto"/>
              <w:spacing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492" w:type="pct"/>
            <w:noWrap w:val="0"/>
            <w:vAlign w:val="top"/>
          </w:tcPr>
          <w:p w14:paraId="2D961DF5">
            <w:pPr>
              <w:keepNext w:val="0"/>
              <w:keepLines w:val="0"/>
              <w:suppressLineNumbers w:val="0"/>
              <w:shd w:val="clear" w:color="auto"/>
              <w:spacing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12FB0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356" w:type="pct"/>
            <w:noWrap w:val="0"/>
            <w:vAlign w:val="top"/>
          </w:tcPr>
          <w:p w14:paraId="04A95EAF">
            <w:pPr>
              <w:keepNext w:val="0"/>
              <w:keepLines w:val="0"/>
              <w:suppressLineNumbers w:val="0"/>
              <w:shd w:val="clear" w:color="auto"/>
              <w:spacing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69" w:type="pct"/>
            <w:noWrap w:val="0"/>
            <w:vAlign w:val="top"/>
          </w:tcPr>
          <w:p w14:paraId="7A3FF378">
            <w:pPr>
              <w:keepNext w:val="0"/>
              <w:keepLines w:val="0"/>
              <w:suppressLineNumbers w:val="0"/>
              <w:shd w:val="clear" w:color="auto"/>
              <w:spacing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47" w:type="pct"/>
            <w:noWrap w:val="0"/>
            <w:vAlign w:val="top"/>
          </w:tcPr>
          <w:p w14:paraId="7A7BA609">
            <w:pPr>
              <w:keepNext w:val="0"/>
              <w:keepLines w:val="0"/>
              <w:suppressLineNumbers w:val="0"/>
              <w:shd w:val="clear" w:color="auto"/>
              <w:spacing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19" w:type="pct"/>
            <w:noWrap w:val="0"/>
            <w:vAlign w:val="top"/>
          </w:tcPr>
          <w:p w14:paraId="031A1C56">
            <w:pPr>
              <w:keepNext w:val="0"/>
              <w:keepLines w:val="0"/>
              <w:suppressLineNumbers w:val="0"/>
              <w:shd w:val="clear" w:color="auto"/>
              <w:spacing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13" w:type="pct"/>
            <w:noWrap w:val="0"/>
            <w:vAlign w:val="top"/>
          </w:tcPr>
          <w:p w14:paraId="720E65DA">
            <w:pPr>
              <w:keepNext w:val="0"/>
              <w:keepLines w:val="0"/>
              <w:suppressLineNumbers w:val="0"/>
              <w:shd w:val="clear" w:color="auto"/>
              <w:spacing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492" w:type="pct"/>
            <w:noWrap w:val="0"/>
            <w:vAlign w:val="top"/>
          </w:tcPr>
          <w:p w14:paraId="60C8DE44">
            <w:pPr>
              <w:keepNext w:val="0"/>
              <w:keepLines w:val="0"/>
              <w:suppressLineNumbers w:val="0"/>
              <w:shd w:val="clear" w:color="auto"/>
              <w:spacing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258B2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356" w:type="pct"/>
            <w:noWrap w:val="0"/>
            <w:vAlign w:val="top"/>
          </w:tcPr>
          <w:p w14:paraId="5F763E56">
            <w:pPr>
              <w:keepNext w:val="0"/>
              <w:keepLines w:val="0"/>
              <w:suppressLineNumbers w:val="0"/>
              <w:shd w:val="clear" w:color="auto"/>
              <w:spacing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69" w:type="pct"/>
            <w:noWrap w:val="0"/>
            <w:vAlign w:val="top"/>
          </w:tcPr>
          <w:p w14:paraId="07F20561">
            <w:pPr>
              <w:keepNext w:val="0"/>
              <w:keepLines w:val="0"/>
              <w:suppressLineNumbers w:val="0"/>
              <w:shd w:val="clear" w:color="auto"/>
              <w:spacing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47" w:type="pct"/>
            <w:noWrap w:val="0"/>
            <w:vAlign w:val="top"/>
          </w:tcPr>
          <w:p w14:paraId="6952EC1D">
            <w:pPr>
              <w:keepNext w:val="0"/>
              <w:keepLines w:val="0"/>
              <w:suppressLineNumbers w:val="0"/>
              <w:shd w:val="clear" w:color="auto"/>
              <w:spacing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19" w:type="pct"/>
            <w:noWrap w:val="0"/>
            <w:vAlign w:val="top"/>
          </w:tcPr>
          <w:p w14:paraId="5CEEC609">
            <w:pPr>
              <w:keepNext w:val="0"/>
              <w:keepLines w:val="0"/>
              <w:suppressLineNumbers w:val="0"/>
              <w:shd w:val="clear" w:color="auto"/>
              <w:spacing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13" w:type="pct"/>
            <w:noWrap w:val="0"/>
            <w:vAlign w:val="top"/>
          </w:tcPr>
          <w:p w14:paraId="61AF9439">
            <w:pPr>
              <w:keepNext w:val="0"/>
              <w:keepLines w:val="0"/>
              <w:suppressLineNumbers w:val="0"/>
              <w:shd w:val="clear" w:color="auto"/>
              <w:spacing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492" w:type="pct"/>
            <w:noWrap w:val="0"/>
            <w:vAlign w:val="top"/>
          </w:tcPr>
          <w:p w14:paraId="0F18DF4C">
            <w:pPr>
              <w:keepNext w:val="0"/>
              <w:keepLines w:val="0"/>
              <w:suppressLineNumbers w:val="0"/>
              <w:shd w:val="clear" w:color="auto"/>
              <w:spacing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61F7C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356" w:type="pct"/>
            <w:noWrap w:val="0"/>
            <w:vAlign w:val="top"/>
          </w:tcPr>
          <w:p w14:paraId="2C7CABD7">
            <w:pPr>
              <w:keepNext w:val="0"/>
              <w:keepLines w:val="0"/>
              <w:suppressLineNumbers w:val="0"/>
              <w:shd w:val="clear" w:color="auto"/>
              <w:spacing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69" w:type="pct"/>
            <w:noWrap w:val="0"/>
            <w:vAlign w:val="top"/>
          </w:tcPr>
          <w:p w14:paraId="66D0BEA4">
            <w:pPr>
              <w:keepNext w:val="0"/>
              <w:keepLines w:val="0"/>
              <w:suppressLineNumbers w:val="0"/>
              <w:shd w:val="clear" w:color="auto"/>
              <w:spacing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47" w:type="pct"/>
            <w:noWrap w:val="0"/>
            <w:vAlign w:val="top"/>
          </w:tcPr>
          <w:p w14:paraId="2EE69346">
            <w:pPr>
              <w:keepNext w:val="0"/>
              <w:keepLines w:val="0"/>
              <w:suppressLineNumbers w:val="0"/>
              <w:shd w:val="clear" w:color="auto"/>
              <w:spacing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19" w:type="pct"/>
            <w:noWrap w:val="0"/>
            <w:vAlign w:val="top"/>
          </w:tcPr>
          <w:p w14:paraId="16DA5135">
            <w:pPr>
              <w:keepNext w:val="0"/>
              <w:keepLines w:val="0"/>
              <w:suppressLineNumbers w:val="0"/>
              <w:shd w:val="clear" w:color="auto"/>
              <w:spacing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13" w:type="pct"/>
            <w:noWrap w:val="0"/>
            <w:vAlign w:val="top"/>
          </w:tcPr>
          <w:p w14:paraId="5F2B4FD7">
            <w:pPr>
              <w:keepNext w:val="0"/>
              <w:keepLines w:val="0"/>
              <w:suppressLineNumbers w:val="0"/>
              <w:shd w:val="clear" w:color="auto"/>
              <w:spacing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492" w:type="pct"/>
            <w:noWrap w:val="0"/>
            <w:vAlign w:val="top"/>
          </w:tcPr>
          <w:p w14:paraId="3CA7996C">
            <w:pPr>
              <w:keepNext w:val="0"/>
              <w:keepLines w:val="0"/>
              <w:suppressLineNumbers w:val="0"/>
              <w:shd w:val="clear" w:color="auto"/>
              <w:spacing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2FA57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356" w:type="pct"/>
            <w:noWrap w:val="0"/>
            <w:vAlign w:val="top"/>
          </w:tcPr>
          <w:p w14:paraId="53CFD098">
            <w:pPr>
              <w:keepNext w:val="0"/>
              <w:keepLines w:val="0"/>
              <w:suppressLineNumbers w:val="0"/>
              <w:shd w:val="clear" w:color="auto"/>
              <w:spacing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69" w:type="pct"/>
            <w:noWrap w:val="0"/>
            <w:vAlign w:val="top"/>
          </w:tcPr>
          <w:p w14:paraId="1AD6B475">
            <w:pPr>
              <w:keepNext w:val="0"/>
              <w:keepLines w:val="0"/>
              <w:suppressLineNumbers w:val="0"/>
              <w:shd w:val="clear" w:color="auto"/>
              <w:spacing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47" w:type="pct"/>
            <w:noWrap w:val="0"/>
            <w:vAlign w:val="top"/>
          </w:tcPr>
          <w:p w14:paraId="31B41576">
            <w:pPr>
              <w:keepNext w:val="0"/>
              <w:keepLines w:val="0"/>
              <w:suppressLineNumbers w:val="0"/>
              <w:shd w:val="clear" w:color="auto"/>
              <w:spacing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19" w:type="pct"/>
            <w:noWrap w:val="0"/>
            <w:vAlign w:val="top"/>
          </w:tcPr>
          <w:p w14:paraId="1CF4860B">
            <w:pPr>
              <w:keepNext w:val="0"/>
              <w:keepLines w:val="0"/>
              <w:suppressLineNumbers w:val="0"/>
              <w:shd w:val="clear" w:color="auto"/>
              <w:spacing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13" w:type="pct"/>
            <w:noWrap w:val="0"/>
            <w:vAlign w:val="top"/>
          </w:tcPr>
          <w:p w14:paraId="72B9ACB7">
            <w:pPr>
              <w:keepNext w:val="0"/>
              <w:keepLines w:val="0"/>
              <w:suppressLineNumbers w:val="0"/>
              <w:shd w:val="clear" w:color="auto"/>
              <w:spacing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492" w:type="pct"/>
            <w:noWrap w:val="0"/>
            <w:vAlign w:val="top"/>
          </w:tcPr>
          <w:p w14:paraId="02F8D3EF">
            <w:pPr>
              <w:keepNext w:val="0"/>
              <w:keepLines w:val="0"/>
              <w:suppressLineNumbers w:val="0"/>
              <w:shd w:val="clear" w:color="auto"/>
              <w:spacing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08414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356" w:type="pct"/>
            <w:noWrap w:val="0"/>
            <w:vAlign w:val="top"/>
          </w:tcPr>
          <w:p w14:paraId="3531FE12">
            <w:pPr>
              <w:keepNext w:val="0"/>
              <w:keepLines w:val="0"/>
              <w:suppressLineNumbers w:val="0"/>
              <w:shd w:val="clear" w:color="auto"/>
              <w:spacing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69" w:type="pct"/>
            <w:noWrap w:val="0"/>
            <w:vAlign w:val="top"/>
          </w:tcPr>
          <w:p w14:paraId="2ADA4F4D">
            <w:pPr>
              <w:keepNext w:val="0"/>
              <w:keepLines w:val="0"/>
              <w:suppressLineNumbers w:val="0"/>
              <w:shd w:val="clear" w:color="auto"/>
              <w:spacing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47" w:type="pct"/>
            <w:noWrap w:val="0"/>
            <w:vAlign w:val="top"/>
          </w:tcPr>
          <w:p w14:paraId="6BEEC90C">
            <w:pPr>
              <w:keepNext w:val="0"/>
              <w:keepLines w:val="0"/>
              <w:suppressLineNumbers w:val="0"/>
              <w:shd w:val="clear" w:color="auto"/>
              <w:spacing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19" w:type="pct"/>
            <w:noWrap w:val="0"/>
            <w:vAlign w:val="top"/>
          </w:tcPr>
          <w:p w14:paraId="47953887">
            <w:pPr>
              <w:keepNext w:val="0"/>
              <w:keepLines w:val="0"/>
              <w:suppressLineNumbers w:val="0"/>
              <w:shd w:val="clear" w:color="auto"/>
              <w:spacing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13" w:type="pct"/>
            <w:noWrap w:val="0"/>
            <w:vAlign w:val="top"/>
          </w:tcPr>
          <w:p w14:paraId="05ABECEF">
            <w:pPr>
              <w:keepNext w:val="0"/>
              <w:keepLines w:val="0"/>
              <w:suppressLineNumbers w:val="0"/>
              <w:shd w:val="clear" w:color="auto"/>
              <w:spacing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492" w:type="pct"/>
            <w:noWrap w:val="0"/>
            <w:vAlign w:val="top"/>
          </w:tcPr>
          <w:p w14:paraId="5425CA6A">
            <w:pPr>
              <w:keepNext w:val="0"/>
              <w:keepLines w:val="0"/>
              <w:suppressLineNumbers w:val="0"/>
              <w:shd w:val="clear" w:color="auto"/>
              <w:spacing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5F549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356" w:type="pct"/>
            <w:noWrap w:val="0"/>
            <w:vAlign w:val="top"/>
          </w:tcPr>
          <w:p w14:paraId="1472CA3D">
            <w:pPr>
              <w:keepNext w:val="0"/>
              <w:keepLines w:val="0"/>
              <w:suppressLineNumbers w:val="0"/>
              <w:shd w:val="clear" w:color="auto"/>
              <w:spacing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69" w:type="pct"/>
            <w:noWrap w:val="0"/>
            <w:vAlign w:val="top"/>
          </w:tcPr>
          <w:p w14:paraId="40A15F4C">
            <w:pPr>
              <w:keepNext w:val="0"/>
              <w:keepLines w:val="0"/>
              <w:suppressLineNumbers w:val="0"/>
              <w:shd w:val="clear" w:color="auto"/>
              <w:spacing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47" w:type="pct"/>
            <w:noWrap w:val="0"/>
            <w:vAlign w:val="top"/>
          </w:tcPr>
          <w:p w14:paraId="6410C463">
            <w:pPr>
              <w:keepNext w:val="0"/>
              <w:keepLines w:val="0"/>
              <w:suppressLineNumbers w:val="0"/>
              <w:shd w:val="clear" w:color="auto"/>
              <w:spacing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19" w:type="pct"/>
            <w:noWrap w:val="0"/>
            <w:vAlign w:val="top"/>
          </w:tcPr>
          <w:p w14:paraId="6A141883">
            <w:pPr>
              <w:keepNext w:val="0"/>
              <w:keepLines w:val="0"/>
              <w:suppressLineNumbers w:val="0"/>
              <w:shd w:val="clear" w:color="auto"/>
              <w:spacing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13" w:type="pct"/>
            <w:noWrap w:val="0"/>
            <w:vAlign w:val="top"/>
          </w:tcPr>
          <w:p w14:paraId="2D3D2C71">
            <w:pPr>
              <w:keepNext w:val="0"/>
              <w:keepLines w:val="0"/>
              <w:suppressLineNumbers w:val="0"/>
              <w:shd w:val="clear" w:color="auto"/>
              <w:spacing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492" w:type="pct"/>
            <w:noWrap w:val="0"/>
            <w:vAlign w:val="top"/>
          </w:tcPr>
          <w:p w14:paraId="2A3B3002">
            <w:pPr>
              <w:keepNext w:val="0"/>
              <w:keepLines w:val="0"/>
              <w:suppressLineNumbers w:val="0"/>
              <w:shd w:val="clear" w:color="auto"/>
              <w:spacing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71B9C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356" w:type="pct"/>
            <w:noWrap w:val="0"/>
            <w:vAlign w:val="top"/>
          </w:tcPr>
          <w:p w14:paraId="12CDB1CA">
            <w:pPr>
              <w:keepNext w:val="0"/>
              <w:keepLines w:val="0"/>
              <w:suppressLineNumbers w:val="0"/>
              <w:shd w:val="clear" w:color="auto"/>
              <w:spacing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69" w:type="pct"/>
            <w:noWrap w:val="0"/>
            <w:vAlign w:val="top"/>
          </w:tcPr>
          <w:p w14:paraId="25DF87A2">
            <w:pPr>
              <w:keepNext w:val="0"/>
              <w:keepLines w:val="0"/>
              <w:suppressLineNumbers w:val="0"/>
              <w:shd w:val="clear" w:color="auto"/>
              <w:spacing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47" w:type="pct"/>
            <w:noWrap w:val="0"/>
            <w:vAlign w:val="top"/>
          </w:tcPr>
          <w:p w14:paraId="13DA94E8">
            <w:pPr>
              <w:keepNext w:val="0"/>
              <w:keepLines w:val="0"/>
              <w:suppressLineNumbers w:val="0"/>
              <w:shd w:val="clear" w:color="auto"/>
              <w:spacing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19" w:type="pct"/>
            <w:noWrap w:val="0"/>
            <w:vAlign w:val="top"/>
          </w:tcPr>
          <w:p w14:paraId="107301EC">
            <w:pPr>
              <w:keepNext w:val="0"/>
              <w:keepLines w:val="0"/>
              <w:suppressLineNumbers w:val="0"/>
              <w:shd w:val="clear" w:color="auto"/>
              <w:spacing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13" w:type="pct"/>
            <w:noWrap w:val="0"/>
            <w:vAlign w:val="top"/>
          </w:tcPr>
          <w:p w14:paraId="5FBEF83E">
            <w:pPr>
              <w:keepNext w:val="0"/>
              <w:keepLines w:val="0"/>
              <w:suppressLineNumbers w:val="0"/>
              <w:shd w:val="clear" w:color="auto"/>
              <w:spacing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492" w:type="pct"/>
            <w:noWrap w:val="0"/>
            <w:vAlign w:val="top"/>
          </w:tcPr>
          <w:p w14:paraId="3F5FE912">
            <w:pPr>
              <w:keepNext w:val="0"/>
              <w:keepLines w:val="0"/>
              <w:suppressLineNumbers w:val="0"/>
              <w:shd w:val="clear" w:color="auto"/>
              <w:spacing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644A0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34" w:hRule="atLeast"/>
          <w:jc w:val="center"/>
        </w:trPr>
        <w:tc>
          <w:tcPr>
            <w:tcW w:w="5000" w:type="pct"/>
            <w:gridSpan w:val="6"/>
            <w:noWrap w:val="0"/>
            <w:vAlign w:val="top"/>
          </w:tcPr>
          <w:p w14:paraId="0FAF8EBE">
            <w:pPr>
              <w:pStyle w:val="4"/>
              <w:shd w:val="clear" w:color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注:</w:t>
            </w:r>
          </w:p>
          <w:p w14:paraId="7CB641BA">
            <w:pPr>
              <w:pStyle w:val="4"/>
              <w:shd w:val="clear" w:color="auto"/>
              <w:ind w:left="67" w:leftChars="32" w:right="124" w:rightChars="59" w:firstLine="0" w:firstLineChars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1.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投标人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应按照招标文件第三章《技术要求》中“技术参数与性能指标”中的内容逐项响应。</w:t>
            </w:r>
          </w:p>
          <w:p w14:paraId="524D3C25">
            <w:pPr>
              <w:pStyle w:val="4"/>
              <w:shd w:val="clear" w:color="auto"/>
              <w:ind w:left="67" w:leftChars="32" w:right="124" w:rightChars="59" w:firstLine="0" w:firstLineChars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2.“投标文件响应条款”必须与投标文件中提供的证明材料的响应情况相一致，若不一致，将影响评分。</w:t>
            </w:r>
          </w:p>
          <w:p w14:paraId="655A5C24">
            <w:pPr>
              <w:pStyle w:val="4"/>
              <w:shd w:val="clear" w:color="auto"/>
              <w:ind w:left="67" w:leftChars="32" w:right="124" w:rightChars="59" w:firstLine="0" w:firstLineChars="0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3.偏离说明填写：优于、满足或低于。</w:t>
            </w:r>
          </w:p>
        </w:tc>
      </w:tr>
    </w:tbl>
    <w:p w14:paraId="76198D7C">
      <w:pPr>
        <w:shd w:val="clear" w:color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098A29DC">
      <w:pPr>
        <w:shd w:val="clear" w:color="auto"/>
        <w:adjustRightInd w:val="0"/>
        <w:snapToGrid w:val="0"/>
        <w:spacing w:line="480" w:lineRule="auto"/>
        <w:ind w:right="420"/>
        <w:rPr>
          <w:rFonts w:hint="eastAsia" w:ascii="仿宋" w:hAnsi="仿宋" w:eastAsia="仿宋" w:cs="仿宋"/>
          <w:color w:val="auto"/>
          <w:sz w:val="13"/>
          <w:szCs w:val="13"/>
          <w:highlight w:val="none"/>
          <w:lang w:val="en-US" w:eastAsia="zh-CN"/>
        </w:rPr>
      </w:pPr>
    </w:p>
    <w:p w14:paraId="11788EB1">
      <w:pPr>
        <w:shd w:val="clear" w:color="auto"/>
        <w:adjustRightInd w:val="0"/>
        <w:snapToGrid w:val="0"/>
        <w:spacing w:line="480" w:lineRule="auto"/>
        <w:ind w:right="42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名称（公章）：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</w:t>
      </w:r>
    </w:p>
    <w:p w14:paraId="41121078">
      <w:pPr>
        <w:shd w:val="clear" w:color="auto"/>
        <w:adjustRightInd w:val="0"/>
        <w:snapToGrid w:val="0"/>
        <w:spacing w:line="480" w:lineRule="auto"/>
        <w:ind w:right="420"/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</w:rPr>
        <w:t>法定代表人或被授权人：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</w:rPr>
        <w:t>（签字或盖章）</w:t>
      </w:r>
    </w:p>
    <w:p w14:paraId="4D2B5DD4">
      <w:pPr>
        <w:shd w:val="clear" w:color="auto"/>
        <w:adjustRightInd w:val="0"/>
        <w:snapToGrid w:val="0"/>
        <w:spacing w:line="480" w:lineRule="auto"/>
        <w:ind w:right="42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5D8939BF">
      <w:pPr>
        <w:shd w:val="clear"/>
        <w:spacing w:line="240" w:lineRule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br w:type="page"/>
      </w:r>
    </w:p>
    <w:p w14:paraId="2F9359F6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（二）其他材料</w:t>
      </w:r>
    </w:p>
    <w:p w14:paraId="6261F800">
      <w:pPr>
        <w:widowControl w:val="0"/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根据招标文件第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章《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评标办法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》相关要求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评审要素中须附相关证明材料，投标人应将相关证明材料附至此处，如未按要求提供相关证明材料，将影响评分。</w:t>
      </w:r>
    </w:p>
    <w:p w14:paraId="5B34C5AD">
      <w:pPr>
        <w:shd w:val="clear" w:color="auto"/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1、技术参数和配置</w:t>
      </w:r>
    </w:p>
    <w:p w14:paraId="7CD7B4F4">
      <w:pPr>
        <w:shd w:val="clear" w:color="auto"/>
        <w:spacing w:line="480" w:lineRule="auto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（“▲”号参数必须提供佐证材料（不限于产品彩页、检测报告、功能截图、技术白皮书等）</w:t>
      </w:r>
    </w:p>
    <w:p w14:paraId="0C203EBE">
      <w:pPr>
        <w:shd w:val="clear" w:color="auto"/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2、节能环保</w:t>
      </w:r>
    </w:p>
    <w:p w14:paraId="25D01AC6">
      <w:pPr>
        <w:shd w:val="clear" w:color="auto"/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3、来源渠道</w:t>
      </w:r>
    </w:p>
    <w:p w14:paraId="551B9D40">
      <w:pPr>
        <w:shd w:val="clear"/>
        <w:spacing w:line="480" w:lineRule="auto"/>
        <w:ind w:left="0" w:leftChars="0" w:firstLine="420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……</w:t>
      </w:r>
    </w:p>
    <w:p w14:paraId="3D53F96C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34B40453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9D5998"/>
    <w:rsid w:val="679D5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纯文本1"/>
    <w:basedOn w:val="1"/>
    <w:qFormat/>
    <w:uiPriority w:val="0"/>
    <w:pPr>
      <w:spacing w:line="324" w:lineRule="auto"/>
    </w:pPr>
    <w:rPr>
      <w:rFonts w:hAnsi="Courier New" w:cs="Courier New"/>
      <w:szCs w:val="21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2026-06-29T06:37:00Z</dcterms:created>
  <dc:creator>  </dc:creator>
  <cp:lastModifiedBy>  </cp:lastModifiedBy>
  <dcterms:modified xsi:type="dcterms:W3CDTF">2026-06-29T06:38:02Z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BBED6479CD1A46A9844142EAD64F1651_11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