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版本号：KY2026-1-323.20260507001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业务用车租赁项目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KY2026-1-323.</w:t>
      </w:r>
      <w:r>
        <w:br/>
      </w:r>
      <w:r>
        <w:br/>
      </w:r>
      <w:r>
        <w:br/>
      </w:r>
    </w:p>
    <w:p>
      <w:pPr>
        <w:pStyle w:val="null3"/>
        <w:jc w:val="center"/>
        <w:outlineLvl w:val="2"/>
      </w:pPr>
      <w:r>
        <w:rPr>
          <w:rFonts w:ascii="仿宋_GB2312" w:hAnsi="仿宋_GB2312" w:cs="仿宋_GB2312" w:eastAsia="仿宋_GB2312"/>
          <w:sz w:val="28"/>
          <w:b/>
        </w:rPr>
        <w:t>省纪委办公厅（监察厅）</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省纪委办公厅（监察厅）</w:t>
      </w:r>
      <w:r>
        <w:rPr>
          <w:rFonts w:ascii="仿宋_GB2312" w:hAnsi="仿宋_GB2312" w:cs="仿宋_GB2312" w:eastAsia="仿宋_GB2312"/>
        </w:rPr>
        <w:t>委托，拟对</w:t>
      </w:r>
      <w:r>
        <w:rPr>
          <w:rFonts w:ascii="仿宋_GB2312" w:hAnsi="仿宋_GB2312" w:cs="仿宋_GB2312" w:eastAsia="仿宋_GB2312"/>
        </w:rPr>
        <w:t>业务用车租赁项目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KY2026-1-323.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业务用车租赁项目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共陕西省纪委办公厅业务用车租赁项目，1项，主要功能或目标:为省纪委机关提供安全、高效、规范的车辆租赁服务，保障日常公务等各类纪检监察业务活动有序开展，保障纪检监察工作的严肃性。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采购包1（业务用车租赁项目）：属于专门面向中小企业采购。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2026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8、特定资质：供应商须提供处于有效期内的《道路运输经营许可证》（经营范围需包含市际包车客运）。</w:t>
      </w:r>
    </w:p>
    <w:p>
      <w:pPr>
        <w:pStyle w:val="null3"/>
      </w:pPr>
      <w:r>
        <w:rPr>
          <w:rFonts w:ascii="仿宋_GB2312" w:hAnsi="仿宋_GB2312" w:cs="仿宋_GB2312" w:eastAsia="仿宋_GB2312"/>
        </w:rPr>
        <w:t>9、投标人企业关系关联承诺：单位负责人为同一人或者存在直接控股、管理关系的不同投标人，不得参加同一合同项下的投标活动。</w:t>
      </w:r>
    </w:p>
    <w:p>
      <w:pPr>
        <w:pStyle w:val="null3"/>
      </w:pPr>
      <w:r>
        <w:rPr>
          <w:rFonts w:ascii="仿宋_GB2312" w:hAnsi="仿宋_GB2312" w:cs="仿宋_GB2312" w:eastAsia="仿宋_GB2312"/>
        </w:rPr>
        <w:t>10、声明函：本项目专门面向中小企业采购，供应商应为中小企业或监狱企业或残疾人福利性单位，并提供声明函。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省纪委办公厅（监察厅）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陕西省西安市雁塔区雁塔北路南段10号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029-63905101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温虎、牛佩文、刘金柯、吕江涛、卢韶华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银行账号：86113010750181502001105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预算金额向采购代理机构交纳成交服务费，交费金额参照国家计委颁布的《招标代理服务收费管理暂行办法》（计价格[2002]1980号）及发改办价格[2003]857号文件的规定标准收取， 本项目代理服务费按服务计取，服务费金额=年服务费金额*服务期（三年）。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省纪委办公厅（监察厅）</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省纪委办公厅（监察厅）</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省纪委办公厅（监察厅）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中共陕西省纪委办公厅业务用车租赁项目，1项，具体内容详见服务要求。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5,350,000.00</w:t>
      </w:r>
    </w:p>
    <w:p>
      <w:pPr>
        <w:pStyle w:val="null3"/>
      </w:pPr>
      <w:r>
        <w:rPr>
          <w:rFonts w:ascii="仿宋_GB2312" w:hAnsi="仿宋_GB2312" w:cs="仿宋_GB2312" w:eastAsia="仿宋_GB2312"/>
        </w:rPr>
        <w:t>采购包最高限价（元）: 5,350,000.00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业务用车租赁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标的名称：业务用车租赁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本项目为中共陕西省纪委办公厅业务用车租赁服务，旨在通过选取具备相应资质、服务能力的租赁服务商，为省纪委机关提供安全、高效、规范的车辆租赁服务，保障日常公务等各类纪检监察业务活动有序开展，本次项目因工作涉及大量保密信息和涉密任务，租赁服务全过程需严格遵循保密法律法规及省纪委保密管理相关规定，租赁车辆严禁安装未经审核的录音、录像、定位外扩设备，配备的驾驶员需政治素质过硬、签订保密承诺书并接受保密培训，用车流程、数据档案实行保密管理，严禁泄露乘车人员、出行路线、工作任务等保密信息及工作秘密，切实筑牢保密防线，保障纪检监察工作的严肃性和保密性。</w:t>
            </w:r>
          </w:p>
          <w:p>
            <w:pPr>
              <w:pStyle w:val="null3"/>
              <w:ind w:firstLine="585"/>
              <w:jc w:val="both"/>
            </w:pPr>
            <w:r>
              <w:rPr>
                <w:rFonts w:ascii="仿宋_GB2312" w:hAnsi="仿宋_GB2312" w:cs="仿宋_GB2312" w:eastAsia="仿宋_GB2312"/>
                <w:sz w:val="24"/>
                <w:b/>
              </w:rPr>
              <w:t>（二）车辆类型及报价</w:t>
            </w:r>
          </w:p>
          <w:tbl>
            <w:tblPr>
              <w:tblBorders>
                <w:top w:val="none" w:color="000000" w:sz="4"/>
                <w:left w:val="none" w:color="000000" w:sz="4"/>
                <w:bottom w:val="none" w:color="000000" w:sz="4"/>
                <w:right w:val="none" w:color="000000" w:sz="4"/>
                <w:insideH w:val="none"/>
                <w:insideV w:val="none"/>
              </w:tblBorders>
            </w:tblPr>
            <w:tblGrid>
              <w:gridCol w:w="280"/>
              <w:gridCol w:w="930"/>
              <w:gridCol w:w="676"/>
              <w:gridCol w:w="655"/>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车辆类型</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综合预算</w:t>
                  </w:r>
                </w:p>
                <w:p>
                  <w:pPr>
                    <w:pStyle w:val="null3"/>
                    <w:jc w:val="center"/>
                  </w:pPr>
                  <w:r>
                    <w:rPr>
                      <w:rFonts w:ascii="仿宋_GB2312" w:hAnsi="仿宋_GB2312" w:cs="仿宋_GB2312" w:eastAsia="仿宋_GB2312"/>
                      <w:sz w:val="24"/>
                      <w:b/>
                    </w:rPr>
                    <w:t>（元</w:t>
                  </w:r>
                  <w:r>
                    <w:rPr>
                      <w:rFonts w:ascii="仿宋_GB2312" w:hAnsi="仿宋_GB2312" w:cs="仿宋_GB2312" w:eastAsia="仿宋_GB2312"/>
                      <w:sz w:val="24"/>
                      <w:b/>
                    </w:rPr>
                    <w:t>/日）</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超出公里预算</w:t>
                  </w:r>
                </w:p>
                <w:p>
                  <w:pPr>
                    <w:pStyle w:val="null3"/>
                    <w:jc w:val="center"/>
                  </w:pPr>
                  <w:r>
                    <w:rPr>
                      <w:rFonts w:ascii="仿宋_GB2312" w:hAnsi="仿宋_GB2312" w:cs="仿宋_GB2312" w:eastAsia="仿宋_GB2312"/>
                      <w:sz w:val="24"/>
                      <w:b/>
                    </w:rPr>
                    <w:t>（元</w:t>
                  </w:r>
                  <w:r>
                    <w:rPr>
                      <w:rFonts w:ascii="仿宋_GB2312" w:hAnsi="仿宋_GB2312" w:cs="仿宋_GB2312" w:eastAsia="仿宋_GB2312"/>
                      <w:sz w:val="24"/>
                      <w:b/>
                    </w:rPr>
                    <w:t>/公里）</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轿车（</w:t>
                  </w:r>
                  <w:r>
                    <w:rPr>
                      <w:rFonts w:ascii="仿宋_GB2312" w:hAnsi="仿宋_GB2312" w:cs="仿宋_GB2312" w:eastAsia="仿宋_GB2312"/>
                      <w:sz w:val="24"/>
                    </w:rPr>
                    <w:t>5座）</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越野车（</w:t>
                  </w:r>
                  <w:r>
                    <w:rPr>
                      <w:rFonts w:ascii="仿宋_GB2312" w:hAnsi="仿宋_GB2312" w:cs="仿宋_GB2312" w:eastAsia="仿宋_GB2312"/>
                      <w:sz w:val="24"/>
                    </w:rPr>
                    <w:t>5座四驱）</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商务车（</w:t>
                  </w:r>
                  <w:r>
                    <w:rPr>
                      <w:rFonts w:ascii="仿宋_GB2312" w:hAnsi="仿宋_GB2312" w:cs="仿宋_GB2312" w:eastAsia="仿宋_GB2312"/>
                      <w:sz w:val="24"/>
                    </w:rPr>
                    <w:t>6-9座）</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bl>
          <w:p>
            <w:pPr>
              <w:pStyle w:val="null3"/>
              <w:jc w:val="both"/>
            </w:pPr>
            <w:r>
              <w:rPr>
                <w:rFonts w:ascii="仿宋_GB2312" w:hAnsi="仿宋_GB2312" w:cs="仿宋_GB2312" w:eastAsia="仿宋_GB2312"/>
                <w:sz w:val="24"/>
              </w:rPr>
              <w:t>注：</w:t>
            </w:r>
          </w:p>
          <w:p>
            <w:pPr>
              <w:pStyle w:val="null3"/>
              <w:ind w:firstLine="480"/>
              <w:jc w:val="both"/>
            </w:pPr>
            <w:r>
              <w:rPr>
                <w:rFonts w:ascii="仿宋_GB2312" w:hAnsi="仿宋_GB2312" w:cs="仿宋_GB2312" w:eastAsia="仿宋_GB2312"/>
                <w:sz w:val="24"/>
              </w:rPr>
              <w:t>1.所有车型每日限定100公里，超公里按照表中明细计算，单日综合预算为超公里计费上限，超公里计费金额不得超过单日综合预算，</w:t>
            </w:r>
            <w:r>
              <w:rPr>
                <w:rFonts w:ascii="仿宋_GB2312" w:hAnsi="仿宋_GB2312" w:cs="仿宋_GB2312" w:eastAsia="仿宋_GB2312"/>
                <w:sz w:val="24"/>
              </w:rPr>
              <w:t>即</w:t>
            </w:r>
            <w:r>
              <w:rPr>
                <w:rFonts w:ascii="仿宋_GB2312" w:hAnsi="仿宋_GB2312" w:cs="仿宋_GB2312" w:eastAsia="仿宋_GB2312"/>
                <w:sz w:val="24"/>
              </w:rPr>
              <w:t>综合预算</w:t>
            </w:r>
            <w:r>
              <w:rPr>
                <w:rFonts w:ascii="仿宋_GB2312" w:hAnsi="仿宋_GB2312" w:cs="仿宋_GB2312" w:eastAsia="仿宋_GB2312"/>
                <w:sz w:val="24"/>
              </w:rPr>
              <w:t>+超公里预算≤综合预算*2。</w:t>
            </w:r>
          </w:p>
          <w:p>
            <w:pPr>
              <w:pStyle w:val="null3"/>
              <w:ind w:firstLine="480"/>
              <w:jc w:val="both"/>
            </w:pPr>
            <w:r>
              <w:rPr>
                <w:rFonts w:ascii="仿宋_GB2312" w:hAnsi="仿宋_GB2312" w:cs="仿宋_GB2312" w:eastAsia="仿宋_GB2312"/>
                <w:sz w:val="24"/>
              </w:rPr>
              <w:t>2.超公里计费时需提供明确的车辆行驶里程单据。</w:t>
            </w:r>
          </w:p>
          <w:p>
            <w:pPr>
              <w:pStyle w:val="null3"/>
              <w:jc w:val="both"/>
            </w:pPr>
            <w:r>
              <w:rPr>
                <w:rFonts w:ascii="仿宋_GB2312" w:hAnsi="仿宋_GB2312" w:cs="仿宋_GB2312" w:eastAsia="仿宋_GB2312"/>
                <w:sz w:val="24"/>
                <w:b/>
              </w:rPr>
              <w:t>（三）服务要求</w:t>
            </w:r>
          </w:p>
          <w:p>
            <w:pPr>
              <w:pStyle w:val="null3"/>
              <w:jc w:val="both"/>
            </w:pPr>
            <w:r>
              <w:rPr>
                <w:rFonts w:ascii="仿宋_GB2312" w:hAnsi="仿宋_GB2312" w:cs="仿宋_GB2312" w:eastAsia="仿宋_GB2312"/>
                <w:sz w:val="24"/>
                <w:b/>
              </w:rPr>
              <w:t>1、车辆要求</w:t>
            </w:r>
          </w:p>
          <w:p>
            <w:pPr>
              <w:pStyle w:val="null3"/>
              <w:ind w:firstLine="480"/>
              <w:jc w:val="both"/>
            </w:pPr>
            <w:r>
              <w:rPr>
                <w:rFonts w:ascii="仿宋_GB2312" w:hAnsi="仿宋_GB2312" w:cs="仿宋_GB2312" w:eastAsia="仿宋_GB2312"/>
                <w:sz w:val="24"/>
              </w:rPr>
              <w:t>(1)供应商有充足的车辆满足租赁所需，确保不同车辆类型的用车需求，有一定比例的新能源车辆。其中：</w:t>
            </w:r>
          </w:p>
          <w:p>
            <w:pPr>
              <w:pStyle w:val="null3"/>
              <w:ind w:firstLine="480"/>
              <w:jc w:val="both"/>
            </w:pPr>
            <w:r>
              <w:rPr>
                <w:rFonts w:ascii="仿宋_GB2312" w:hAnsi="仿宋_GB2312" w:cs="仿宋_GB2312" w:eastAsia="仿宋_GB2312"/>
                <w:sz w:val="24"/>
              </w:rPr>
              <w:t>轿车（</w:t>
            </w:r>
            <w:r>
              <w:rPr>
                <w:rFonts w:ascii="仿宋_GB2312" w:hAnsi="仿宋_GB2312" w:cs="仿宋_GB2312" w:eastAsia="仿宋_GB2312"/>
                <w:sz w:val="24"/>
              </w:rPr>
              <w:t>5座）</w:t>
            </w:r>
            <w:r>
              <w:rPr>
                <w:rFonts w:ascii="仿宋_GB2312" w:hAnsi="仿宋_GB2312" w:cs="仿宋_GB2312" w:eastAsia="仿宋_GB2312"/>
                <w:sz w:val="24"/>
              </w:rPr>
              <w:t>不少于</w:t>
            </w:r>
            <w:r>
              <w:rPr>
                <w:rFonts w:ascii="仿宋_GB2312" w:hAnsi="仿宋_GB2312" w:cs="仿宋_GB2312" w:eastAsia="仿宋_GB2312"/>
                <w:sz w:val="24"/>
              </w:rPr>
              <w:t>15辆；</w:t>
            </w:r>
          </w:p>
          <w:p>
            <w:pPr>
              <w:pStyle w:val="null3"/>
              <w:ind w:firstLine="480"/>
              <w:jc w:val="both"/>
            </w:pPr>
            <w:r>
              <w:rPr>
                <w:rFonts w:ascii="仿宋_GB2312" w:hAnsi="仿宋_GB2312" w:cs="仿宋_GB2312" w:eastAsia="仿宋_GB2312"/>
                <w:sz w:val="24"/>
              </w:rPr>
              <w:t>越野车（</w:t>
            </w:r>
            <w:r>
              <w:rPr>
                <w:rFonts w:ascii="仿宋_GB2312" w:hAnsi="仿宋_GB2312" w:cs="仿宋_GB2312" w:eastAsia="仿宋_GB2312"/>
                <w:sz w:val="24"/>
              </w:rPr>
              <w:t>5座四驱）</w:t>
            </w:r>
            <w:r>
              <w:rPr>
                <w:rFonts w:ascii="仿宋_GB2312" w:hAnsi="仿宋_GB2312" w:cs="仿宋_GB2312" w:eastAsia="仿宋_GB2312"/>
                <w:sz w:val="24"/>
              </w:rPr>
              <w:t>不少于</w:t>
            </w:r>
            <w:r>
              <w:rPr>
                <w:rFonts w:ascii="仿宋_GB2312" w:hAnsi="仿宋_GB2312" w:cs="仿宋_GB2312" w:eastAsia="仿宋_GB2312"/>
                <w:sz w:val="24"/>
              </w:rPr>
              <w:t>2辆；</w:t>
            </w:r>
          </w:p>
          <w:p>
            <w:pPr>
              <w:pStyle w:val="null3"/>
              <w:ind w:firstLine="480"/>
              <w:jc w:val="both"/>
            </w:pPr>
            <w:r>
              <w:rPr>
                <w:rFonts w:ascii="仿宋_GB2312" w:hAnsi="仿宋_GB2312" w:cs="仿宋_GB2312" w:eastAsia="仿宋_GB2312"/>
                <w:sz w:val="24"/>
              </w:rPr>
              <w:t>商务车（</w:t>
            </w:r>
            <w:r>
              <w:rPr>
                <w:rFonts w:ascii="仿宋_GB2312" w:hAnsi="仿宋_GB2312" w:cs="仿宋_GB2312" w:eastAsia="仿宋_GB2312"/>
                <w:sz w:val="24"/>
              </w:rPr>
              <w:t>6-9座）</w:t>
            </w:r>
            <w:r>
              <w:rPr>
                <w:rFonts w:ascii="仿宋_GB2312" w:hAnsi="仿宋_GB2312" w:cs="仿宋_GB2312" w:eastAsia="仿宋_GB2312"/>
                <w:sz w:val="24"/>
              </w:rPr>
              <w:t>不少于</w:t>
            </w:r>
            <w:r>
              <w:rPr>
                <w:rFonts w:ascii="仿宋_GB2312" w:hAnsi="仿宋_GB2312" w:cs="仿宋_GB2312" w:eastAsia="仿宋_GB2312"/>
                <w:sz w:val="24"/>
              </w:rPr>
              <w:t>9辆；</w:t>
            </w:r>
          </w:p>
          <w:p>
            <w:pPr>
              <w:pStyle w:val="null3"/>
              <w:ind w:firstLine="480"/>
              <w:jc w:val="both"/>
            </w:pPr>
            <w:r>
              <w:rPr>
                <w:rFonts w:ascii="仿宋_GB2312" w:hAnsi="仿宋_GB2312" w:cs="仿宋_GB2312" w:eastAsia="仿宋_GB2312"/>
                <w:sz w:val="24"/>
              </w:rPr>
              <w:t>(2)所投车辆注册年限不超过5年，无重大事故。</w:t>
            </w:r>
          </w:p>
          <w:p>
            <w:pPr>
              <w:pStyle w:val="null3"/>
              <w:ind w:firstLine="480"/>
              <w:jc w:val="both"/>
            </w:pPr>
            <w:r>
              <w:rPr>
                <w:rFonts w:ascii="仿宋_GB2312" w:hAnsi="仿宋_GB2312" w:cs="仿宋_GB2312" w:eastAsia="仿宋_GB2312"/>
                <w:sz w:val="24"/>
              </w:rPr>
              <w:t>(3)车辆配置要求：车辆有GPS定位系统、灭火器、防滑链、备用轮胎。</w:t>
            </w:r>
          </w:p>
          <w:p>
            <w:pPr>
              <w:pStyle w:val="null3"/>
              <w:ind w:firstLine="480"/>
              <w:jc w:val="both"/>
            </w:pPr>
            <w:r>
              <w:rPr>
                <w:rFonts w:ascii="仿宋_GB2312" w:hAnsi="仿宋_GB2312" w:cs="仿宋_GB2312" w:eastAsia="仿宋_GB2312"/>
                <w:sz w:val="24"/>
              </w:rPr>
              <w:t>(4)车辆维护要求：供应商负责日常保养、维修及年检，确保提供的车辆始终处于良好状态。</w:t>
            </w:r>
          </w:p>
          <w:p>
            <w:pPr>
              <w:pStyle w:val="null3"/>
              <w:jc w:val="both"/>
            </w:pPr>
            <w:r>
              <w:rPr>
                <w:rFonts w:ascii="仿宋_GB2312" w:hAnsi="仿宋_GB2312" w:cs="仿宋_GB2312" w:eastAsia="仿宋_GB2312"/>
                <w:sz w:val="24"/>
                <w:b/>
              </w:rPr>
              <w:t>2、保险要求</w:t>
            </w:r>
          </w:p>
          <w:p>
            <w:pPr>
              <w:pStyle w:val="null3"/>
              <w:ind w:firstLine="480"/>
              <w:jc w:val="both"/>
            </w:pPr>
            <w:r>
              <w:rPr>
                <w:rFonts w:ascii="仿宋_GB2312" w:hAnsi="仿宋_GB2312" w:cs="仿宋_GB2312" w:eastAsia="仿宋_GB2312"/>
                <w:sz w:val="24"/>
              </w:rPr>
              <w:t>车辆保险要求：车辆有交强险、商业险（车损险、第三者责任险</w:t>
            </w:r>
            <w:r>
              <w:rPr>
                <w:rFonts w:ascii="仿宋_GB2312" w:hAnsi="仿宋_GB2312" w:cs="仿宋_GB2312" w:eastAsia="仿宋_GB2312"/>
                <w:sz w:val="24"/>
              </w:rPr>
              <w:t>≥100万、座位险）。</w:t>
            </w:r>
          </w:p>
          <w:p>
            <w:pPr>
              <w:pStyle w:val="null3"/>
              <w:jc w:val="both"/>
            </w:pPr>
            <w:r>
              <w:rPr>
                <w:rFonts w:ascii="仿宋_GB2312" w:hAnsi="仿宋_GB2312" w:cs="仿宋_GB2312" w:eastAsia="仿宋_GB2312"/>
                <w:sz w:val="24"/>
                <w:b/>
              </w:rPr>
              <w:t>3、驾驶员要求</w:t>
            </w:r>
          </w:p>
          <w:p>
            <w:pPr>
              <w:pStyle w:val="null3"/>
              <w:ind w:firstLine="480"/>
              <w:jc w:val="both"/>
            </w:pPr>
            <w:r>
              <w:rPr>
                <w:rFonts w:ascii="仿宋_GB2312" w:hAnsi="仿宋_GB2312" w:cs="仿宋_GB2312" w:eastAsia="仿宋_GB2312"/>
                <w:sz w:val="24"/>
              </w:rPr>
              <w:t>(1)供应商根据采购人用车情况，配备专职驾驶员数量不少于26人，驾驶员持有准驾车型驾驶证，年龄≤55岁，熟悉省内路况。</w:t>
            </w:r>
          </w:p>
          <w:p>
            <w:pPr>
              <w:pStyle w:val="null3"/>
              <w:ind w:firstLine="480"/>
              <w:jc w:val="both"/>
            </w:pPr>
            <w:r>
              <w:rPr>
                <w:rFonts w:ascii="仿宋_GB2312" w:hAnsi="仿宋_GB2312" w:cs="仿宋_GB2312" w:eastAsia="仿宋_GB2312"/>
                <w:sz w:val="24"/>
              </w:rPr>
              <w:t>(2)驾驶员应身体健康、无饮酒嗜好、无酒驾记录、无任何影响安全驾驶的疾病、驾龄不少于5年、具有丰富的驾驶经验。</w:t>
            </w:r>
          </w:p>
          <w:p>
            <w:pPr>
              <w:pStyle w:val="null3"/>
              <w:ind w:firstLine="480"/>
              <w:jc w:val="both"/>
            </w:pPr>
            <w:r>
              <w:rPr>
                <w:rFonts w:ascii="仿宋_GB2312" w:hAnsi="仿宋_GB2312" w:cs="仿宋_GB2312" w:eastAsia="仿宋_GB2312"/>
                <w:sz w:val="24"/>
              </w:rPr>
              <w:t>(3)驾驶员必须经过供应商组织的安全培训教育，驾驶员持有个人人身意外伤害险。</w:t>
            </w:r>
          </w:p>
          <w:p>
            <w:pPr>
              <w:pStyle w:val="null3"/>
              <w:ind w:firstLine="480"/>
              <w:jc w:val="both"/>
            </w:pPr>
            <w:r>
              <w:rPr>
                <w:rFonts w:ascii="仿宋_GB2312" w:hAnsi="仿宋_GB2312" w:cs="仿宋_GB2312" w:eastAsia="仿宋_GB2312"/>
                <w:sz w:val="24"/>
              </w:rPr>
              <w:t>(4)车辆租赁期间驾驶员必须服从项目统一安排。对拒不服从项目组工作安排的驾驶员，由供应商负责召回并更换符合采购人要求的驾驶员。</w:t>
            </w:r>
          </w:p>
          <w:p>
            <w:pPr>
              <w:pStyle w:val="null3"/>
              <w:ind w:firstLine="480"/>
              <w:jc w:val="both"/>
            </w:pPr>
            <w:r>
              <w:rPr>
                <w:rFonts w:ascii="仿宋_GB2312" w:hAnsi="仿宋_GB2312" w:cs="仿宋_GB2312" w:eastAsia="仿宋_GB2312"/>
                <w:sz w:val="24"/>
              </w:rPr>
              <w:t>(5)驶员在出租期内不得饮酒、熬夜、私自用车，在租赁期内驾驶员如违法、违章操作导致发生交通事故或造成车上人员人身损害，由此产生的法律责任及费用由供应商承担。</w:t>
            </w:r>
          </w:p>
          <w:p>
            <w:pPr>
              <w:pStyle w:val="null3"/>
              <w:jc w:val="both"/>
            </w:pPr>
            <w:r>
              <w:rPr>
                <w:rFonts w:ascii="仿宋_GB2312" w:hAnsi="仿宋_GB2312" w:cs="仿宋_GB2312" w:eastAsia="仿宋_GB2312"/>
                <w:sz w:val="24"/>
                <w:b/>
              </w:rPr>
              <w:t>4、其他要求</w:t>
            </w:r>
          </w:p>
          <w:p>
            <w:pPr>
              <w:pStyle w:val="null3"/>
              <w:ind w:firstLine="480"/>
              <w:jc w:val="both"/>
            </w:pPr>
            <w:r>
              <w:rPr>
                <w:rFonts w:ascii="仿宋_GB2312" w:hAnsi="仿宋_GB2312" w:cs="仿宋_GB2312" w:eastAsia="仿宋_GB2312"/>
                <w:sz w:val="24"/>
              </w:rPr>
              <w:t>(1)调度与响应：供应商建立有线上预约，支持提前48小时预约；对紧急用车情况应60分钟响应，节假日及夜间用车需额外配备备用车辆，超过约定时间15分钟未达到用车地点，视为违约，超时按日租金20%扣款；供应商须服从采购人用车调度安排。</w:t>
            </w:r>
          </w:p>
          <w:p>
            <w:pPr>
              <w:pStyle w:val="null3"/>
              <w:ind w:firstLine="480"/>
              <w:jc w:val="both"/>
            </w:pPr>
            <w:r>
              <w:rPr>
                <w:rFonts w:ascii="仿宋_GB2312" w:hAnsi="仿宋_GB2312" w:cs="仿宋_GB2312" w:eastAsia="仿宋_GB2312"/>
                <w:sz w:val="24"/>
              </w:rPr>
              <w:t>(2)严格遵守交通法规，确保无重大交通事故，避免一般事故，杜绝客伤事故。</w:t>
            </w:r>
          </w:p>
          <w:p>
            <w:pPr>
              <w:pStyle w:val="null3"/>
              <w:ind w:firstLine="480"/>
              <w:jc w:val="both"/>
            </w:pPr>
            <w:r>
              <w:rPr>
                <w:rFonts w:ascii="仿宋_GB2312" w:hAnsi="仿宋_GB2312" w:cs="仿宋_GB2312" w:eastAsia="仿宋_GB2312"/>
                <w:sz w:val="24"/>
              </w:rPr>
              <w:t>(3)提供方便、及时和舒适的人性化服务。</w:t>
            </w:r>
          </w:p>
          <w:p>
            <w:pPr>
              <w:pStyle w:val="null3"/>
              <w:ind w:firstLine="480"/>
              <w:jc w:val="both"/>
            </w:pPr>
            <w:r>
              <w:rPr>
                <w:rFonts w:ascii="仿宋_GB2312" w:hAnsi="仿宋_GB2312" w:cs="仿宋_GB2312" w:eastAsia="仿宋_GB2312"/>
                <w:sz w:val="24"/>
              </w:rPr>
              <w:t>(4)提供租赁的车辆车容车貌保持整洁，车内空调等设施齐全，性能良好，使用正常。</w:t>
            </w:r>
          </w:p>
          <w:p>
            <w:pPr>
              <w:pStyle w:val="null3"/>
              <w:ind w:firstLine="480"/>
              <w:jc w:val="both"/>
            </w:pPr>
            <w:r>
              <w:rPr>
                <w:rFonts w:ascii="仿宋_GB2312" w:hAnsi="仿宋_GB2312" w:cs="仿宋_GB2312" w:eastAsia="仿宋_GB2312"/>
                <w:sz w:val="24"/>
              </w:rPr>
              <w:t>(5)配驾司机工作态度良好，具有良好的团队意识，服从乘车人员的管理，能按乘车人员的要求提供相应的义务服务。</w:t>
            </w:r>
          </w:p>
          <w:p>
            <w:pPr>
              <w:pStyle w:val="null3"/>
              <w:ind w:firstLine="480"/>
              <w:jc w:val="both"/>
            </w:pPr>
            <w:r>
              <w:rPr>
                <w:rFonts w:ascii="仿宋_GB2312" w:hAnsi="仿宋_GB2312" w:cs="仿宋_GB2312" w:eastAsia="仿宋_GB2312"/>
                <w:sz w:val="24"/>
              </w:rPr>
              <w:t>(6)车辆报价按天计算（含车辆租赁费、过桥过路费、燃油费、停车费、驾驶员工资、保养维修费、保险费、违章处理费等）,优先选择高速公路通行。</w:t>
            </w:r>
          </w:p>
          <w:p>
            <w:pPr>
              <w:pStyle w:val="null3"/>
              <w:ind w:firstLine="480"/>
              <w:jc w:val="both"/>
            </w:pPr>
            <w:r>
              <w:rPr>
                <w:rFonts w:ascii="仿宋_GB2312" w:hAnsi="仿宋_GB2312" w:cs="仿宋_GB2312" w:eastAsia="仿宋_GB2312"/>
                <w:sz w:val="24"/>
              </w:rPr>
              <w:t>(7)投标人对所获得的采购人信息负有保密义务。（投标时须提供保密承诺函，格式自拟）</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服务期限：三年（合同一年一签）。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中共陕西省纪委办公厅指定地点。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本项目按季度据实结算（因系统限制，合同金额的100%为季度应付金额）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1、本项目预算金额（5350000元）为一年预算金额。 2、投标人需要在线提交所有通过电子化交易平台实施的政府采购项目的投标文件，同时，线下提交纸质投标文件正本壹份、副本贰份、电子版壹份（U盘壹份）。 3、纸质投标文件正本、副本、电子版，标明投标人名称分开密封递交（投标文件采用双面打印）。 4、线下纸质文件递交截止时间：同在线递交电子投标文件截止时间一致；线下纸质文件递交地点：西安市雁展路1111号莱安中心T6-15层。如需邮寄投标文件，仅接受顺丰速运（联系人：温虎、联系电话：029-81206622-820）。 5、保证金的退还：自中标通知书发出之日起5个工作日内退还未中标人的投标保证金,自采购合同签订之日起5个工作日内退还中标人的投标保证金。 6、采购人应按照采购文件和中标人投标文件，在中标通知书发出之日起25日内签订合同。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供应商须提供处于有效期内的《道路运输经营许可证》（经营范围需包含市际包车客运）。</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投标人企业关系关联承诺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单位负责人为同一人或者存在直接控股、管理关系的不同投标人，不得参加同一合同项下的投标活动。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投标人资格证明文件.docx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投标函 投标人资格证明文件.docx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投标方案说明-7保密措施及承诺.docx 中小企业声明函 投标方案说明-4车辆配套设施.docx 投标方案说明-5人员配备.docx 商务条款响应说明.docx 保证金交纳凭证（保函）.docx 投标方案说明-9业绩.docx 投标方案说明-2安全运营制度及管理措施.docx 投标方案说明-3车辆情况.docx 投标方案说明-6应急预案.docx 投标函 投标方案说明-1整体服务方案.docx 残疾人福利性单位声明函 投标方案说明-8新能源车辆.docx 标的清单 投标人资格证明文件.docx 投标文件封面 服务内容及服务要求应答表.docx 报价表.docx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投标方案说明-7保密措施及承诺.docx 中小企业声明函 投标方案说明-4车辆配套设施.docx 投标方案说明-5人员配备.docx 商务条款响应说明.docx 保证金交纳凭证（保函）.docx 投标方案说明-9业绩.docx 投标方案说明-2安全运营制度及管理措施.docx 投标方案说明-3车辆情况.docx 投标方案说明-6应急预案.docx 投标函 投标方案说明-1整体服务方案.docx 残疾人福利性单位声明函 投标方案说明-8新能源车辆.docx 标的清单 投标人资格证明文件.docx 投标文件封面 服务内容及服务要求应答表.docx 报价表.docx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根据投标人针对本项目提供的项目整体服务方案进行评审，内容包括：①主要服务内容及目标；②服务保障措施；③用车操作流程；④业务用车可能遇到的难点问题的解决措施等。 评审标准：方案各项内容全面完整、阐述条理清晰详尽、符合本项目采购需求计16分，每缺少一项内容扣4分，每有一项内容存在一处缺陷扣1分，扣完为止。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投标方案说明-1整体服务方案.docx</w:t>
            </w:r>
          </w:p>
        </w:tc>
      </w:tr>
      <w:tr>
        <w:tc>
          <w:tcPr>
            <w:tcW w:type="dxa" w:w="831"/>
            <w:vMerge/>
          </w:tcPr>
          <w:p/>
        </w:tc>
        <w:tc>
          <w:tcPr>
            <w:tcW w:type="dxa" w:w="1661"/>
          </w:tcPr>
          <w:p>
            <w:pPr>
              <w:pStyle w:val="null3"/>
            </w:pPr>
            <w:r>
              <w:rPr>
                <w:rFonts w:ascii="仿宋_GB2312" w:hAnsi="仿宋_GB2312" w:cs="仿宋_GB2312" w:eastAsia="仿宋_GB2312"/>
              </w:rPr>
              <w:t>安全运营制度及管理措施</w:t>
            </w:r>
          </w:p>
        </w:tc>
        <w:tc>
          <w:tcPr>
            <w:tcW w:type="dxa" w:w="2492"/>
          </w:tcPr>
          <w:p>
            <w:pPr>
              <w:pStyle w:val="null3"/>
            </w:pPr>
            <w:r>
              <w:rPr>
                <w:rFonts w:ascii="仿宋_GB2312" w:hAnsi="仿宋_GB2312" w:cs="仿宋_GB2312" w:eastAsia="仿宋_GB2312"/>
              </w:rPr>
              <w:t>根据投标人针对本项目提供的安全运营制度及管理措施进行评审，内容包括：①车辆安全管理制度；②车辆调度管理方案；③车辆准点率保证方案；④行车记录考核方案；⑤人员培训制度方案等。 评审标准：方案各项内容全面完整、阐述条理清晰详尽、符合本项目采购需求计15分，每缺少一项内容扣3分，每有一项内容存在一处缺陷扣1分，扣完为止。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投标方案说明-2安全运营制度及管理措施.docx</w:t>
            </w:r>
          </w:p>
        </w:tc>
      </w:tr>
      <w:tr>
        <w:tc>
          <w:tcPr>
            <w:tcW w:type="dxa" w:w="831"/>
            <w:vMerge/>
          </w:tcPr>
          <w:p/>
        </w:tc>
        <w:tc>
          <w:tcPr>
            <w:tcW w:type="dxa" w:w="1661"/>
          </w:tcPr>
          <w:p>
            <w:pPr>
              <w:pStyle w:val="null3"/>
            </w:pPr>
            <w:r>
              <w:rPr>
                <w:rFonts w:ascii="仿宋_GB2312" w:hAnsi="仿宋_GB2312" w:cs="仿宋_GB2312" w:eastAsia="仿宋_GB2312"/>
              </w:rPr>
              <w:t>车辆情况</w:t>
            </w:r>
          </w:p>
        </w:tc>
        <w:tc>
          <w:tcPr>
            <w:tcW w:type="dxa" w:w="2492"/>
          </w:tcPr>
          <w:p>
            <w:pPr>
              <w:pStyle w:val="null3"/>
            </w:pPr>
            <w:r>
              <w:rPr>
                <w:rFonts w:ascii="仿宋_GB2312" w:hAnsi="仿宋_GB2312" w:cs="仿宋_GB2312" w:eastAsia="仿宋_GB2312"/>
              </w:rPr>
              <w:t>投标人针对本项目的车辆配备情况，内容包括：①拟投入车辆数量、型号、产权及相关车况；②车辆保险相关资料（包括但不限于：交强险、车损险、第三者责任险、座位险等）。 评审标准：方案各项内容全面完整、阐述条理清晰详尽、证明材料齐全，符合本项目采购需求计10分，每缺少一项内容扣5分，每有一项内容存在一处缺陷扣1分，扣完为止。 注：评审内容“缺陷”是指：内容粗略、逻辑混乱、描述过于简单、证明材料不齐、与项目特点不匹配、凭空编造、逻辑漏洞、出现常识性错误、存在不适用项目实际情况的情形或只有标题没有实质性内容等。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投标方案说明-3车辆情况.docx</w:t>
            </w:r>
          </w:p>
        </w:tc>
      </w:tr>
      <w:tr>
        <w:tc>
          <w:tcPr>
            <w:tcW w:type="dxa" w:w="831"/>
            <w:vMerge/>
          </w:tcPr>
          <w:p/>
        </w:tc>
        <w:tc>
          <w:tcPr>
            <w:tcW w:type="dxa" w:w="1661"/>
          </w:tcPr>
          <w:p>
            <w:pPr>
              <w:pStyle w:val="null3"/>
            </w:pPr>
            <w:r>
              <w:rPr>
                <w:rFonts w:ascii="仿宋_GB2312" w:hAnsi="仿宋_GB2312" w:cs="仿宋_GB2312" w:eastAsia="仿宋_GB2312"/>
              </w:rPr>
              <w:t>车辆配套设施</w:t>
            </w:r>
          </w:p>
        </w:tc>
        <w:tc>
          <w:tcPr>
            <w:tcW w:type="dxa" w:w="2492"/>
          </w:tcPr>
          <w:p>
            <w:pPr>
              <w:pStyle w:val="null3"/>
            </w:pPr>
            <w:r>
              <w:rPr>
                <w:rFonts w:ascii="仿宋_GB2312" w:hAnsi="仿宋_GB2312" w:cs="仿宋_GB2312" w:eastAsia="仿宋_GB2312"/>
              </w:rPr>
              <w:t>根据投标人针对本项目提供的车辆配套设施进行评审，内容包括：①车辆配备GPS定位系统、防滑链、备用轮胎；②防火设施（配备灭火器及警示性标志牌等）；③医用急救设施等。 评审标准：方案各项内容全面完整、阐述条理清晰详尽、车辆配套设施齐全，符合本项目采购需求计9分，每缺少一项内容扣3分，每有一项内容存在一处缺陷扣1分，扣完为止。 注：评审内容“缺陷”是指：内容粗略、逻辑混乱、描述过于简单、支撑材料不齐、与项目特点不匹配、凭空编造、逻辑漏洞、出现常识性错误、存在不适用项目实际情况的情形或只有标题没有实质性内容等。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投标方案说明-4车辆配套设施.docx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投标人针对本项目的人员配备方案，内容包括：①项目人员配备清单及岗位职责分工；②驾驶员情况等。 评审标准：方案各项内容全面完整、阐述条理清晰详尽、人员配备充足，符合本项目采购需求计10分，每缺少一项内容扣5分，每有一项内容存在一处缺陷扣1分，扣完为止。 注：评审内容“缺陷”是指：内容粗略、逻辑混乱、描述过于简单、数量不足、与项目特点不匹配、凭空编造、逻辑漏洞、出现常识性错误、存在不适用项目实际情况的情形或只有标题没有实质性内容等。驾驶员情况需提供驾驶员清单及有效的机动车驾驶证复印件，同时需提供有效的身份证复印件和在职证明材料（社保缴纳证明或劳动合同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可能出现的问题及突发事件等特殊情况，有具体可行的应急措施和解决方案，内容包括：①紧急用车需求方案；②恶劣天气、突发事件（包括但不限于堵车、交通事故、车辆故障、中暑、突发公共卫生事件等相关事件）的应急预案；③安全事故的应急赔付方案等。 评审标准：应急预案各项内容全面完整、阐述条理清晰详尽、符合本项目采购需求计9分，每缺少一项内容扣3分，每有一项内容存在一处缺陷扣1分，扣完为止。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投标方案说明-6应急预案.docx</w:t>
            </w:r>
          </w:p>
        </w:tc>
      </w:tr>
      <w:tr>
        <w:tc>
          <w:tcPr>
            <w:tcW w:type="dxa" w:w="831"/>
            <w:vMerge/>
          </w:tcPr>
          <w:p/>
        </w:tc>
        <w:tc>
          <w:tcPr>
            <w:tcW w:type="dxa" w:w="1661"/>
          </w:tcPr>
          <w:p>
            <w:pPr>
              <w:pStyle w:val="null3"/>
            </w:pPr>
            <w:r>
              <w:rPr>
                <w:rFonts w:ascii="仿宋_GB2312" w:hAnsi="仿宋_GB2312" w:cs="仿宋_GB2312" w:eastAsia="仿宋_GB2312"/>
              </w:rPr>
              <w:t>保密措施及承诺</w:t>
            </w:r>
          </w:p>
        </w:tc>
        <w:tc>
          <w:tcPr>
            <w:tcW w:type="dxa" w:w="2492"/>
          </w:tcPr>
          <w:p>
            <w:pPr>
              <w:pStyle w:val="null3"/>
            </w:pPr>
            <w:r>
              <w:rPr>
                <w:rFonts w:ascii="仿宋_GB2312" w:hAnsi="仿宋_GB2312" w:cs="仿宋_GB2312" w:eastAsia="仿宋_GB2312"/>
              </w:rPr>
              <w:t>投标人针对本项目有具体可行的保密措施及承诺。 评审标准：保密措施及承诺内容全面完整、阐述条理清晰详尽、合理可行，符合本项目采购需求计5分，每存在一处缺陷扣1分，扣完为止。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投标方案说明-7保密措施及承诺.docx</w:t>
            </w:r>
          </w:p>
        </w:tc>
      </w:tr>
      <w:tr>
        <w:tc>
          <w:tcPr>
            <w:tcW w:type="dxa" w:w="831"/>
            <w:vMerge/>
          </w:tcPr>
          <w:p/>
        </w:tc>
        <w:tc>
          <w:tcPr>
            <w:tcW w:type="dxa" w:w="1661"/>
          </w:tcPr>
          <w:p>
            <w:pPr>
              <w:pStyle w:val="null3"/>
            </w:pPr>
            <w:r>
              <w:rPr>
                <w:rFonts w:ascii="仿宋_GB2312" w:hAnsi="仿宋_GB2312" w:cs="仿宋_GB2312" w:eastAsia="仿宋_GB2312"/>
              </w:rPr>
              <w:t>新能源车辆</w:t>
            </w:r>
          </w:p>
        </w:tc>
        <w:tc>
          <w:tcPr>
            <w:tcW w:type="dxa" w:w="2492"/>
          </w:tcPr>
          <w:p>
            <w:pPr>
              <w:pStyle w:val="null3"/>
            </w:pPr>
            <w:r>
              <w:rPr>
                <w:rFonts w:ascii="仿宋_GB2312" w:hAnsi="仿宋_GB2312" w:cs="仿宋_GB2312" w:eastAsia="仿宋_GB2312"/>
              </w:rPr>
              <w:t>投标人提供车辆属于新能源汽车的（提供相关证明材料），每提供一辆得0.5分，最高得6分。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投标方案说明-8新能源车辆.docx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提供2023年1月1日至今（以合同签订日期为准）同类业绩的合同，每提供一个得2分，最高得10分。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投标方案说明-9业绩.docx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详见附件：投标方案说明-1整体服务方案.docx</w:t>
      </w:r>
    </w:p>
    <w:p>
      <w:pPr>
        <w:pStyle w:val="null3"/>
        <w:ind w:firstLine="960"/>
      </w:pPr>
      <w:r>
        <w:rPr>
          <w:rFonts w:ascii="仿宋_GB2312" w:hAnsi="仿宋_GB2312" w:cs="仿宋_GB2312" w:eastAsia="仿宋_GB2312"/>
        </w:rPr>
        <w:t>详见附件：投标方案说明-2安全运营制度及管理措施.docx</w:t>
      </w:r>
    </w:p>
    <w:p>
      <w:pPr>
        <w:pStyle w:val="null3"/>
        <w:ind w:firstLine="960"/>
      </w:pPr>
      <w:r>
        <w:rPr>
          <w:rFonts w:ascii="仿宋_GB2312" w:hAnsi="仿宋_GB2312" w:cs="仿宋_GB2312" w:eastAsia="仿宋_GB2312"/>
        </w:rPr>
        <w:t>详见附件：投标方案说明-3车辆情况.docx</w:t>
      </w:r>
    </w:p>
    <w:p>
      <w:pPr>
        <w:pStyle w:val="null3"/>
        <w:ind w:firstLine="960"/>
      </w:pPr>
      <w:r>
        <w:rPr>
          <w:rFonts w:ascii="仿宋_GB2312" w:hAnsi="仿宋_GB2312" w:cs="仿宋_GB2312" w:eastAsia="仿宋_GB2312"/>
        </w:rPr>
        <w:t>详见附件：投标方案说明-4车辆配套设施.docx</w:t>
      </w:r>
    </w:p>
    <w:p>
      <w:pPr>
        <w:pStyle w:val="null3"/>
        <w:ind w:firstLine="960"/>
      </w:pPr>
      <w:r>
        <w:rPr>
          <w:rFonts w:ascii="仿宋_GB2312" w:hAnsi="仿宋_GB2312" w:cs="仿宋_GB2312" w:eastAsia="仿宋_GB2312"/>
        </w:rPr>
        <w:t>详见附件：投标方案说明-5人员配备.docx</w:t>
      </w:r>
    </w:p>
    <w:p>
      <w:pPr>
        <w:pStyle w:val="null3"/>
        <w:ind w:firstLine="960"/>
      </w:pPr>
      <w:r>
        <w:rPr>
          <w:rFonts w:ascii="仿宋_GB2312" w:hAnsi="仿宋_GB2312" w:cs="仿宋_GB2312" w:eastAsia="仿宋_GB2312"/>
        </w:rPr>
        <w:t>详见附件：投标方案说明-6应急预案.docx</w:t>
      </w:r>
    </w:p>
    <w:p>
      <w:pPr>
        <w:pStyle w:val="null3"/>
        <w:ind w:firstLine="960"/>
      </w:pPr>
      <w:r>
        <w:rPr>
          <w:rFonts w:ascii="仿宋_GB2312" w:hAnsi="仿宋_GB2312" w:cs="仿宋_GB2312" w:eastAsia="仿宋_GB2312"/>
        </w:rPr>
        <w:t>详见附件：投标方案说明-7保密措施及承诺.docx</w:t>
      </w:r>
    </w:p>
    <w:p>
      <w:pPr>
        <w:pStyle w:val="null3"/>
        <w:ind w:firstLine="960"/>
      </w:pPr>
      <w:r>
        <w:rPr>
          <w:rFonts w:ascii="仿宋_GB2312" w:hAnsi="仿宋_GB2312" w:cs="仿宋_GB2312" w:eastAsia="仿宋_GB2312"/>
        </w:rPr>
        <w:t>详见附件：投标方案说明-8新能源车辆.docx</w:t>
      </w:r>
    </w:p>
    <w:p>
      <w:pPr>
        <w:pStyle w:val="null3"/>
        <w:ind w:firstLine="960"/>
      </w:pPr>
      <w:r>
        <w:rPr>
          <w:rFonts w:ascii="仿宋_GB2312" w:hAnsi="仿宋_GB2312" w:cs="仿宋_GB2312" w:eastAsia="仿宋_GB2312"/>
        </w:rPr>
        <w:t>详见附件：投标方案说明-9业绩.docx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