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B15BC">
      <w:pPr>
        <w:keepNext w:val="0"/>
        <w:keepLines w:val="0"/>
        <w:pageBreakBefore w:val="0"/>
        <w:widowControl w:val="0"/>
        <w:kinsoku/>
        <w:wordWrap/>
        <w:overflowPunct/>
        <w:topLinePunct w:val="0"/>
        <w:autoSpaceDE/>
        <w:autoSpaceDN/>
        <w:bidi w:val="0"/>
        <w:adjustRightInd/>
        <w:snapToGrid/>
        <w:spacing w:line="480" w:lineRule="exact"/>
        <w:ind w:firstLine="1084" w:firstLineChars="300"/>
        <w:jc w:val="center"/>
        <w:textAlignment w:val="auto"/>
        <w:rPr>
          <w:rFonts w:hint="eastAsia" w:ascii="宋体" w:hAnsi="宋体" w:eastAsia="宋体" w:cs="宋体"/>
          <w:b/>
          <w:color w:val="auto"/>
          <w:sz w:val="36"/>
          <w:szCs w:val="36"/>
          <w:lang w:eastAsia="zh-CN"/>
        </w:rPr>
      </w:pPr>
      <w:r>
        <w:rPr>
          <w:rFonts w:hint="eastAsia" w:ascii="宋体" w:hAnsi="宋体" w:eastAsia="宋体" w:cs="宋体"/>
          <w:b/>
          <w:bCs/>
          <w:color w:val="auto"/>
          <w:sz w:val="36"/>
          <w:szCs w:val="36"/>
        </w:rPr>
        <w:t>合同</w:t>
      </w:r>
      <w:r>
        <w:rPr>
          <w:rFonts w:hint="eastAsia" w:ascii="宋体" w:hAnsi="宋体" w:eastAsia="宋体" w:cs="宋体"/>
          <w:b/>
          <w:bCs/>
          <w:color w:val="auto"/>
          <w:sz w:val="36"/>
          <w:szCs w:val="36"/>
          <w:lang w:eastAsia="zh-CN"/>
        </w:rPr>
        <w:t>范本</w:t>
      </w:r>
    </w:p>
    <w:p w14:paraId="09A59B7A">
      <w:pPr>
        <w:keepNext/>
        <w:keepLines/>
        <w:pageBreakBefore w:val="0"/>
        <w:widowControl w:val="0"/>
        <w:kinsoku/>
        <w:wordWrap/>
        <w:overflowPunct/>
        <w:topLinePunct w:val="0"/>
        <w:autoSpaceDE/>
        <w:autoSpaceDN/>
        <w:bidi w:val="0"/>
        <w:spacing w:line="360" w:lineRule="auto"/>
        <w:textAlignment w:val="auto"/>
        <w:outlineLvl w:val="0"/>
        <w:rPr>
          <w:rFonts w:hint="default" w:ascii="宋体" w:hAnsi="宋体" w:eastAsia="宋体" w:cs="宋体"/>
          <w:b w:val="0"/>
          <w:bCs w:val="0"/>
          <w:color w:val="auto"/>
          <w:kern w:val="44"/>
          <w:sz w:val="24"/>
          <w:szCs w:val="24"/>
          <w:lang w:val="zh-CN" w:eastAsia="zh-CN"/>
        </w:rPr>
      </w:pPr>
      <w:bookmarkStart w:id="0" w:name="_Hlt503233640"/>
      <w:bookmarkEnd w:id="0"/>
      <w:bookmarkStart w:id="1" w:name="_Toc20167"/>
      <w:bookmarkStart w:id="2" w:name="_Toc84833376"/>
    </w:p>
    <w:bookmarkEnd w:id="1"/>
    <w:bookmarkEnd w:id="2"/>
    <w:p w14:paraId="7C85B140">
      <w:pPr>
        <w:keepNext/>
        <w:keepLines/>
        <w:pageBreakBefore w:val="0"/>
        <w:widowControl w:val="0"/>
        <w:kinsoku/>
        <w:wordWrap/>
        <w:overflowPunct/>
        <w:topLinePunct w:val="0"/>
        <w:autoSpaceDE/>
        <w:autoSpaceDN/>
        <w:bidi w:val="0"/>
        <w:spacing w:line="360" w:lineRule="auto"/>
        <w:ind w:firstLine="480" w:firstLineChars="200"/>
        <w:textAlignment w:val="auto"/>
        <w:outlineLvl w:val="0"/>
        <w:rPr>
          <w:rFonts w:hint="default" w:ascii="宋体" w:hAnsi="宋体" w:eastAsia="宋体" w:cs="宋体"/>
          <w:b w:val="0"/>
          <w:bCs w:val="0"/>
          <w:color w:val="auto"/>
          <w:kern w:val="44"/>
          <w:sz w:val="24"/>
          <w:szCs w:val="24"/>
          <w:lang w:val="zh-CN" w:eastAsia="zh-CN"/>
        </w:rPr>
      </w:pPr>
      <w:r>
        <w:rPr>
          <w:rFonts w:hint="default" w:ascii="宋体" w:hAnsi="宋体" w:eastAsia="宋体" w:cs="宋体"/>
          <w:b w:val="0"/>
          <w:bCs w:val="0"/>
          <w:color w:val="auto"/>
          <w:kern w:val="44"/>
          <w:sz w:val="24"/>
          <w:szCs w:val="24"/>
          <w:lang w:val="zh-CN" w:eastAsia="zh-CN"/>
        </w:rPr>
        <w:t>（此合同草案条款，除</w:t>
      </w:r>
      <w:r>
        <w:rPr>
          <w:rFonts w:hint="default" w:ascii="宋体" w:hAnsi="宋体" w:eastAsia="宋体" w:cs="宋体"/>
          <w:b w:val="0"/>
          <w:bCs w:val="0"/>
          <w:color w:val="auto"/>
          <w:kern w:val="44"/>
          <w:sz w:val="24"/>
          <w:szCs w:val="24"/>
          <w:lang w:val="en-US" w:eastAsia="zh-CN"/>
        </w:rPr>
        <w:t>商务要求</w:t>
      </w:r>
      <w:r>
        <w:rPr>
          <w:rFonts w:hint="default" w:ascii="宋体" w:hAnsi="宋体" w:eastAsia="宋体" w:cs="宋体"/>
          <w:b w:val="0"/>
          <w:bCs w:val="0"/>
          <w:color w:val="auto"/>
          <w:kern w:val="44"/>
          <w:sz w:val="24"/>
          <w:szCs w:val="24"/>
          <w:lang w:val="zh-CN" w:eastAsia="zh-CN"/>
        </w:rPr>
        <w:t>外，其余部分只作为参考，最终签订的合同以采购人确定的合同内容为准。）</w:t>
      </w:r>
    </w:p>
    <w:p w14:paraId="754BC513">
      <w:pPr>
        <w:pStyle w:val="4"/>
        <w:rPr>
          <w:rFonts w:hint="default" w:ascii="Times New Roman" w:hAnsi="Times New Roman" w:eastAsia="宋体" w:cs="Times New Roman"/>
          <w:b/>
          <w:color w:val="auto"/>
          <w:sz w:val="24"/>
          <w:highlight w:val="none"/>
          <w:lang w:val="zh-CN"/>
        </w:rPr>
      </w:pPr>
    </w:p>
    <w:p w14:paraId="3FD687FD">
      <w:pPr>
        <w:pStyle w:val="3"/>
        <w:rPr>
          <w:rFonts w:hint="default"/>
          <w:color w:val="auto"/>
        </w:rPr>
      </w:pPr>
    </w:p>
    <w:p w14:paraId="75DDA262">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default" w:ascii="宋体" w:hAnsi="宋体" w:eastAsia="宋体" w:cs="宋体"/>
          <w:b w:val="0"/>
          <w:bCs w:val="0"/>
          <w:color w:val="auto"/>
          <w:kern w:val="44"/>
          <w:sz w:val="24"/>
          <w:szCs w:val="24"/>
          <w:lang w:val="en-US" w:eastAsia="zh-CN"/>
        </w:rPr>
      </w:pPr>
      <w:bookmarkStart w:id="3" w:name="_Toc14004"/>
      <w:bookmarkStart w:id="4" w:name="_Toc7136"/>
      <w:bookmarkStart w:id="5" w:name="_Toc28343"/>
      <w:bookmarkStart w:id="6" w:name="_Toc2826"/>
      <w:bookmarkStart w:id="7" w:name="_Toc10532"/>
      <w:bookmarkStart w:id="8" w:name="_Toc15888"/>
      <w:bookmarkStart w:id="9" w:name="_Toc4511"/>
      <w:bookmarkStart w:id="10" w:name="_Toc23149"/>
      <w:bookmarkStart w:id="11" w:name="_Toc3954"/>
      <w:bookmarkStart w:id="12" w:name="_Toc32599"/>
      <w:r>
        <w:rPr>
          <w:rFonts w:hint="eastAsia" w:ascii="宋体" w:hAnsi="宋体" w:eastAsia="宋体" w:cs="宋体"/>
          <w:b w:val="0"/>
          <w:bCs w:val="0"/>
          <w:color w:val="auto"/>
          <w:kern w:val="44"/>
          <w:sz w:val="24"/>
          <w:szCs w:val="24"/>
        </w:rPr>
        <w:t>甲方：</w:t>
      </w:r>
      <w:bookmarkEnd w:id="3"/>
      <w:bookmarkEnd w:id="4"/>
      <w:bookmarkEnd w:id="5"/>
      <w:bookmarkEnd w:id="6"/>
      <w:bookmarkEnd w:id="7"/>
      <w:bookmarkEnd w:id="8"/>
      <w:bookmarkEnd w:id="9"/>
      <w:bookmarkEnd w:id="10"/>
      <w:bookmarkEnd w:id="11"/>
      <w:r>
        <w:rPr>
          <w:rFonts w:hint="eastAsia" w:ascii="宋体" w:hAnsi="宋体" w:cs="宋体"/>
          <w:b w:val="0"/>
          <w:bCs w:val="0"/>
          <w:color w:val="auto"/>
          <w:kern w:val="44"/>
          <w:sz w:val="24"/>
          <w:szCs w:val="24"/>
          <w:lang w:val="en-US" w:eastAsia="zh-CN"/>
        </w:rPr>
        <w:t>陕西省应急管理厅</w:t>
      </w:r>
    </w:p>
    <w:p w14:paraId="7C822EBC">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eastAsia" w:ascii="宋体" w:hAnsi="宋体" w:eastAsia="宋体" w:cs="宋体"/>
          <w:b w:val="0"/>
          <w:bCs w:val="0"/>
          <w:color w:val="auto"/>
          <w:kern w:val="44"/>
          <w:sz w:val="24"/>
          <w:szCs w:val="24"/>
        </w:rPr>
      </w:pPr>
      <w:bookmarkStart w:id="13" w:name="_Toc3952"/>
      <w:bookmarkStart w:id="14" w:name="_Toc31568"/>
      <w:bookmarkStart w:id="15" w:name="_Toc18406"/>
      <w:bookmarkStart w:id="16" w:name="_Toc24448"/>
      <w:bookmarkStart w:id="17" w:name="_Toc24066"/>
      <w:bookmarkStart w:id="18" w:name="_Toc23108"/>
      <w:bookmarkStart w:id="19" w:name="_Toc18786"/>
      <w:bookmarkStart w:id="20" w:name="_Toc24586"/>
      <w:bookmarkStart w:id="21" w:name="_Toc17900"/>
      <w:r>
        <w:rPr>
          <w:rFonts w:hint="eastAsia" w:ascii="宋体" w:hAnsi="宋体" w:eastAsia="宋体" w:cs="宋体"/>
          <w:b w:val="0"/>
          <w:bCs w:val="0"/>
          <w:color w:val="auto"/>
          <w:kern w:val="44"/>
          <w:sz w:val="24"/>
          <w:szCs w:val="24"/>
        </w:rPr>
        <w:t>乙方：</w:t>
      </w:r>
      <w:bookmarkEnd w:id="13"/>
      <w:bookmarkEnd w:id="14"/>
      <w:bookmarkEnd w:id="15"/>
      <w:bookmarkEnd w:id="16"/>
      <w:bookmarkEnd w:id="17"/>
      <w:bookmarkEnd w:id="18"/>
      <w:bookmarkEnd w:id="19"/>
      <w:bookmarkEnd w:id="20"/>
      <w:bookmarkEnd w:id="21"/>
      <w:r>
        <w:rPr>
          <w:rFonts w:hint="eastAsia" w:ascii="宋体" w:hAnsi="宋体" w:eastAsia="宋体" w:cs="宋体"/>
          <w:b w:val="0"/>
          <w:bCs w:val="0"/>
          <w:color w:val="auto"/>
          <w:kern w:val="44"/>
          <w:sz w:val="24"/>
          <w:szCs w:val="24"/>
        </w:rPr>
        <w:t xml:space="preserve"> </w:t>
      </w:r>
    </w:p>
    <w:p w14:paraId="3131C7FF">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eastAsia" w:ascii="宋体" w:hAnsi="宋体" w:eastAsia="宋体" w:cs="宋体"/>
          <w:b w:val="0"/>
          <w:bCs w:val="0"/>
          <w:color w:val="auto"/>
          <w:kern w:val="44"/>
          <w:sz w:val="24"/>
          <w:szCs w:val="24"/>
        </w:rPr>
      </w:pPr>
      <w:bookmarkStart w:id="22" w:name="_Toc10322"/>
      <w:bookmarkStart w:id="23" w:name="_Toc30141"/>
      <w:bookmarkStart w:id="24" w:name="_Toc1390"/>
      <w:bookmarkStart w:id="25" w:name="_Toc28856"/>
      <w:bookmarkStart w:id="26" w:name="_Toc2068"/>
      <w:bookmarkStart w:id="27" w:name="_Toc1182"/>
      <w:bookmarkStart w:id="28" w:name="_Toc26728"/>
      <w:bookmarkStart w:id="29" w:name="_Toc8684"/>
      <w:bookmarkStart w:id="30" w:name="_Toc13764"/>
      <w:r>
        <w:rPr>
          <w:rFonts w:hint="eastAsia" w:ascii="宋体" w:hAnsi="宋体" w:eastAsia="宋体" w:cs="宋体"/>
          <w:b w:val="0"/>
          <w:bCs w:val="0"/>
          <w:color w:val="auto"/>
          <w:kern w:val="44"/>
          <w:sz w:val="24"/>
          <w:szCs w:val="24"/>
        </w:rPr>
        <w:t>依据《中华人民共和国</w:t>
      </w:r>
      <w:r>
        <w:rPr>
          <w:rFonts w:hint="eastAsia" w:ascii="宋体" w:hAnsi="宋体" w:eastAsia="宋体" w:cs="宋体"/>
          <w:b w:val="0"/>
          <w:bCs w:val="0"/>
          <w:color w:val="auto"/>
          <w:kern w:val="44"/>
          <w:sz w:val="24"/>
          <w:szCs w:val="24"/>
          <w:lang w:val="en-US" w:eastAsia="zh-CN"/>
        </w:rPr>
        <w:t>民法典</w:t>
      </w:r>
      <w:r>
        <w:rPr>
          <w:rFonts w:hint="eastAsia" w:ascii="宋体" w:hAnsi="宋体" w:eastAsia="宋体" w:cs="宋体"/>
          <w:b w:val="0"/>
          <w:bCs w:val="0"/>
          <w:color w:val="auto"/>
          <w:kern w:val="44"/>
          <w:sz w:val="24"/>
          <w:szCs w:val="24"/>
        </w:rPr>
        <w:t>》和《中华人民共和国招投标法》，经双方协商按下述条款和条件签署本合同。</w:t>
      </w:r>
      <w:bookmarkEnd w:id="22"/>
      <w:bookmarkEnd w:id="23"/>
      <w:bookmarkEnd w:id="24"/>
      <w:bookmarkEnd w:id="25"/>
      <w:bookmarkEnd w:id="26"/>
      <w:bookmarkEnd w:id="27"/>
      <w:bookmarkEnd w:id="28"/>
      <w:bookmarkEnd w:id="29"/>
      <w:bookmarkEnd w:id="30"/>
    </w:p>
    <w:p w14:paraId="696F8F0A">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lang w:val="en-US" w:eastAsia="zh-CN"/>
        </w:rPr>
      </w:pPr>
      <w:bookmarkStart w:id="31" w:name="_Toc31298"/>
      <w:bookmarkStart w:id="32" w:name="_Toc31362"/>
      <w:bookmarkStart w:id="33" w:name="_Toc17008"/>
      <w:bookmarkStart w:id="34" w:name="_Toc989"/>
      <w:bookmarkStart w:id="35" w:name="_Toc16696"/>
      <w:bookmarkStart w:id="36" w:name="_Toc27336"/>
      <w:bookmarkStart w:id="37" w:name="_Toc29957"/>
      <w:bookmarkStart w:id="38" w:name="_Toc7701"/>
      <w:bookmarkStart w:id="39" w:name="_Toc23097"/>
      <w:r>
        <w:rPr>
          <w:rFonts w:hint="default" w:ascii="Times New Roman" w:hAnsi="Times New Roman" w:eastAsia="宋体" w:cs="Times New Roman"/>
          <w:color w:val="auto"/>
          <w:sz w:val="24"/>
          <w:szCs w:val="24"/>
          <w:lang w:val="en-US" w:eastAsia="zh-CN"/>
        </w:rPr>
        <w:t>一、服务条件</w:t>
      </w:r>
      <w:bookmarkEnd w:id="12"/>
      <w:bookmarkEnd w:id="31"/>
      <w:bookmarkEnd w:id="32"/>
      <w:bookmarkEnd w:id="33"/>
      <w:bookmarkEnd w:id="34"/>
      <w:bookmarkEnd w:id="35"/>
      <w:bookmarkEnd w:id="36"/>
      <w:bookmarkEnd w:id="37"/>
      <w:bookmarkEnd w:id="38"/>
      <w:bookmarkEnd w:id="39"/>
    </w:p>
    <w:p w14:paraId="0FCC820F">
      <w:pPr>
        <w:keepNext w:val="0"/>
        <w:keepLines w:val="0"/>
        <w:pageBreakBefore w:val="0"/>
        <w:widowControl w:val="0"/>
        <w:tabs>
          <w:tab w:val="left" w:pos="180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default" w:ascii="Times New Roman" w:hAnsi="Times New Roman" w:eastAsia="宋体" w:cs="Times New Roman"/>
          <w:color w:val="auto"/>
          <w:sz w:val="24"/>
          <w:szCs w:val="24"/>
          <w:highlight w:val="none"/>
        </w:rPr>
        <w:t>（一）</w:t>
      </w:r>
      <w:r>
        <w:rPr>
          <w:rFonts w:hint="eastAsia" w:ascii="宋体" w:hAnsi="宋体" w:eastAsia="宋体" w:cs="宋体"/>
          <w:color w:val="auto"/>
          <w:sz w:val="24"/>
          <w:szCs w:val="24"/>
          <w:highlight w:val="none"/>
          <w:lang w:val="en-US" w:eastAsia="zh-CN"/>
        </w:rPr>
        <w:t>项目名称：编印《村（社区）防灾减灾救灾和安全生产工作应知应会》项目</w:t>
      </w:r>
    </w:p>
    <w:p w14:paraId="0D222557">
      <w:pPr>
        <w:keepNext w:val="0"/>
        <w:keepLines w:val="0"/>
        <w:pageBreakBefore w:val="0"/>
        <w:widowControl w:val="0"/>
        <w:tabs>
          <w:tab w:val="left" w:pos="1800"/>
        </w:tabs>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二</w:t>
      </w:r>
      <w:r>
        <w:rPr>
          <w:rFonts w:hint="default" w:ascii="Times New Roman" w:hAnsi="Times New Roman" w:eastAsia="宋体" w:cs="Times New Roman"/>
          <w:color w:val="auto"/>
          <w:sz w:val="24"/>
          <w:szCs w:val="24"/>
          <w:highlight w:val="none"/>
        </w:rPr>
        <w:t>）</w:t>
      </w:r>
      <w:r>
        <w:rPr>
          <w:rFonts w:hint="eastAsia" w:ascii="宋体" w:hAnsi="宋体" w:eastAsia="宋体" w:cs="宋体"/>
          <w:color w:val="auto"/>
          <w:sz w:val="24"/>
          <w:szCs w:val="24"/>
          <w:highlight w:val="none"/>
          <w:lang w:val="en-US" w:eastAsia="zh-CN"/>
        </w:rPr>
        <w:t>项目编号：ZXGJ-ZB14-2026-058</w:t>
      </w:r>
    </w:p>
    <w:p w14:paraId="75F4DE79">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三</w:t>
      </w:r>
      <w:r>
        <w:rPr>
          <w:rFonts w:hint="default" w:ascii="Times New Roman" w:hAnsi="Times New Roman" w:eastAsia="宋体" w:cs="Times New Roman"/>
          <w:color w:val="auto"/>
          <w:sz w:val="24"/>
          <w:szCs w:val="24"/>
          <w:highlight w:val="none"/>
        </w:rPr>
        <w:t>）</w:t>
      </w:r>
      <w:r>
        <w:rPr>
          <w:rFonts w:hint="eastAsia" w:ascii="宋体" w:hAnsi="宋体" w:eastAsia="宋体" w:cs="宋体"/>
          <w:color w:val="auto"/>
          <w:sz w:val="24"/>
          <w:szCs w:val="24"/>
          <w:highlight w:val="none"/>
          <w:lang w:val="en-US" w:eastAsia="zh-CN"/>
        </w:rPr>
        <w:t>服务期：自合同签订之日起20日内</w:t>
      </w:r>
      <w:r>
        <w:rPr>
          <w:rFonts w:hint="eastAsia" w:ascii="宋体" w:hAnsi="宋体" w:cs="宋体"/>
          <w:color w:val="auto"/>
          <w:sz w:val="24"/>
          <w:szCs w:val="24"/>
          <w:highlight w:val="none"/>
          <w:lang w:val="en-US" w:eastAsia="zh-CN"/>
        </w:rPr>
        <w:t>完成</w:t>
      </w:r>
      <w:r>
        <w:rPr>
          <w:rFonts w:hint="eastAsia" w:ascii="宋体" w:hAnsi="宋体" w:eastAsia="宋体" w:cs="宋体"/>
          <w:color w:val="auto"/>
          <w:sz w:val="24"/>
          <w:szCs w:val="24"/>
          <w:highlight w:val="none"/>
          <w:lang w:val="en-US" w:eastAsia="zh-CN"/>
        </w:rPr>
        <w:t>。</w:t>
      </w:r>
    </w:p>
    <w:p w14:paraId="3C06DD5C">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四</w:t>
      </w:r>
      <w:r>
        <w:rPr>
          <w:rFonts w:hint="default" w:ascii="Times New Roman" w:hAnsi="Times New Roman" w:eastAsia="宋体" w:cs="Times New Roman"/>
          <w:color w:val="auto"/>
          <w:sz w:val="24"/>
          <w:szCs w:val="24"/>
          <w:highlight w:val="none"/>
        </w:rPr>
        <w:t>）</w:t>
      </w:r>
      <w:r>
        <w:rPr>
          <w:rFonts w:hint="eastAsia" w:ascii="宋体" w:hAnsi="宋体" w:eastAsia="宋体" w:cs="宋体"/>
          <w:color w:val="auto"/>
          <w:sz w:val="24"/>
          <w:szCs w:val="24"/>
          <w:highlight w:val="none"/>
          <w:lang w:val="en-US" w:eastAsia="zh-CN"/>
        </w:rPr>
        <w:t>实施地点：供应商须按采购人提供的名单及地址，将《应知应会》分批或统一配送至全省各设区市、杨凌示范区应急管理部门或指定接收单位</w:t>
      </w:r>
      <w:r>
        <w:rPr>
          <w:rFonts w:hint="eastAsia" w:ascii="宋体" w:hAnsi="宋体" w:cs="宋体"/>
          <w:color w:val="auto"/>
          <w:sz w:val="24"/>
          <w:szCs w:val="24"/>
          <w:highlight w:val="none"/>
          <w:lang w:val="en-US" w:eastAsia="zh-CN"/>
        </w:rPr>
        <w:t>。</w:t>
      </w:r>
    </w:p>
    <w:p w14:paraId="0A17B821">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lang w:val="en-US" w:eastAsia="zh-CN"/>
        </w:rPr>
      </w:pPr>
      <w:bookmarkStart w:id="40" w:name="_Toc8415"/>
      <w:bookmarkStart w:id="41" w:name="_Toc18100"/>
      <w:bookmarkStart w:id="42" w:name="_Toc25040"/>
      <w:bookmarkStart w:id="43" w:name="_Toc11363"/>
      <w:bookmarkStart w:id="44" w:name="_Toc84833377"/>
      <w:bookmarkStart w:id="45" w:name="_Toc31846"/>
      <w:bookmarkStart w:id="46" w:name="_Toc7498"/>
      <w:bookmarkStart w:id="47" w:name="_Toc323"/>
      <w:bookmarkStart w:id="48" w:name="_Toc25078"/>
      <w:bookmarkStart w:id="49" w:name="_Toc14644"/>
      <w:bookmarkStart w:id="50" w:name="_Toc7016"/>
      <w:bookmarkStart w:id="51" w:name="_Toc13115"/>
      <w:r>
        <w:rPr>
          <w:rFonts w:hint="default" w:ascii="Times New Roman" w:hAnsi="Times New Roman" w:eastAsia="宋体" w:cs="Times New Roman"/>
          <w:color w:val="auto"/>
          <w:sz w:val="24"/>
          <w:szCs w:val="24"/>
          <w:lang w:val="en-US" w:eastAsia="zh-CN"/>
        </w:rPr>
        <w:t>二、合同价款</w:t>
      </w:r>
      <w:bookmarkEnd w:id="40"/>
      <w:bookmarkEnd w:id="41"/>
      <w:bookmarkEnd w:id="42"/>
      <w:bookmarkEnd w:id="43"/>
      <w:bookmarkEnd w:id="44"/>
      <w:bookmarkEnd w:id="45"/>
      <w:bookmarkEnd w:id="46"/>
      <w:bookmarkEnd w:id="47"/>
      <w:bookmarkEnd w:id="48"/>
      <w:bookmarkEnd w:id="49"/>
      <w:bookmarkEnd w:id="50"/>
      <w:bookmarkEnd w:id="51"/>
    </w:p>
    <w:p w14:paraId="19184320">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（一）合同总价款为人民币（大写）</w:t>
      </w:r>
      <w:r>
        <w:rPr>
          <w:rFonts w:hint="eastAsia" w:ascii="Times New Roman" w:hAnsi="Times New Roman" w:eastAsia="宋体" w:cs="Times New Roman"/>
          <w:color w:val="auto"/>
          <w:sz w:val="24"/>
          <w:szCs w:val="24"/>
          <w:u w:val="single"/>
        </w:rPr>
        <w:t xml:space="preserve">     </w:t>
      </w:r>
      <w:r>
        <w:rPr>
          <w:rFonts w:hint="eastAsia" w:ascii="Times New Roman" w:hAnsi="Times New Roman" w:eastAsia="宋体" w:cs="Times New Roman"/>
          <w:color w:val="auto"/>
          <w:sz w:val="24"/>
          <w:szCs w:val="24"/>
          <w:u w:val="single"/>
          <w:lang w:val="en-US" w:eastAsia="zh-CN"/>
        </w:rPr>
        <w:t xml:space="preserve"> </w:t>
      </w:r>
      <w:r>
        <w:rPr>
          <w:rFonts w:hint="eastAsia" w:ascii="Times New Roman" w:hAnsi="Times New Roman" w:eastAsia="宋体" w:cs="Times New Roman"/>
          <w:color w:val="auto"/>
          <w:sz w:val="24"/>
          <w:szCs w:val="24"/>
          <w:u w:val="single"/>
        </w:rPr>
        <w:t xml:space="preserve">   </w:t>
      </w:r>
      <w:r>
        <w:rPr>
          <w:rFonts w:hint="eastAsia"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u w:val="single"/>
        </w:rPr>
        <w:t xml:space="preserve">        </w:t>
      </w:r>
      <w:r>
        <w:rPr>
          <w:rFonts w:hint="eastAsia" w:ascii="Times New Roman" w:hAnsi="Times New Roman" w:eastAsia="宋体" w:cs="Times New Roman"/>
          <w:color w:val="auto"/>
          <w:sz w:val="24"/>
          <w:szCs w:val="24"/>
          <w:u w:val="single"/>
          <w:lang w:val="en-US" w:eastAsia="zh-CN"/>
        </w:rPr>
        <w:t xml:space="preserve"> </w:t>
      </w:r>
      <w:r>
        <w:rPr>
          <w:rFonts w:hint="eastAsia" w:ascii="Times New Roman" w:hAnsi="Times New Roman" w:eastAsia="宋体" w:cs="Times New Roman"/>
          <w:color w:val="auto"/>
          <w:sz w:val="24"/>
          <w:szCs w:val="24"/>
        </w:rPr>
        <w:t>）。</w:t>
      </w:r>
    </w:p>
    <w:p w14:paraId="420AC780">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（二）合同总价包括：包括但不限于完成本次招标所要求的服务至验收合格的其他一切相关费用。</w:t>
      </w:r>
    </w:p>
    <w:p w14:paraId="247C2FD4">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（三）合同总价为固定总价，不受市场价格变化因素的影响。</w:t>
      </w:r>
    </w:p>
    <w:p w14:paraId="191CD9B8">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val="en-US" w:eastAsia="zh-CN"/>
        </w:rPr>
        <w:t>四</w:t>
      </w:r>
      <w:r>
        <w:rPr>
          <w:rFonts w:hint="eastAsia"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val="en-US" w:eastAsia="zh-CN"/>
        </w:rPr>
        <w:t>项目总报价应当包括完成本项目可能发生的各项费用的总和，为包干费用，如如人工费、编制费、打印费、配送费、税金等一切费用的体现，采购文件未列明而供应商认为其他必需的费用也须列入报价内。采购人不再另行支付成交金额以外的其他任何费用。</w:t>
      </w:r>
    </w:p>
    <w:p w14:paraId="3D9937BC">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lang w:val="en-US" w:eastAsia="zh-CN"/>
        </w:rPr>
      </w:pPr>
      <w:bookmarkStart w:id="52" w:name="_Toc30031"/>
      <w:bookmarkStart w:id="53" w:name="_Toc30158"/>
      <w:bookmarkStart w:id="54" w:name="_Toc10780"/>
      <w:bookmarkStart w:id="55" w:name="_Toc5529"/>
      <w:bookmarkStart w:id="56" w:name="_Toc9850"/>
      <w:bookmarkStart w:id="57" w:name="_Toc31071"/>
      <w:bookmarkStart w:id="58" w:name="_Toc27361"/>
      <w:bookmarkStart w:id="59" w:name="_Toc26773"/>
      <w:bookmarkStart w:id="60" w:name="_Toc7685"/>
      <w:bookmarkStart w:id="61" w:name="_Toc20341"/>
      <w:bookmarkStart w:id="62" w:name="_Toc23527"/>
      <w:bookmarkStart w:id="63" w:name="_Toc84833378"/>
      <w:r>
        <w:rPr>
          <w:rFonts w:hint="default" w:ascii="Times New Roman" w:hAnsi="Times New Roman" w:eastAsia="宋体" w:cs="Times New Roman"/>
          <w:color w:val="auto"/>
          <w:sz w:val="24"/>
          <w:szCs w:val="24"/>
          <w:lang w:val="en-US" w:eastAsia="zh-CN"/>
        </w:rPr>
        <w:t>三、款项结算</w:t>
      </w:r>
      <w:bookmarkEnd w:id="52"/>
      <w:bookmarkEnd w:id="53"/>
      <w:bookmarkEnd w:id="54"/>
      <w:bookmarkEnd w:id="55"/>
      <w:bookmarkEnd w:id="56"/>
      <w:bookmarkEnd w:id="57"/>
      <w:bookmarkEnd w:id="58"/>
      <w:bookmarkEnd w:id="59"/>
      <w:bookmarkEnd w:id="60"/>
      <w:bookmarkEnd w:id="61"/>
      <w:bookmarkEnd w:id="62"/>
      <w:bookmarkEnd w:id="63"/>
    </w:p>
    <w:p w14:paraId="5D89FE8D">
      <w:pPr>
        <w:pageBreakBefore w:val="0"/>
        <w:widowControl w:val="0"/>
        <w:kinsoku/>
        <w:wordWrap/>
        <w:overflowPunct/>
        <w:topLinePunct w:val="0"/>
        <w:autoSpaceDE/>
        <w:autoSpaceDN/>
        <w:bidi w:val="0"/>
        <w:spacing w:line="480" w:lineRule="exac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（一）支付方式：银行转账</w:t>
      </w:r>
    </w:p>
    <w:p w14:paraId="17B86DA7">
      <w:pPr>
        <w:pageBreakBefore w:val="0"/>
        <w:widowControl w:val="0"/>
        <w:kinsoku/>
        <w:wordWrap/>
        <w:overflowPunct/>
        <w:topLinePunct w:val="0"/>
        <w:autoSpaceDE/>
        <w:autoSpaceDN/>
        <w:bidi w:val="0"/>
        <w:snapToGrid/>
        <w:spacing w:line="480" w:lineRule="exact"/>
        <w:ind w:firstLine="480" w:firstLineChars="200"/>
        <w:textAlignment w:val="auto"/>
        <w:rPr>
          <w:rFonts w:hint="eastAsia" w:ascii="宋体" w:hAnsi="宋体" w:eastAsia="宋体" w:cs="宋体"/>
          <w:bCs/>
          <w:color w:val="auto"/>
          <w:sz w:val="24"/>
          <w:szCs w:val="24"/>
        </w:rPr>
      </w:pPr>
      <w:r>
        <w:rPr>
          <w:rFonts w:hint="default" w:ascii="Times New Roman" w:hAnsi="Times New Roman" w:eastAsia="宋体" w:cs="Times New Roman"/>
          <w:color w:val="auto"/>
          <w:sz w:val="24"/>
          <w:szCs w:val="24"/>
        </w:rPr>
        <w:t>（</w:t>
      </w:r>
      <w:r>
        <w:rPr>
          <w:rFonts w:hint="eastAsia" w:ascii="宋体" w:hAnsi="宋体" w:eastAsia="宋体" w:cs="宋体"/>
          <w:color w:val="auto"/>
          <w:sz w:val="24"/>
          <w:szCs w:val="24"/>
        </w:rPr>
        <w:t>二）</w:t>
      </w:r>
      <w:r>
        <w:rPr>
          <w:rFonts w:hint="eastAsia" w:ascii="宋体" w:hAnsi="宋体" w:eastAsia="宋体" w:cs="宋体"/>
          <w:bCs/>
          <w:color w:val="auto"/>
          <w:sz w:val="24"/>
          <w:szCs w:val="24"/>
        </w:rPr>
        <w:t>货币单位：人民币</w:t>
      </w:r>
    </w:p>
    <w:p w14:paraId="2EE32F35">
      <w:pPr>
        <w:pageBreakBefore w:val="0"/>
        <w:widowControl w:val="0"/>
        <w:kinsoku/>
        <w:wordWrap/>
        <w:overflowPunct/>
        <w:topLinePunct w:val="0"/>
        <w:autoSpaceDE/>
        <w:autoSpaceDN/>
        <w:bidi w:val="0"/>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color w:val="auto"/>
          <w:sz w:val="24"/>
          <w:szCs w:val="24"/>
          <w:lang w:val="en-US" w:eastAsia="zh-CN"/>
        </w:rPr>
        <w:t>（三）</w:t>
      </w:r>
      <w:r>
        <w:rPr>
          <w:rFonts w:hint="eastAsia" w:ascii="Times New Roman" w:hAnsi="Times New Roman" w:eastAsia="宋体" w:cs="Times New Roman"/>
          <w:color w:val="auto"/>
          <w:sz w:val="24"/>
          <w:szCs w:val="24"/>
        </w:rPr>
        <w:t>结算条</w:t>
      </w:r>
      <w:r>
        <w:rPr>
          <w:rFonts w:hint="eastAsia" w:ascii="Times New Roman" w:hAnsi="Times New Roman" w:eastAsia="宋体" w:cs="Times New Roman"/>
          <w:color w:val="auto"/>
          <w:sz w:val="24"/>
          <w:szCs w:val="24"/>
          <w:highlight w:val="none"/>
        </w:rPr>
        <w:t>件：</w:t>
      </w:r>
      <w:r>
        <w:rPr>
          <w:rFonts w:hint="eastAsia" w:cs="Times New Roman"/>
          <w:color w:val="auto"/>
          <w:sz w:val="24"/>
          <w:szCs w:val="24"/>
          <w:highlight w:val="none"/>
          <w:lang w:val="en-US" w:eastAsia="zh-CN"/>
        </w:rPr>
        <w:t>中标人</w:t>
      </w:r>
      <w:r>
        <w:rPr>
          <w:rFonts w:hint="eastAsia" w:ascii="Times New Roman" w:hAnsi="Times New Roman" w:eastAsia="宋体" w:cs="Times New Roman"/>
          <w:color w:val="auto"/>
          <w:sz w:val="24"/>
          <w:szCs w:val="24"/>
          <w:highlight w:val="none"/>
        </w:rPr>
        <w:t>在</w:t>
      </w:r>
      <w:r>
        <w:rPr>
          <w:rFonts w:hint="eastAsia" w:ascii="宋体" w:hAnsi="宋体" w:eastAsia="宋体" w:cs="宋体"/>
          <w:color w:val="auto"/>
          <w:sz w:val="24"/>
          <w:szCs w:val="24"/>
          <w:highlight w:val="none"/>
        </w:rPr>
        <w:t>接受付款前开具全额发票给</w:t>
      </w:r>
      <w:r>
        <w:rPr>
          <w:rFonts w:hint="eastAsia" w:ascii="Times New Roman" w:hAnsi="Times New Roman" w:eastAsia="宋体" w:cs="Times New Roman"/>
          <w:color w:val="auto"/>
          <w:sz w:val="24"/>
          <w:szCs w:val="24"/>
          <w:highlight w:val="none"/>
        </w:rPr>
        <w:t>采购人</w:t>
      </w:r>
      <w:r>
        <w:rPr>
          <w:rFonts w:hint="eastAsia" w:ascii="宋体" w:hAnsi="宋体" w:eastAsia="宋体" w:cs="宋体"/>
          <w:bCs/>
          <w:color w:val="auto"/>
          <w:sz w:val="28"/>
          <w:szCs w:val="28"/>
          <w:highlight w:val="none"/>
          <w:lang w:eastAsia="zh-CN"/>
        </w:rPr>
        <w:t>。</w:t>
      </w:r>
    </w:p>
    <w:p w14:paraId="19C5CB50">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Times New Roman" w:hAnsi="Times New Roman" w:eastAsia="宋体" w:cs="Times New Roman"/>
          <w:b/>
          <w:bCs/>
          <w:color w:val="auto"/>
          <w:kern w:val="44"/>
          <w:sz w:val="30"/>
          <w:szCs w:val="30"/>
          <w:highlight w:val="none"/>
        </w:rPr>
      </w:pPr>
      <w:bookmarkStart w:id="64" w:name="_Toc22402"/>
      <w:bookmarkStart w:id="65" w:name="_Toc7937"/>
      <w:bookmarkStart w:id="66" w:name="_Toc20599"/>
      <w:bookmarkStart w:id="67" w:name="_Toc8058"/>
      <w:bookmarkStart w:id="68" w:name="_Toc19074"/>
      <w:bookmarkStart w:id="69" w:name="_Toc27218"/>
      <w:bookmarkStart w:id="70" w:name="_Toc9520"/>
      <w:bookmarkStart w:id="71" w:name="_Toc32520"/>
      <w:bookmarkStart w:id="72" w:name="_Toc21981"/>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四</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付款</w:t>
      </w:r>
      <w:r>
        <w:rPr>
          <w:rFonts w:hint="eastAsia" w:ascii="宋体" w:hAnsi="宋体" w:eastAsia="宋体" w:cs="宋体"/>
          <w:b w:val="0"/>
          <w:bCs w:val="0"/>
          <w:color w:val="auto"/>
          <w:sz w:val="24"/>
          <w:szCs w:val="24"/>
          <w:highlight w:val="none"/>
        </w:rPr>
        <w:t>方式：</w:t>
      </w:r>
      <w:bookmarkEnd w:id="64"/>
      <w:bookmarkEnd w:id="65"/>
      <w:bookmarkEnd w:id="66"/>
      <w:bookmarkEnd w:id="67"/>
      <w:bookmarkEnd w:id="68"/>
      <w:bookmarkEnd w:id="69"/>
      <w:bookmarkEnd w:id="70"/>
      <w:bookmarkEnd w:id="71"/>
      <w:bookmarkEnd w:id="72"/>
      <w:bookmarkStart w:id="73" w:name="_Toc30003"/>
      <w:r>
        <w:rPr>
          <w:rFonts w:hint="eastAsia" w:ascii="宋体" w:hAnsi="宋体" w:cs="宋体"/>
          <w:b w:val="0"/>
          <w:bCs w:val="0"/>
          <w:color w:val="auto"/>
          <w:sz w:val="24"/>
          <w:szCs w:val="24"/>
          <w:highlight w:val="none"/>
          <w:lang w:val="en-US" w:eastAsia="zh-CN"/>
        </w:rPr>
        <w:t>分期付款，</w:t>
      </w:r>
      <w:bookmarkStart w:id="138" w:name="_GoBack"/>
      <w:r>
        <w:rPr>
          <w:rFonts w:hint="eastAsia" w:ascii="宋体" w:hAnsi="宋体" w:eastAsia="宋体" w:cs="宋体"/>
          <w:b w:val="0"/>
          <w:bCs w:val="0"/>
          <w:color w:val="auto"/>
          <w:sz w:val="24"/>
          <w:szCs w:val="24"/>
          <w:highlight w:val="none"/>
          <w:lang w:val="en-US" w:eastAsia="zh-CN"/>
        </w:rPr>
        <w:t xml:space="preserve">合同签订后7个工作日内支付合同总金额的90%，验收完成后7个工作日内支付合同总金额的10%。 </w:t>
      </w:r>
      <w:bookmarkEnd w:id="138"/>
      <w:r>
        <w:rPr>
          <w:rFonts w:hint="eastAsia" w:ascii="Times New Roman" w:hAnsi="Times New Roman" w:eastAsia="宋体" w:cs="Times New Roman"/>
          <w:b/>
          <w:bCs/>
          <w:color w:val="auto"/>
          <w:kern w:val="44"/>
          <w:sz w:val="30"/>
          <w:szCs w:val="30"/>
          <w:highlight w:val="none"/>
          <w:lang w:val="en-US" w:eastAsia="zh-CN"/>
        </w:rPr>
        <w:t xml:space="preserve">    </w:t>
      </w:r>
    </w:p>
    <w:p w14:paraId="0C65A4A9">
      <w:pPr>
        <w:pageBreakBefore w:val="0"/>
        <w:widowControl w:val="0"/>
        <w:kinsoku/>
        <w:wordWrap/>
        <w:overflowPunct/>
        <w:topLinePunct w:val="0"/>
        <w:bidi w:val="0"/>
        <w:snapToGrid/>
        <w:spacing w:line="480" w:lineRule="exact"/>
        <w:ind w:firstLine="480" w:firstLineChars="200"/>
        <w:textAlignment w:val="auto"/>
        <w:rPr>
          <w:rFonts w:hint="eastAsia" w:ascii="Times New Roman" w:hAnsi="Times New Roman" w:eastAsia="宋体" w:cs="Times New Roman"/>
          <w:color w:val="auto"/>
          <w:sz w:val="24"/>
          <w:szCs w:val="24"/>
          <w:lang w:val="en-US" w:eastAsia="zh-CN"/>
        </w:rPr>
      </w:pPr>
      <w:bookmarkStart w:id="74" w:name="_Toc19732"/>
      <w:bookmarkStart w:id="75" w:name="_Toc31658"/>
      <w:bookmarkStart w:id="76" w:name="_Toc21309"/>
      <w:bookmarkStart w:id="77" w:name="_Toc30664"/>
      <w:bookmarkStart w:id="78" w:name="_Toc3012"/>
      <w:bookmarkStart w:id="79" w:name="_Toc16269"/>
      <w:bookmarkStart w:id="80" w:name="_Toc18375"/>
      <w:bookmarkStart w:id="81" w:name="_Toc8233"/>
      <w:bookmarkStart w:id="82" w:name="_Toc11130"/>
      <w:bookmarkStart w:id="83" w:name="_Toc31210"/>
      <w:r>
        <w:rPr>
          <w:rFonts w:hint="eastAsia" w:ascii="Times New Roman" w:hAnsi="Times New Roman" w:eastAsia="宋体" w:cs="Times New Roman"/>
          <w:color w:val="auto"/>
          <w:sz w:val="24"/>
          <w:szCs w:val="24"/>
          <w:lang w:val="en-US" w:eastAsia="zh-CN"/>
        </w:rPr>
        <w:t>四、服务质量保证</w:t>
      </w:r>
      <w:bookmarkEnd w:id="74"/>
      <w:bookmarkEnd w:id="75"/>
      <w:bookmarkEnd w:id="76"/>
      <w:bookmarkEnd w:id="77"/>
      <w:bookmarkEnd w:id="78"/>
      <w:bookmarkEnd w:id="79"/>
      <w:bookmarkEnd w:id="80"/>
      <w:bookmarkEnd w:id="81"/>
      <w:bookmarkEnd w:id="82"/>
    </w:p>
    <w:p w14:paraId="2D60AD48">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宋体" w:hAnsi="宋体" w:eastAsia="宋体" w:cs="宋体"/>
          <w:b w:val="0"/>
          <w:bCs w:val="0"/>
          <w:color w:val="auto"/>
          <w:sz w:val="24"/>
          <w:szCs w:val="24"/>
          <w:highlight w:val="none"/>
        </w:rPr>
      </w:pPr>
      <w:bookmarkStart w:id="84" w:name="_Toc21083"/>
      <w:bookmarkStart w:id="85" w:name="_Toc12546"/>
      <w:bookmarkStart w:id="86" w:name="_Toc3187"/>
      <w:bookmarkStart w:id="87" w:name="_Toc4826"/>
      <w:bookmarkStart w:id="88" w:name="_Toc12070"/>
      <w:bookmarkStart w:id="89" w:name="_Toc3886"/>
      <w:bookmarkStart w:id="90" w:name="_Toc30695"/>
      <w:bookmarkStart w:id="91" w:name="_Toc12984"/>
      <w:bookmarkStart w:id="92" w:name="_Toc21481"/>
      <w:r>
        <w:rPr>
          <w:rFonts w:hint="default" w:ascii="Times New Roman" w:hAnsi="Times New Roman" w:eastAsia="宋体" w:cs="Times New Roman"/>
          <w:color w:val="auto"/>
          <w:sz w:val="24"/>
          <w:szCs w:val="24"/>
          <w:highlight w:val="none"/>
        </w:rPr>
        <w:t>（一）</w:t>
      </w:r>
      <w:r>
        <w:rPr>
          <w:rFonts w:hint="eastAsia" w:ascii="宋体" w:hAnsi="宋体" w:eastAsia="宋体" w:cs="宋体"/>
          <w:b w:val="0"/>
          <w:bCs w:val="0"/>
          <w:color w:val="auto"/>
          <w:kern w:val="44"/>
          <w:sz w:val="24"/>
          <w:szCs w:val="24"/>
          <w:highlight w:val="none"/>
        </w:rPr>
        <w:t>乙方需派一名</w:t>
      </w:r>
      <w:r>
        <w:rPr>
          <w:rFonts w:hint="eastAsia" w:ascii="宋体" w:hAnsi="宋体" w:eastAsia="宋体" w:cs="宋体"/>
          <w:b w:val="0"/>
          <w:bCs w:val="0"/>
          <w:color w:val="auto"/>
          <w:sz w:val="24"/>
          <w:szCs w:val="24"/>
          <w:highlight w:val="none"/>
        </w:rPr>
        <w:t>项目负责人，直接与甲方沟通，项目负责人接收甲方提出的问题与要求，并及时反馈给工作组，解决在项目实施过程中遇到的问题。</w:t>
      </w:r>
      <w:bookmarkEnd w:id="84"/>
      <w:bookmarkEnd w:id="85"/>
      <w:bookmarkEnd w:id="86"/>
      <w:bookmarkEnd w:id="87"/>
      <w:bookmarkEnd w:id="88"/>
      <w:bookmarkEnd w:id="89"/>
      <w:bookmarkEnd w:id="90"/>
      <w:bookmarkEnd w:id="91"/>
      <w:bookmarkEnd w:id="92"/>
    </w:p>
    <w:p w14:paraId="25354E83">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（二）项目在实施过程中会出现不可预料的需求变更，乙方需积极配合甲方的需求变更，并按照变更后的需求继续进行方案实施。</w:t>
      </w:r>
    </w:p>
    <w:p w14:paraId="646F2D0C">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（三）乙方需提交所有</w:t>
      </w:r>
      <w:r>
        <w:rPr>
          <w:rFonts w:hint="eastAsia" w:ascii="宋体" w:hAnsi="宋体" w:eastAsia="宋体" w:cs="宋体"/>
          <w:b w:val="0"/>
          <w:bCs w:val="0"/>
          <w:color w:val="auto"/>
          <w:sz w:val="24"/>
          <w:szCs w:val="24"/>
          <w:highlight w:val="none"/>
          <w:lang w:eastAsia="zh-CN"/>
        </w:rPr>
        <w:t>建设方案</w:t>
      </w:r>
      <w:r>
        <w:rPr>
          <w:rFonts w:hint="eastAsia" w:ascii="宋体" w:hAnsi="宋体" w:eastAsia="宋体" w:cs="宋体"/>
          <w:b w:val="0"/>
          <w:bCs w:val="0"/>
          <w:color w:val="auto"/>
          <w:sz w:val="24"/>
          <w:szCs w:val="24"/>
          <w:highlight w:val="none"/>
        </w:rPr>
        <w:t>流程及说明文档。</w:t>
      </w:r>
    </w:p>
    <w:p w14:paraId="77675A66">
      <w:pPr>
        <w:pageBreakBefore w:val="0"/>
        <w:widowControl w:val="0"/>
        <w:kinsoku/>
        <w:wordWrap/>
        <w:overflowPunct/>
        <w:topLinePunct w:val="0"/>
        <w:bidi w:val="0"/>
        <w:snapToGrid/>
        <w:spacing w:line="480" w:lineRule="exact"/>
        <w:ind w:firstLine="480" w:firstLineChars="200"/>
        <w:textAlignment w:val="auto"/>
        <w:rPr>
          <w:rFonts w:hint="eastAsia" w:ascii="Times New Roman" w:hAnsi="Times New Roman" w:eastAsia="宋体" w:cs="Times New Roman"/>
          <w:color w:val="auto"/>
          <w:sz w:val="24"/>
          <w:szCs w:val="24"/>
          <w:lang w:val="en-US" w:eastAsia="zh-CN"/>
        </w:rPr>
      </w:pPr>
      <w:bookmarkStart w:id="93" w:name="_Toc29450"/>
      <w:bookmarkStart w:id="94" w:name="_Toc14984"/>
      <w:bookmarkStart w:id="95" w:name="_Toc8420"/>
      <w:bookmarkStart w:id="96" w:name="_Toc6690"/>
      <w:bookmarkStart w:id="97" w:name="_Toc5623"/>
      <w:bookmarkStart w:id="98" w:name="_Toc28921"/>
      <w:bookmarkStart w:id="99" w:name="_Toc28293"/>
      <w:bookmarkStart w:id="100" w:name="_Toc5795"/>
      <w:bookmarkStart w:id="101" w:name="_Toc13410"/>
      <w:r>
        <w:rPr>
          <w:rFonts w:hint="eastAsia" w:ascii="Times New Roman" w:hAnsi="Times New Roman" w:eastAsia="宋体" w:cs="Times New Roman"/>
          <w:color w:val="auto"/>
          <w:sz w:val="24"/>
          <w:szCs w:val="24"/>
          <w:lang w:val="en-US" w:eastAsia="zh-CN"/>
        </w:rPr>
        <w:t>五、验收</w:t>
      </w:r>
      <w:bookmarkEnd w:id="93"/>
      <w:bookmarkEnd w:id="94"/>
      <w:bookmarkEnd w:id="95"/>
      <w:bookmarkEnd w:id="96"/>
      <w:bookmarkEnd w:id="97"/>
      <w:bookmarkEnd w:id="98"/>
      <w:bookmarkEnd w:id="99"/>
      <w:bookmarkEnd w:id="100"/>
      <w:bookmarkEnd w:id="101"/>
    </w:p>
    <w:p w14:paraId="705B2FC9">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auto"/>
          <w:sz w:val="24"/>
          <w:szCs w:val="24"/>
          <w:highlight w:val="none"/>
        </w:rPr>
        <w:t>（一）</w:t>
      </w:r>
      <w:r>
        <w:rPr>
          <w:rFonts w:hint="eastAsia" w:ascii="宋体" w:hAnsi="宋体" w:eastAsia="宋体" w:cs="宋体"/>
          <w:b w:val="0"/>
          <w:bCs w:val="0"/>
          <w:color w:val="auto"/>
          <w:sz w:val="24"/>
          <w:szCs w:val="24"/>
          <w:highlight w:val="none"/>
        </w:rPr>
        <w:t>所</w:t>
      </w:r>
      <w:r>
        <w:rPr>
          <w:rFonts w:hint="eastAsia" w:ascii="宋体" w:hAnsi="宋体" w:eastAsia="宋体" w:cs="宋体"/>
          <w:b w:val="0"/>
          <w:bCs w:val="0"/>
          <w:color w:val="auto"/>
          <w:sz w:val="24"/>
          <w:szCs w:val="24"/>
          <w:highlight w:val="none"/>
          <w:lang w:val="en-US" w:eastAsia="zh-CN"/>
        </w:rPr>
        <w:t>提供的服务，</w:t>
      </w:r>
      <w:r>
        <w:rPr>
          <w:rFonts w:hint="eastAsia" w:ascii="宋体" w:hAnsi="宋体" w:eastAsia="宋体" w:cs="宋体"/>
          <w:b w:val="0"/>
          <w:bCs w:val="0"/>
          <w:color w:val="auto"/>
          <w:sz w:val="24"/>
          <w:szCs w:val="24"/>
          <w:highlight w:val="none"/>
        </w:rPr>
        <w:t>最终验收达不到</w:t>
      </w:r>
      <w:r>
        <w:rPr>
          <w:rFonts w:hint="eastAsia" w:ascii="宋体"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要求和</w:t>
      </w:r>
      <w:r>
        <w:rPr>
          <w:rFonts w:hint="eastAsia" w:ascii="宋体" w:hAnsi="宋体" w:cs="宋体"/>
          <w:b w:val="0"/>
          <w:bCs w:val="0"/>
          <w:color w:val="auto"/>
          <w:sz w:val="24"/>
          <w:szCs w:val="24"/>
          <w:highlight w:val="none"/>
          <w:lang w:val="en-US" w:eastAsia="zh-CN"/>
        </w:rPr>
        <w:t>响应</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承诺的，或在</w:t>
      </w:r>
      <w:r>
        <w:rPr>
          <w:rFonts w:hint="eastAsia" w:ascii="宋体" w:hAnsi="宋体" w:eastAsia="宋体" w:cs="宋体"/>
          <w:b w:val="0"/>
          <w:bCs w:val="0"/>
          <w:color w:val="auto"/>
          <w:sz w:val="24"/>
          <w:szCs w:val="24"/>
          <w:highlight w:val="none"/>
          <w:lang w:val="en-US" w:eastAsia="zh-CN"/>
        </w:rPr>
        <w:t>服务</w:t>
      </w:r>
      <w:r>
        <w:rPr>
          <w:rFonts w:hint="eastAsia" w:ascii="宋体" w:hAnsi="宋体" w:eastAsia="宋体" w:cs="宋体"/>
          <w:b w:val="0"/>
          <w:bCs w:val="0"/>
          <w:color w:val="auto"/>
          <w:sz w:val="24"/>
          <w:szCs w:val="24"/>
          <w:highlight w:val="none"/>
        </w:rPr>
        <w:t>中发现采购人不能容忍的缺陷等，将视为</w:t>
      </w:r>
      <w:r>
        <w:rPr>
          <w:rFonts w:hint="eastAsia" w:ascii="宋体" w:hAnsi="宋体" w:eastAsia="宋体" w:cs="宋体"/>
          <w:b w:val="0"/>
          <w:bCs w:val="0"/>
          <w:color w:val="auto"/>
          <w:sz w:val="24"/>
          <w:szCs w:val="24"/>
          <w:highlight w:val="none"/>
          <w:lang w:val="en-US" w:eastAsia="zh-CN"/>
        </w:rPr>
        <w:t>服务验收</w:t>
      </w:r>
      <w:r>
        <w:rPr>
          <w:rFonts w:hint="eastAsia" w:ascii="宋体" w:hAnsi="宋体" w:eastAsia="宋体" w:cs="宋体"/>
          <w:b w:val="0"/>
          <w:bCs w:val="0"/>
          <w:color w:val="auto"/>
          <w:sz w:val="24"/>
          <w:szCs w:val="24"/>
          <w:highlight w:val="none"/>
        </w:rPr>
        <w:t>不合格，</w:t>
      </w:r>
      <w:r>
        <w:rPr>
          <w:rFonts w:hint="eastAsia" w:ascii="宋体" w:hAnsi="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应在采购人要求的时间内无条件免费</w:t>
      </w:r>
      <w:r>
        <w:rPr>
          <w:rFonts w:hint="eastAsia" w:ascii="宋体" w:hAnsi="宋体" w:eastAsia="宋体" w:cs="宋体"/>
          <w:b w:val="0"/>
          <w:bCs w:val="0"/>
          <w:color w:val="auto"/>
          <w:sz w:val="24"/>
          <w:szCs w:val="24"/>
          <w:highlight w:val="none"/>
          <w:lang w:val="en-US" w:eastAsia="zh-CN"/>
        </w:rPr>
        <w:t>更改</w:t>
      </w:r>
      <w:r>
        <w:rPr>
          <w:rFonts w:hint="eastAsia" w:ascii="宋体" w:hAnsi="宋体" w:eastAsia="宋体" w:cs="宋体"/>
          <w:b w:val="0"/>
          <w:bCs w:val="0"/>
          <w:color w:val="auto"/>
          <w:sz w:val="24"/>
          <w:szCs w:val="24"/>
          <w:highlight w:val="none"/>
        </w:rPr>
        <w:t>。</w:t>
      </w:r>
    </w:p>
    <w:p w14:paraId="1DF81208">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二</w:t>
      </w:r>
      <w:r>
        <w:rPr>
          <w:rFonts w:hint="default" w:ascii="Times New Roman" w:hAnsi="Times New Roman" w:eastAsia="宋体" w:cs="Times New Roman"/>
          <w:color w:val="auto"/>
          <w:sz w:val="24"/>
          <w:szCs w:val="24"/>
          <w:highlight w:val="none"/>
        </w:rPr>
        <w:t>）</w:t>
      </w:r>
      <w:r>
        <w:rPr>
          <w:rFonts w:hint="eastAsia" w:ascii="宋体" w:hAnsi="宋体" w:eastAsia="宋体" w:cs="宋体"/>
          <w:b w:val="0"/>
          <w:bCs w:val="0"/>
          <w:color w:val="auto"/>
          <w:sz w:val="24"/>
          <w:szCs w:val="24"/>
          <w:highlight w:val="none"/>
        </w:rPr>
        <w:t>若发现</w:t>
      </w:r>
      <w:r>
        <w:rPr>
          <w:rFonts w:hint="eastAsia" w:ascii="宋体" w:hAnsi="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有弄虚作假的，本合同解除，</w:t>
      </w:r>
      <w:r>
        <w:rPr>
          <w:rFonts w:hint="eastAsia" w:ascii="宋体" w:hAnsi="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赔偿采购人相应的损失。</w:t>
      </w:r>
    </w:p>
    <w:p w14:paraId="5E2AF2F6">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三</w:t>
      </w:r>
      <w:r>
        <w:rPr>
          <w:rFonts w:hint="default" w:ascii="Times New Roman" w:hAnsi="Times New Roman" w:eastAsia="宋体" w:cs="Times New Roman"/>
          <w:color w:val="auto"/>
          <w:sz w:val="24"/>
          <w:szCs w:val="24"/>
          <w:highlight w:val="none"/>
        </w:rPr>
        <w:t>）</w:t>
      </w:r>
      <w:r>
        <w:rPr>
          <w:rFonts w:hint="eastAsia" w:ascii="宋体" w:hAnsi="宋体" w:eastAsia="宋体" w:cs="宋体"/>
          <w:b w:val="0"/>
          <w:bCs w:val="0"/>
          <w:color w:val="auto"/>
          <w:sz w:val="24"/>
          <w:szCs w:val="24"/>
          <w:highlight w:val="none"/>
          <w:lang w:val="en-US" w:eastAsia="zh-CN"/>
        </w:rPr>
        <w:t>验收标准和方法：根据成交供应商提供的成果资料，由采购人自行组织验收。验收需符合国家相关标准、行业验收标准及磋商文件要求。</w:t>
      </w:r>
    </w:p>
    <w:p w14:paraId="0EB181D2">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四</w:t>
      </w:r>
      <w:r>
        <w:rPr>
          <w:rFonts w:hint="default" w:ascii="Times New Roman" w:hAnsi="Times New Roman" w:eastAsia="宋体" w:cs="Times New Roman"/>
          <w:color w:val="auto"/>
          <w:sz w:val="24"/>
          <w:szCs w:val="24"/>
          <w:highlight w:val="none"/>
        </w:rPr>
        <w:t>）</w:t>
      </w:r>
      <w:r>
        <w:rPr>
          <w:rFonts w:hint="eastAsia" w:ascii="宋体" w:hAnsi="宋体" w:eastAsia="宋体" w:cs="宋体"/>
          <w:b w:val="0"/>
          <w:bCs w:val="0"/>
          <w:color w:val="auto"/>
          <w:sz w:val="24"/>
          <w:szCs w:val="24"/>
          <w:highlight w:val="none"/>
        </w:rPr>
        <w:t>验收合格后，填写验收单，双方签字生效。</w:t>
      </w:r>
    </w:p>
    <w:p w14:paraId="53042E2C">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五</w:t>
      </w:r>
      <w:r>
        <w:rPr>
          <w:rFonts w:hint="default" w:ascii="Times New Roman" w:hAnsi="Times New Roman" w:eastAsia="宋体" w:cs="Times New Roman"/>
          <w:color w:val="auto"/>
          <w:sz w:val="24"/>
          <w:szCs w:val="24"/>
          <w:highlight w:val="none"/>
        </w:rPr>
        <w:t>）</w:t>
      </w:r>
      <w:r>
        <w:rPr>
          <w:rFonts w:hint="eastAsia" w:ascii="宋体" w:hAnsi="宋体" w:eastAsia="宋体" w:cs="宋体"/>
          <w:b w:val="0"/>
          <w:bCs w:val="0"/>
          <w:color w:val="auto"/>
          <w:sz w:val="24"/>
          <w:szCs w:val="24"/>
          <w:highlight w:val="none"/>
        </w:rPr>
        <w:t>验收依据：</w:t>
      </w:r>
    </w:p>
    <w:p w14:paraId="0A1AFDC2">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5.1</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合同文本；</w:t>
      </w:r>
    </w:p>
    <w:p w14:paraId="5CEFBD5E">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5.2</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cs="宋体"/>
          <w:b w:val="0"/>
          <w:bCs w:val="0"/>
          <w:color w:val="auto"/>
          <w:sz w:val="24"/>
          <w:szCs w:val="24"/>
          <w:highlight w:val="none"/>
          <w:lang w:val="en-US" w:eastAsia="zh-CN"/>
        </w:rPr>
        <w:t>响应</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及澄清函、</w:t>
      </w:r>
      <w:r>
        <w:rPr>
          <w:rFonts w:hint="eastAsia" w:ascii="宋体"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w:t>
      </w:r>
    </w:p>
    <w:p w14:paraId="5A594AFC">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5.3</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国家和行业制定的相应的标准和规范；</w:t>
      </w:r>
    </w:p>
    <w:p w14:paraId="08BAC117">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5.4</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验收清单。</w:t>
      </w:r>
    </w:p>
    <w:bookmarkEnd w:id="73"/>
    <w:bookmarkEnd w:id="83"/>
    <w:p w14:paraId="33213416">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lang w:val="en-US" w:eastAsia="zh-CN"/>
        </w:rPr>
      </w:pPr>
      <w:bookmarkStart w:id="102" w:name="_Toc1133"/>
      <w:bookmarkStart w:id="103" w:name="_Toc28692"/>
      <w:bookmarkStart w:id="104" w:name="_Toc84833380"/>
      <w:bookmarkStart w:id="105" w:name="_Toc30500"/>
      <w:bookmarkStart w:id="106" w:name="_Toc3200"/>
      <w:bookmarkStart w:id="107" w:name="_Toc29051"/>
      <w:bookmarkStart w:id="108" w:name="_Toc25746"/>
      <w:bookmarkStart w:id="109" w:name="_Toc12386"/>
      <w:bookmarkStart w:id="110" w:name="_Toc6296"/>
      <w:bookmarkStart w:id="111" w:name="_Toc869"/>
      <w:bookmarkStart w:id="112" w:name="_Toc12822"/>
      <w:bookmarkStart w:id="113" w:name="_Toc20749"/>
      <w:r>
        <w:rPr>
          <w:rFonts w:hint="eastAsia" w:ascii="Times New Roman" w:hAnsi="Times New Roman" w:eastAsia="宋体" w:cs="Times New Roman"/>
          <w:color w:val="auto"/>
          <w:sz w:val="24"/>
          <w:szCs w:val="24"/>
          <w:lang w:val="en-US" w:eastAsia="zh-CN"/>
        </w:rPr>
        <w:t>六、</w:t>
      </w:r>
      <w:r>
        <w:rPr>
          <w:rFonts w:hint="default" w:ascii="Times New Roman" w:hAnsi="Times New Roman" w:eastAsia="宋体" w:cs="Times New Roman"/>
          <w:color w:val="auto"/>
          <w:sz w:val="24"/>
          <w:szCs w:val="24"/>
          <w:lang w:val="en-US" w:eastAsia="zh-CN"/>
        </w:rPr>
        <w:t>违约责任</w:t>
      </w:r>
      <w:bookmarkEnd w:id="102"/>
      <w:bookmarkEnd w:id="103"/>
      <w:bookmarkEnd w:id="104"/>
      <w:bookmarkEnd w:id="105"/>
      <w:bookmarkEnd w:id="106"/>
      <w:bookmarkEnd w:id="107"/>
      <w:bookmarkEnd w:id="108"/>
      <w:bookmarkEnd w:id="109"/>
      <w:bookmarkEnd w:id="110"/>
      <w:bookmarkEnd w:id="111"/>
      <w:bookmarkEnd w:id="112"/>
      <w:bookmarkEnd w:id="113"/>
    </w:p>
    <w:p w14:paraId="3333D839">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（一）按《</w:t>
      </w:r>
      <w:r>
        <w:rPr>
          <w:rFonts w:hint="eastAsia" w:ascii="Times New Roman" w:hAnsi="Times New Roman" w:eastAsia="宋体" w:cs="Times New Roman"/>
          <w:color w:val="auto"/>
          <w:sz w:val="24"/>
          <w:szCs w:val="24"/>
          <w:highlight w:val="none"/>
          <w:lang w:val="en-US" w:eastAsia="zh-CN"/>
        </w:rPr>
        <w:t>民法典</w:t>
      </w:r>
      <w:r>
        <w:rPr>
          <w:rFonts w:hint="default" w:ascii="Times New Roman" w:hAnsi="Times New Roman" w:eastAsia="宋体" w:cs="Times New Roman"/>
          <w:color w:val="auto"/>
          <w:sz w:val="24"/>
          <w:szCs w:val="24"/>
        </w:rPr>
        <w:t>》中的相关条款执行。</w:t>
      </w:r>
    </w:p>
    <w:p w14:paraId="2BC5A409">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（二）未按合同要求提供服务或服务质量不能满足合同要求，甲方有权依据《</w:t>
      </w:r>
      <w:r>
        <w:rPr>
          <w:rFonts w:hint="eastAsia" w:ascii="Times New Roman" w:hAnsi="Times New Roman" w:eastAsia="宋体" w:cs="Times New Roman"/>
          <w:color w:val="auto"/>
          <w:sz w:val="24"/>
          <w:szCs w:val="24"/>
          <w:lang w:val="en-US" w:eastAsia="zh-CN"/>
        </w:rPr>
        <w:t>民法典</w:t>
      </w:r>
      <w:r>
        <w:rPr>
          <w:rFonts w:hint="default" w:ascii="Times New Roman" w:hAnsi="Times New Roman" w:eastAsia="宋体" w:cs="Times New Roman"/>
          <w:color w:val="auto"/>
          <w:sz w:val="24"/>
          <w:szCs w:val="24"/>
        </w:rPr>
        <w:t>》有关条款及合同约定终止合同，并要求</w:t>
      </w:r>
      <w:r>
        <w:rPr>
          <w:rFonts w:hint="eastAsia" w:ascii="Times New Roman" w:hAnsi="Times New Roman" w:eastAsia="宋体" w:cs="Times New Roman"/>
          <w:color w:val="auto"/>
          <w:sz w:val="24"/>
          <w:szCs w:val="24"/>
          <w:lang w:eastAsia="zh-CN"/>
        </w:rPr>
        <w:t>投标人</w:t>
      </w:r>
      <w:r>
        <w:rPr>
          <w:rFonts w:hint="default" w:ascii="Times New Roman" w:hAnsi="Times New Roman" w:eastAsia="宋体" w:cs="Times New Roman"/>
          <w:color w:val="auto"/>
          <w:sz w:val="24"/>
          <w:szCs w:val="24"/>
        </w:rPr>
        <w:t>承担违约责任。</w:t>
      </w:r>
    </w:p>
    <w:p w14:paraId="468C2310">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lang w:val="en-US" w:eastAsia="zh-CN"/>
        </w:rPr>
      </w:pPr>
      <w:bookmarkStart w:id="114" w:name="_Toc84833381"/>
      <w:bookmarkStart w:id="115" w:name="_Toc30184"/>
      <w:bookmarkStart w:id="116" w:name="_Toc11388"/>
      <w:bookmarkStart w:id="117" w:name="_Toc12792"/>
      <w:bookmarkStart w:id="118" w:name="_Toc2393"/>
      <w:bookmarkStart w:id="119" w:name="_Toc30766"/>
      <w:bookmarkStart w:id="120" w:name="_Toc23313"/>
      <w:bookmarkStart w:id="121" w:name="_Toc15483"/>
      <w:bookmarkStart w:id="122" w:name="_Toc31485"/>
      <w:bookmarkStart w:id="123" w:name="_Toc22070"/>
      <w:bookmarkStart w:id="124" w:name="_Toc9029"/>
      <w:bookmarkStart w:id="125" w:name="_Toc27905"/>
      <w:r>
        <w:rPr>
          <w:rFonts w:hint="eastAsia" w:ascii="Times New Roman" w:hAnsi="Times New Roman" w:eastAsia="宋体" w:cs="Times New Roman"/>
          <w:color w:val="auto"/>
          <w:sz w:val="24"/>
          <w:szCs w:val="24"/>
          <w:lang w:val="en-US" w:eastAsia="zh-CN"/>
        </w:rPr>
        <w:t>七</w:t>
      </w:r>
      <w:r>
        <w:rPr>
          <w:rFonts w:hint="default" w:ascii="Times New Roman" w:hAnsi="Times New Roman" w:eastAsia="宋体" w:cs="Times New Roman"/>
          <w:color w:val="auto"/>
          <w:sz w:val="24"/>
          <w:szCs w:val="24"/>
          <w:lang w:val="en-US" w:eastAsia="zh-CN"/>
        </w:rPr>
        <w:t>、争议解决</w:t>
      </w:r>
      <w:bookmarkEnd w:id="114"/>
      <w:bookmarkEnd w:id="115"/>
      <w:bookmarkEnd w:id="116"/>
      <w:bookmarkEnd w:id="117"/>
      <w:bookmarkEnd w:id="118"/>
      <w:bookmarkEnd w:id="119"/>
      <w:bookmarkEnd w:id="120"/>
      <w:bookmarkEnd w:id="121"/>
      <w:bookmarkEnd w:id="122"/>
      <w:bookmarkEnd w:id="123"/>
      <w:bookmarkEnd w:id="124"/>
      <w:bookmarkEnd w:id="125"/>
    </w:p>
    <w:p w14:paraId="6DFE0C3C">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b/>
          <w:color w:val="auto"/>
          <w:sz w:val="24"/>
          <w:szCs w:val="24"/>
        </w:rPr>
      </w:pPr>
      <w:r>
        <w:rPr>
          <w:rFonts w:hint="eastAsia" w:ascii="Times New Roman" w:hAnsi="Times New Roman" w:eastAsia="宋体" w:cs="Times New Roman"/>
          <w:color w:val="auto"/>
          <w:sz w:val="24"/>
          <w:szCs w:val="24"/>
        </w:rPr>
        <w:t>合同执行中发生争议的，当事人双方应协商解决，协商达不成一致时，可选择仲裁解决合同争议</w:t>
      </w:r>
      <w:r>
        <w:rPr>
          <w:rFonts w:hint="default" w:ascii="Times New Roman" w:hAnsi="Times New Roman" w:eastAsia="宋体" w:cs="Times New Roman"/>
          <w:color w:val="auto"/>
          <w:sz w:val="24"/>
          <w:szCs w:val="24"/>
        </w:rPr>
        <w:t>。</w:t>
      </w:r>
    </w:p>
    <w:p w14:paraId="64CCD094">
      <w:pPr>
        <w:pageBreakBefore w:val="0"/>
        <w:widowControl w:val="0"/>
        <w:numPr>
          <w:ilvl w:val="0"/>
          <w:numId w:val="1"/>
        </w:numPr>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lang w:val="en-US" w:eastAsia="zh-CN"/>
        </w:rPr>
      </w:pPr>
      <w:bookmarkStart w:id="126" w:name="_Toc8075"/>
      <w:bookmarkStart w:id="127" w:name="_Toc28030"/>
      <w:bookmarkStart w:id="128" w:name="_Toc24457"/>
      <w:bookmarkStart w:id="129" w:name="_Toc29929"/>
      <w:bookmarkStart w:id="130" w:name="_Toc10457"/>
      <w:bookmarkStart w:id="131" w:name="_Toc12700"/>
      <w:bookmarkStart w:id="132" w:name="_Toc84833382"/>
      <w:bookmarkStart w:id="133" w:name="_Toc6800"/>
      <w:bookmarkStart w:id="134" w:name="_Toc13310"/>
      <w:bookmarkStart w:id="135" w:name="_Toc26949"/>
      <w:bookmarkStart w:id="136" w:name="_Toc32374"/>
      <w:bookmarkStart w:id="137" w:name="_Toc32692"/>
      <w:r>
        <w:rPr>
          <w:rFonts w:hint="default" w:ascii="Times New Roman" w:hAnsi="Times New Roman" w:eastAsia="宋体" w:cs="Times New Roman"/>
          <w:color w:val="auto"/>
          <w:sz w:val="24"/>
          <w:szCs w:val="24"/>
          <w:lang w:val="en-US" w:eastAsia="zh-CN"/>
        </w:rPr>
        <w:t>合同生效及其他</w:t>
      </w:r>
      <w:bookmarkEnd w:id="126"/>
      <w:bookmarkEnd w:id="127"/>
      <w:bookmarkEnd w:id="128"/>
      <w:bookmarkEnd w:id="129"/>
      <w:bookmarkEnd w:id="130"/>
      <w:bookmarkEnd w:id="131"/>
      <w:bookmarkEnd w:id="132"/>
      <w:bookmarkEnd w:id="133"/>
      <w:bookmarkEnd w:id="134"/>
      <w:bookmarkEnd w:id="135"/>
      <w:bookmarkEnd w:id="136"/>
      <w:bookmarkEnd w:id="137"/>
    </w:p>
    <w:p w14:paraId="748AC2EB">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1</w:t>
      </w:r>
      <w:r>
        <w:rPr>
          <w:rFonts w:hint="eastAsia"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供应商须保证所交付印刷品的知识产权清晰，不得侵犯任何第三方的合法权益。</w:t>
      </w:r>
    </w:p>
    <w:p w14:paraId="16E8FEB0">
      <w:pPr>
        <w:pageBreakBefore w:val="0"/>
        <w:widowControl w:val="0"/>
        <w:kinsoku/>
        <w:wordWrap/>
        <w:overflowPunct/>
        <w:topLinePunct w:val="0"/>
        <w:bidi w:val="0"/>
        <w:snapToGrid/>
        <w:spacing w:line="480" w:lineRule="exact"/>
        <w:ind w:firstLine="480" w:firstLineChars="200"/>
        <w:textAlignment w:val="auto"/>
        <w:rPr>
          <w:rFonts w:hint="default"/>
          <w:color w:val="auto"/>
          <w:lang w:val="en-US" w:eastAsia="zh-CN"/>
        </w:rPr>
      </w:pPr>
      <w:r>
        <w:rPr>
          <w:rFonts w:hint="default" w:ascii="Times New Roman" w:hAnsi="Times New Roman" w:eastAsia="宋体" w:cs="Times New Roman"/>
          <w:color w:val="auto"/>
          <w:sz w:val="24"/>
          <w:szCs w:val="24"/>
          <w:lang w:val="en-US" w:eastAsia="zh-CN"/>
        </w:rPr>
        <w:t>2</w:t>
      </w:r>
      <w:r>
        <w:rPr>
          <w:rFonts w:hint="eastAsia"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采购人提供的相关资料，供应商仅可用于本项目相关工作，不得用于其他任何用途。</w:t>
      </w:r>
    </w:p>
    <w:p w14:paraId="0FA98525">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、本合同自签订之日起生效。</w:t>
      </w:r>
    </w:p>
    <w:p w14:paraId="4C3F2B13">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、合同一式</w:t>
      </w:r>
      <w:r>
        <w:rPr>
          <w:rFonts w:hint="default" w:ascii="Times New Roman" w:hAnsi="Times New Roman" w:eastAsia="宋体" w:cs="Times New Roman"/>
          <w:color w:val="auto"/>
          <w:sz w:val="24"/>
          <w:szCs w:val="24"/>
          <w:u w:val="single"/>
          <w:lang w:val="en-US" w:eastAsia="zh-CN"/>
        </w:rPr>
        <w:t xml:space="preserve"> </w:t>
      </w:r>
      <w:r>
        <w:rPr>
          <w:rFonts w:hint="eastAsia" w:ascii="Times New Roman" w:hAnsi="Times New Roman" w:eastAsia="宋体" w:cs="Times New Roman"/>
          <w:color w:val="auto"/>
          <w:sz w:val="24"/>
          <w:szCs w:val="24"/>
          <w:u w:val="single"/>
          <w:lang w:val="en-US" w:eastAsia="zh-CN"/>
        </w:rPr>
        <w:t xml:space="preserve">   </w:t>
      </w:r>
      <w:r>
        <w:rPr>
          <w:rFonts w:hint="default" w:ascii="Times New Roman" w:hAnsi="Times New Roman" w:eastAsia="宋体" w:cs="Times New Roman"/>
          <w:color w:val="auto"/>
          <w:sz w:val="24"/>
          <w:szCs w:val="24"/>
          <w:u w:val="single"/>
          <w:lang w:val="en-US" w:eastAsia="zh-CN"/>
        </w:rPr>
        <w:t xml:space="preserve"> </w:t>
      </w:r>
      <w:r>
        <w:rPr>
          <w:rFonts w:hint="default" w:ascii="Times New Roman" w:hAnsi="Times New Roman" w:eastAsia="宋体" w:cs="Times New Roman"/>
          <w:color w:val="auto"/>
          <w:sz w:val="24"/>
          <w:szCs w:val="24"/>
        </w:rPr>
        <w:t>份，双方各执</w:t>
      </w:r>
      <w:r>
        <w:rPr>
          <w:rFonts w:hint="default" w:ascii="Times New Roman" w:hAnsi="Times New Roman" w:eastAsia="宋体" w:cs="Times New Roman"/>
          <w:color w:val="auto"/>
          <w:sz w:val="24"/>
          <w:szCs w:val="24"/>
          <w:u w:val="single"/>
          <w:lang w:val="en-US" w:eastAsia="zh-CN"/>
        </w:rPr>
        <w:t xml:space="preserve"> </w:t>
      </w:r>
      <w:r>
        <w:rPr>
          <w:rFonts w:hint="eastAsia" w:ascii="Times New Roman" w:hAnsi="Times New Roman" w:eastAsia="宋体" w:cs="Times New Roman"/>
          <w:color w:val="auto"/>
          <w:sz w:val="24"/>
          <w:szCs w:val="24"/>
          <w:u w:val="single"/>
          <w:lang w:val="en-US" w:eastAsia="zh-CN"/>
        </w:rPr>
        <w:t xml:space="preserve"> </w:t>
      </w:r>
      <w:r>
        <w:rPr>
          <w:rFonts w:hint="default" w:ascii="Times New Roman" w:hAnsi="Times New Roman" w:eastAsia="宋体" w:cs="Times New Roman"/>
          <w:color w:val="auto"/>
          <w:sz w:val="24"/>
          <w:szCs w:val="24"/>
          <w:u w:val="single"/>
          <w:lang w:val="en-US" w:eastAsia="zh-CN"/>
        </w:rPr>
        <w:t xml:space="preserve"> </w:t>
      </w:r>
      <w:r>
        <w:rPr>
          <w:rFonts w:hint="default" w:ascii="Times New Roman" w:hAnsi="Times New Roman" w:eastAsia="宋体" w:cs="Times New Roman"/>
          <w:color w:val="auto"/>
          <w:sz w:val="24"/>
          <w:szCs w:val="24"/>
          <w:u w:val="none"/>
        </w:rPr>
        <w:t>份。</w:t>
      </w:r>
    </w:p>
    <w:tbl>
      <w:tblPr>
        <w:tblStyle w:val="5"/>
        <w:tblpPr w:leftFromText="180" w:rightFromText="180" w:vertAnchor="text" w:horzAnchor="page" w:tblpX="1615" w:tblpY="11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5C15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08B3EC31">
            <w:pPr>
              <w:autoSpaceDE w:val="0"/>
              <w:autoSpaceDN w:val="0"/>
              <w:adjustRightInd w:val="0"/>
              <w:spacing w:line="360" w:lineRule="auto"/>
              <w:ind w:firstLine="480" w:firstLineChars="200"/>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32C1F34A">
            <w:pPr>
              <w:autoSpaceDE w:val="0"/>
              <w:autoSpaceDN w:val="0"/>
              <w:adjustRightInd w:val="0"/>
              <w:spacing w:line="360" w:lineRule="auto"/>
              <w:ind w:firstLine="480" w:firstLineChars="200"/>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乙  方</w:t>
            </w:r>
          </w:p>
        </w:tc>
      </w:tr>
      <w:tr w14:paraId="6B66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B7BF925">
            <w:pPr>
              <w:autoSpaceDE w:val="0"/>
              <w:autoSpaceDN w:val="0"/>
              <w:adjustRightInd w:val="0"/>
              <w:spacing w:line="360" w:lineRule="auto"/>
              <w:ind w:firstLine="480" w:firstLineChars="200"/>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35538C4C">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全称（盖章）</w:t>
            </w:r>
          </w:p>
        </w:tc>
      </w:tr>
      <w:tr w14:paraId="7998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4F0BA317">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AC740E2">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地址：</w:t>
            </w:r>
          </w:p>
        </w:tc>
      </w:tr>
      <w:tr w14:paraId="155C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4587CB7B">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DF598D2">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邮编：</w:t>
            </w:r>
          </w:p>
        </w:tc>
      </w:tr>
      <w:tr w14:paraId="7666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BD2921D">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法定代表人：</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42F3515">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法定代表人：</w:t>
            </w:r>
          </w:p>
        </w:tc>
      </w:tr>
      <w:tr w14:paraId="47E5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1356E8D">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被授权代表：（签字）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58911BE">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被授权代表：（签字）</w:t>
            </w:r>
          </w:p>
        </w:tc>
      </w:tr>
      <w:tr w14:paraId="63EE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6D6BB950">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5616A35">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电话：</w:t>
            </w:r>
          </w:p>
        </w:tc>
      </w:tr>
      <w:tr w14:paraId="2B55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F5C38AB">
            <w:pPr>
              <w:autoSpaceDE w:val="0"/>
              <w:autoSpaceDN w:val="0"/>
              <w:adjustRightInd w:val="0"/>
              <w:spacing w:line="360" w:lineRule="auto"/>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1D3E85C">
            <w:pPr>
              <w:autoSpaceDE w:val="0"/>
              <w:autoSpaceDN w:val="0"/>
              <w:adjustRightInd w:val="0"/>
              <w:spacing w:line="360" w:lineRule="auto"/>
              <w:jc w:val="left"/>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bCs/>
                <w:color w:val="auto"/>
                <w:sz w:val="24"/>
                <w:szCs w:val="24"/>
              </w:rPr>
              <w:t>开户银行：</w:t>
            </w:r>
          </w:p>
        </w:tc>
      </w:tr>
      <w:tr w14:paraId="657B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D6871BD">
            <w:pPr>
              <w:autoSpaceDE w:val="0"/>
              <w:autoSpaceDN w:val="0"/>
              <w:adjustRightInd w:val="0"/>
              <w:spacing w:line="360" w:lineRule="auto"/>
              <w:ind w:firstLine="480" w:firstLineChars="200"/>
              <w:jc w:val="left"/>
              <w:rPr>
                <w:rFonts w:hint="default" w:ascii="Times New Roman" w:hAnsi="Times New Roman" w:eastAsia="宋体" w:cs="Times New Roman"/>
                <w:bCs/>
                <w:color w:val="auto"/>
                <w:sz w:val="24"/>
                <w:szCs w:val="24"/>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B54EB68">
            <w:pPr>
              <w:autoSpaceDE w:val="0"/>
              <w:autoSpaceDN w:val="0"/>
              <w:adjustRightInd w:val="0"/>
              <w:spacing w:line="360" w:lineRule="auto"/>
              <w:jc w:val="left"/>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bCs/>
                <w:color w:val="auto"/>
                <w:sz w:val="24"/>
                <w:szCs w:val="24"/>
              </w:rPr>
              <w:t>账号:</w:t>
            </w:r>
          </w:p>
        </w:tc>
      </w:tr>
      <w:tr w14:paraId="305F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C2A0B94">
            <w:pPr>
              <w:autoSpaceDE w:val="0"/>
              <w:autoSpaceDN w:val="0"/>
              <w:adjustRightInd w:val="0"/>
              <w:spacing w:line="360" w:lineRule="auto"/>
              <w:ind w:firstLine="480" w:firstLineChars="200"/>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BBEEB1C">
            <w:pPr>
              <w:autoSpaceDE w:val="0"/>
              <w:autoSpaceDN w:val="0"/>
              <w:adjustRightInd w:val="0"/>
              <w:spacing w:line="360" w:lineRule="auto"/>
              <w:ind w:firstLine="480" w:firstLineChars="200"/>
              <w:jc w:val="left"/>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日期：  年   月   日</w:t>
            </w:r>
          </w:p>
        </w:tc>
      </w:tr>
    </w:tbl>
    <w:p w14:paraId="3013310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C352A"/>
    <w:multiLevelType w:val="singleLevel"/>
    <w:tmpl w:val="A7BC352A"/>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mE0NTUzNmJjNTgzNjZlZGMxODJmNGIwNzI5ZDEifQ=="/>
  </w:docVars>
  <w:rsids>
    <w:rsidRoot w:val="00000000"/>
    <w:rsid w:val="1D800C40"/>
    <w:rsid w:val="1F10026B"/>
    <w:rsid w:val="1FBA3440"/>
    <w:rsid w:val="30D01972"/>
    <w:rsid w:val="318528A5"/>
    <w:rsid w:val="65E06E34"/>
    <w:rsid w:val="768C1656"/>
    <w:rsid w:val="77690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jc w:val="center"/>
      <w:outlineLvl w:val="0"/>
    </w:pPr>
    <w:rPr>
      <w:rFonts w:ascii="宋体" w:hAnsi="宋体"/>
      <w:b/>
      <w:sz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1355</Words>
  <Characters>1384</Characters>
  <Lines>0</Lines>
  <Paragraphs>0</Paragraphs>
  <TotalTime>13</TotalTime>
  <ScaleCrop>false</ScaleCrop>
  <LinksUpToDate>false</LinksUpToDate>
  <CharactersWithSpaces>1440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2023-09-11T02:29:00Z</dcterms:created>
  <dc:creator>Administrator</dc:creator>
  <cp:lastModifiedBy>11</cp:lastModifiedBy>
  <dcterms:modified xsi:type="dcterms:W3CDTF">2026-08-28T09:58:08Z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17F27255860C40628DB08CD3B18D193F_12</vt:lpwstr>
  </property>
  <property fmtid="{D5CDD505-2E9C-101B-9397-08002B2CF9AE}" pid="4" name="KSOTemplateDocerSaveRecord">
    <vt:lpwstr>eyJoZGlkIjoiNzY0NzcyNTM5MDIwNTNmMTRiZjQyNTdiYWFkOGZiMTgiLCJ1c2VySWQiOiIxMDExMTg2NzE1In0=</vt:lpwstr>
  </property>
</Properties>
</file>