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版本号：DYZFCG-2026-05070320260511001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2026年度居家安养服务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DYZFCG-2026-050703</w:t>
      </w:r>
      <w:r>
        <w:br/>
      </w:r>
      <w:r>
        <w:br/>
      </w:r>
      <w:r>
        <w:br/>
      </w:r>
    </w:p>
    <w:p>
      <w:pPr>
        <w:pStyle w:val="null3"/>
        <w:jc w:val="center"/>
        <w:outlineLvl w:val="2"/>
      </w:pPr>
      <w:r>
        <w:rPr>
          <w:rFonts w:ascii="仿宋_GB2312" w:hAnsi="仿宋_GB2312" w:cs="仿宋_GB2312" w:eastAsia="仿宋_GB2312"/>
          <w:sz w:val="28"/>
          <w:b/>
        </w:rPr>
        <w:t>西安市雁塔区残疾人联合会</w:t>
      </w:r>
    </w:p>
    <w:p>
      <w:pPr>
        <w:pStyle w:val="null3"/>
        <w:jc w:val="center"/>
        <w:outlineLvl w:val="2"/>
      </w:pPr>
      <w:r>
        <w:rPr>
          <w:rFonts w:ascii="仿宋_GB2312" w:hAnsi="仿宋_GB2312" w:cs="仿宋_GB2312" w:eastAsia="仿宋_GB2312"/>
          <w:sz w:val="28"/>
          <w:b/>
        </w:rPr>
        <w:t>德煜项目管理有限公司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德煜项目管理有限公司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西安市雁塔区残疾人联合会</w:t>
      </w:r>
      <w:r>
        <w:rPr>
          <w:rFonts w:ascii="仿宋_GB2312" w:hAnsi="仿宋_GB2312" w:cs="仿宋_GB2312" w:eastAsia="仿宋_GB2312"/>
        </w:rPr>
        <w:t>委托，拟对</w:t>
      </w:r>
      <w:r>
        <w:rPr>
          <w:rFonts w:ascii="仿宋_GB2312" w:hAnsi="仿宋_GB2312" w:cs="仿宋_GB2312" w:eastAsia="仿宋_GB2312"/>
        </w:rPr>
        <w:t>2026年度居家安养服务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DYZFCG-2026-050703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2026年度居家安养服务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西安市雁塔区残疾人联合会2026年度居家安养服务：居家安养服务以社区和社会服务机构为单位，建立社会化服务体系，采取定期上门、计时服务等形式 ，为分散居住在家、不适宜或不愿意到机构中的残疾人提供生活照料、康复养护、心理疏导等居家生活服务。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法定代表人授权委托书或法定代表人身份证明：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p>
      <w:pPr>
        <w:pStyle w:val="null3"/>
      </w:pPr>
      <w:r>
        <w:rPr>
          <w:rFonts w:ascii="仿宋_GB2312" w:hAnsi="仿宋_GB2312" w:cs="仿宋_GB2312" w:eastAsia="仿宋_GB2312"/>
        </w:rPr>
        <w:t>3、税收缴纳证明：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纳证明：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财务状况报告：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p>
      <w:pPr>
        <w:pStyle w:val="null3"/>
      </w:pPr>
      <w:r>
        <w:rPr>
          <w:rFonts w:ascii="仿宋_GB2312" w:hAnsi="仿宋_GB2312" w:cs="仿宋_GB2312" w:eastAsia="仿宋_GB2312"/>
        </w:rPr>
        <w:t>6、书面声明：①提供具有履行合同所必需的设备和专业技术能力书面声明；②参加政府采购活动前三年内，在经营活动中没有重大违法记录书面声明；</w:t>
      </w:r>
    </w:p>
    <w:p>
      <w:pPr>
        <w:pStyle w:val="null3"/>
      </w:pPr>
      <w:r>
        <w:rPr>
          <w:rFonts w:ascii="仿宋_GB2312" w:hAnsi="仿宋_GB2312" w:cs="仿宋_GB2312" w:eastAsia="仿宋_GB2312"/>
        </w:rPr>
        <w:t>7、信用记录：供应商不得为“信用中国”网站（http://www.cr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p>
      <w:pPr>
        <w:pStyle w:val="null3"/>
      </w:pPr>
      <w:r>
        <w:rPr>
          <w:rFonts w:ascii="仿宋_GB2312" w:hAnsi="仿宋_GB2312" w:cs="仿宋_GB2312" w:eastAsia="仿宋_GB2312"/>
        </w:rPr>
        <w:t>8、是否接受联合体投标：本项目不接受联合体投标，须提供非联合体声明或承诺。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029-85503976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德煜项目管理有限公司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陕西省西安市碑林区长安北路南稍门十字东南角大话南门1幢1单元19层11908室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刘倩云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19829629613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改委办公厅颁发的《关于招标代理服务收费有关问题的通知》(发改办价格(2003)857号)文件有关规定标准计取，不足5000.00元，以固定金额5000.00元计取;具体收费金额将在成交公告中公布。招标代理服务费由中标/成交供应商在领取成交通知书之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西安市雁塔区残疾人联合会</w:t>
      </w:r>
      <w:r>
        <w:rPr>
          <w:rFonts w:ascii="仿宋_GB2312" w:hAnsi="仿宋_GB2312" w:cs="仿宋_GB2312" w:eastAsia="仿宋_GB2312"/>
        </w:rPr>
        <w:t>和</w:t>
      </w:r>
      <w:r>
        <w:rPr>
          <w:rFonts w:ascii="仿宋_GB2312" w:hAnsi="仿宋_GB2312" w:cs="仿宋_GB2312" w:eastAsia="仿宋_GB2312"/>
        </w:rPr>
        <w:t>德煜项目管理有限公司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德煜项目管理有限公司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德煜项目管理有限公司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联系人：刘倩云</w:t>
      </w:r>
    </w:p>
    <w:p>
      <w:pPr>
        <w:pStyle w:val="null3"/>
      </w:pPr>
      <w:r>
        <w:rPr>
          <w:rFonts w:ascii="仿宋_GB2312" w:hAnsi="仿宋_GB2312" w:cs="仿宋_GB2312" w:eastAsia="仿宋_GB2312"/>
        </w:rPr>
        <w:t>联系电话：19829629613</w:t>
      </w:r>
    </w:p>
    <w:p>
      <w:pPr>
        <w:pStyle w:val="null3"/>
      </w:pPr>
      <w:r>
        <w:rPr>
          <w:rFonts w:ascii="仿宋_GB2312" w:hAnsi="仿宋_GB2312" w:cs="仿宋_GB2312" w:eastAsia="仿宋_GB2312"/>
        </w:rPr>
        <w:t>地址：陕西省西安市碑林区长安北路南稍门十字东南角大话南门1幢1单元19层11908室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西安市雁塔区残疾人联合会2026年度居家安养服务：居家安养服务以社区和社会服务机构为单位，建立社会化服务体系，采取定期上门、计时服务等形式 ，为分散居住在家、不适宜或不愿意到机构中的残疾人提供生活照料、康复养护、心理疏导等居家生活服务。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西安市雁塔区残疾人联合会2026年度居家安养服务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标的名称：西安市雁塔区残疾人联合会2026年度居家安养服务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一、服务对象</w:t>
            </w:r>
          </w:p>
          <w:p>
            <w:pPr>
              <w:pStyle w:val="null3"/>
              <w:jc w:val="both"/>
            </w:pPr>
            <w:r>
              <w:rPr>
                <w:rFonts w:ascii="仿宋_GB2312" w:hAnsi="仿宋_GB2312" w:cs="仿宋_GB2312" w:eastAsia="仿宋_GB2312"/>
                <w:sz w:val="22"/>
              </w:rPr>
              <w:t>具有雁塔区户籍、年龄</w:t>
            </w:r>
            <w:r>
              <w:rPr>
                <w:rFonts w:ascii="仿宋_GB2312" w:hAnsi="仿宋_GB2312" w:cs="仿宋_GB2312" w:eastAsia="仿宋_GB2312"/>
                <w:sz w:val="22"/>
              </w:rPr>
              <w:t>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jc w:val="both"/>
            </w:pPr>
            <w:r>
              <w:rPr>
                <w:rFonts w:ascii="仿宋_GB2312" w:hAnsi="仿宋_GB2312" w:cs="仿宋_GB2312" w:eastAsia="仿宋_GB2312"/>
                <w:sz w:val="22"/>
                <w:b/>
              </w:rPr>
              <w:t>二、服务类型及服务内容</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1）服务类型：居家安养服务。按照《就业年龄段智力、精神及重度肢体残疾人托养服务规范（GB/T 37516—2019）》《政府购买残疾人托养服务技术标准与规范》《残疾人服务机构管理办法》（陕民函〔2018〕95 号）和《关于进一步推动政府购买助残服务的实施意见》（陕残联发〔2021〕1 号）等有关规定，采取以社区和社会服务机构为单位，建立社会化服务体系，采取定期上门、计时服务等形式，为分散居住在家、不适宜或不愿意到机构中的残疾人提供生活照料、康复养护、心理疏导等居家生活服务。</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2）服务内容：为残疾人提供生活照料和护理；社会适应能力辅导和运动功能训练。</w:t>
            </w:r>
          </w:p>
          <w:p>
            <w:pPr>
              <w:pStyle w:val="null3"/>
              <w:jc w:val="both"/>
            </w:pPr>
            <w:r>
              <w:rPr>
                <w:rFonts w:ascii="仿宋_GB2312" w:hAnsi="仿宋_GB2312" w:cs="仿宋_GB2312" w:eastAsia="仿宋_GB2312"/>
                <w:sz w:val="22"/>
                <w:b/>
              </w:rPr>
              <w:t>三、补助标准</w:t>
            </w:r>
          </w:p>
          <w:p>
            <w:pPr>
              <w:pStyle w:val="null3"/>
              <w:jc w:val="both"/>
            </w:pPr>
            <w:r>
              <w:rPr>
                <w:rFonts w:ascii="仿宋_GB2312" w:hAnsi="仿宋_GB2312" w:cs="仿宋_GB2312" w:eastAsia="仿宋_GB2312"/>
                <w:sz w:val="22"/>
              </w:rPr>
              <w:t>居家安养服务采取政府购买服务的形式，每服务</w:t>
            </w:r>
            <w:r>
              <w:rPr>
                <w:rFonts w:ascii="仿宋_GB2312" w:hAnsi="仿宋_GB2312" w:cs="仿宋_GB2312" w:eastAsia="仿宋_GB2312"/>
                <w:sz w:val="22"/>
              </w:rPr>
              <w:t>12个月为1人次，每人次购买标准2500元。个别服务对象确需长期服务或多次服务的，按具体服务时间或服务的次数确定人次。每人每月服务不少于8小时。</w:t>
            </w:r>
          </w:p>
          <w:p>
            <w:pPr>
              <w:pStyle w:val="null3"/>
              <w:jc w:val="both"/>
            </w:pPr>
            <w:r>
              <w:rPr>
                <w:rFonts w:ascii="仿宋_GB2312" w:hAnsi="仿宋_GB2312" w:cs="仿宋_GB2312" w:eastAsia="仿宋_GB2312"/>
                <w:sz w:val="22"/>
                <w:b/>
              </w:rPr>
              <w:t>四、工作任务</w:t>
            </w:r>
          </w:p>
          <w:p>
            <w:pPr>
              <w:pStyle w:val="null3"/>
              <w:jc w:val="both"/>
            </w:pPr>
            <w:r>
              <w:rPr>
                <w:rFonts w:ascii="仿宋_GB2312" w:hAnsi="仿宋_GB2312" w:cs="仿宋_GB2312" w:eastAsia="仿宋_GB2312"/>
                <w:sz w:val="22"/>
              </w:rPr>
              <w:t>西安市雁塔区残疾人居家安养服务项目服务人数为</w:t>
            </w:r>
            <w:r>
              <w:rPr>
                <w:rFonts w:ascii="仿宋_GB2312" w:hAnsi="仿宋_GB2312" w:cs="仿宋_GB2312" w:eastAsia="仿宋_GB2312"/>
                <w:sz w:val="22"/>
              </w:rPr>
              <w:t>180人。</w:t>
            </w:r>
          </w:p>
          <w:p>
            <w:pPr>
              <w:pStyle w:val="null3"/>
              <w:jc w:val="both"/>
            </w:pPr>
            <w:r>
              <w:rPr>
                <w:rFonts w:ascii="仿宋_GB2312" w:hAnsi="仿宋_GB2312" w:cs="仿宋_GB2312" w:eastAsia="仿宋_GB2312"/>
                <w:sz w:val="22"/>
                <w:b/>
              </w:rPr>
              <w:t>五、服务期限</w:t>
            </w:r>
          </w:p>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自合同签订之日起一年。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本项目要求。居家安养服务机构应当配备专业管理人员、专职或兼职专业技术人员和能满足服务需求的工勤人员；从业人员应持有身份证明、健康证明、对需持证上岗的岗位，应按照有关法律法规规定持有有效的从业资格和职业资格证书；每年参加1次以上相关专业培训。</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设施设备满足本项目要求。居家安养服务机构办公场所应通讯设备齐全，通讯畅通，满足移动服务信息化系统的运行需求。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按照竞争性磋商文件要求与达到现行的国家行业标准，符合西安市雁塔区残疾人联合会西安市雁塔区财政局关于印发《西安市雁塔区残疾人托养服务工作实施方案》的通知雁残发〔2025〕8 号文件精神。</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分期付款；第1个季度（自合同签订之日起第1个月至第3个月），根据实际情况，乙方提供已完成项目数量清单及全额发票，甲方支付约定金额至乙方账户；累计支付金额不得超出预算 ，据实核算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第2个季度（自合同签订之日起第4个月至第6个月），根据实际情况，乙方提供已完成项目数量清单及全额发票，甲方支付约定金额至乙方账户；累计支付金额不得超出预算 ，据实核算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第3个季度（自合同签订之日起第7个月至第9个月），根据实际情况，乙方提供已完成项目数量清单及全额发票，甲方支付约定金额至乙方账户；累计支付金额不得超出预算 ，据实核算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第4个季度（自合同签订之日起第10个月至第12个月），根据实际情况，乙方提供已完成项目数量清单及全额发票，甲方支付约定金额至乙方账户；累计支付金额不得超出预算，据实核算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解决争议的方法：1、在执行本合同中发生的或与本合同有关的争端，双方应通过友好协商解决，经协商在XX天内不能达成协议时，则采取以下第2种方式解决争议：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①提供具有履行合同所必需的设备和专业技术能力书面声明；②参加政府采购活动前三年内，在经营活动中没有重大违法记录书面声明；</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本项目不接受联合体投标，须提供非联合体声明或承诺。</w:t>
            </w:r>
          </w:p>
        </w:tc>
        <w:tc>
          <w:tcPr>
            <w:tcW w:type="dxa" w:w="1661"/>
          </w:tcPr>
          <w:p>
            <w:pPr>
              <w:pStyle w:val="null3"/>
            </w:pPr>
            <w:r>
              <w:rPr>
                <w:rFonts w:ascii="仿宋_GB2312" w:hAnsi="仿宋_GB2312" w:cs="仿宋_GB2312" w:eastAsia="仿宋_GB2312"/>
              </w:rPr>
              <w:t>响应文件封面 资格审查.docx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与营业执照等证明文件一致</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资格审查.docx 服务内容及服务邀请应答表 供应商类似项目业绩一览表.docx 中小企业声明函 商务应答表 供应商应提交的相关资格证明材料 报价表 响应文件封面 供应商认为需要提供的其他资料.docx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响应有效期（实质性要求）</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（2）计量单位、报价货币均符合磋商文件要求；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 响应文件格式”要求</w:t>
            </w:r>
          </w:p>
        </w:tc>
        <w:tc>
          <w:tcPr>
            <w:tcW w:type="dxa" w:w="1661"/>
          </w:tcPr>
          <w:p>
            <w:pPr>
              <w:pStyle w:val="null3"/>
            </w:pPr>
            <w:r>
              <w:rPr>
                <w:rFonts w:ascii="仿宋_GB2312" w:hAnsi="仿宋_GB2312" w:cs="仿宋_GB2312" w:eastAsia="仿宋_GB2312"/>
              </w:rPr>
              <w:t>资格审查.docx 服务内容及服务邀请应答表 供应商类似项目业绩一览表.docx 中小企业声明函 商务应答表 供应商应提交的相关资格证明材料 报价表 响应文件封面 供应商认为需要提供的其他资料.docx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响应文件内容不存在漏项或数量与要求不符合磋商文件规定情形，响应内容满足磋商文件的技术、服务、商务等要求。不能有采购人不能接受的附加条件。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供应商完全理解并响应《政府采购供应商拒绝政府采购领域商业贿赂承诺书》。</w:t>
            </w:r>
          </w:p>
        </w:tc>
        <w:tc>
          <w:tcPr>
            <w:tcW w:type="dxa" w:w="1661"/>
          </w:tcPr>
          <w:p>
            <w:pPr>
              <w:pStyle w:val="null3"/>
            </w:pPr>
            <w:r>
              <w:rPr>
                <w:rFonts w:ascii="仿宋_GB2312" w:hAnsi="仿宋_GB2312" w:cs="仿宋_GB2312" w:eastAsia="仿宋_GB2312"/>
              </w:rPr>
              <w:t>响应文件封面 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项目背景以及需求分析</w:t>
            </w:r>
          </w:p>
        </w:tc>
        <w:tc>
          <w:tcPr>
            <w:tcW w:type="dxa" w:w="2492"/>
          </w:tcPr>
          <w:p>
            <w:pPr>
              <w:pStyle w:val="null3"/>
            </w:pPr>
            <w:r>
              <w:rPr>
                <w:rFonts w:ascii="仿宋_GB2312" w:hAnsi="仿宋_GB2312" w:cs="仿宋_GB2312" w:eastAsia="仿宋_GB2312"/>
              </w:rPr>
              <w:t>一、评审内容：根据供应商针对本项目提供的项目背景以及需求分析方案，包括但不限于：①项目需求理解与分析；②工作思路；③工作原则；④重点，难点分析等。 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针对本项目提供的服务方案，包括但不限于：①生活照料和护理服务方案；②生活自理能力训练服务方案；③社会适应能力辅导服务方案；④职业康复和劳动技能训练服务方案；⑤运动功能训练服务方案等。二、评审标准：提供详细、合理、科学可行的方案，方案符合本项目采购需求有针对性，以上五项，每一项内容无缺项、漏项且无缺陷的得5分，合计25分，其中每有一项内容存在缺项、漏项的扣5分，每项内容中每有一处存在缺陷的扣1分，该项分值扣完为止；以上五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管理体系及服务质量保障措施方案</w:t>
            </w:r>
          </w:p>
        </w:tc>
        <w:tc>
          <w:tcPr>
            <w:tcW w:type="dxa" w:w="2492"/>
          </w:tcPr>
          <w:p>
            <w:pPr>
              <w:pStyle w:val="null3"/>
            </w:pPr>
            <w:r>
              <w:rPr>
                <w:rFonts w:ascii="仿宋_GB2312" w:hAnsi="仿宋_GB2312" w:cs="仿宋_GB2312" w:eastAsia="仿宋_GB2312"/>
              </w:rPr>
              <w:t>一、评审内容：根据供应商针对本项目提供的管理体系及保障措施方案，包括但不限于：①服务管理及质量保证；②服务反馈、检查监督；③投诉处理、服务改进；④人员保障措施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工作进度计划及保障措施方案</w:t>
            </w:r>
          </w:p>
        </w:tc>
        <w:tc>
          <w:tcPr>
            <w:tcW w:type="dxa" w:w="2492"/>
          </w:tcPr>
          <w:p>
            <w:pPr>
              <w:pStyle w:val="null3"/>
            </w:pPr>
            <w:r>
              <w:rPr>
                <w:rFonts w:ascii="仿宋_GB2312" w:hAnsi="仿宋_GB2312" w:cs="仿宋_GB2312" w:eastAsia="仿宋_GB2312"/>
              </w:rPr>
              <w:t>一、评审内容：根据供应商针对本项目提供的工作进度计划及保障措施方案，包括但不限于：①进度安排计划；②服务期内目标控制；③保证措施等。 二、评审标准：提供详细、合理、科学可行的方案，方案符合本项目采购需求有针对性，以上三项，每一项内容无缺项、漏项且无缺陷的得3分，合计9分，其中每有一项内容存在缺项、漏项的扣3分，每项内容中每有一处存在缺陷的扣0.5分，该项分值扣完为止；以上三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根据供应商针对本项目提供的突发应急预案，包括但不限于：①服务过程突发和临时事件的预计、应急处理能力、应急管理制度及应急措施；②服务对象身体健康方面；③服务对象生活环境方面；④服务人员技术以及设备方面可能发生的应急情况等；二、评审标准：提供详细、合理、科学可行的方案，方案符合本项目采购需求有针对性，以上四项，每一项内容无缺项、漏项且无缺陷的得3分，合计12分，其中每有一项内容存在缺项、漏项的扣3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根据供应商针对本项目提供的项目团队人员配备方案，包括但不限于：①项目管理机构图；②岗位安排及职责；③管理制度；④相应的协调措施等。二、评审标准：提供详细、合理、科学可行的方案，方案符合本项目采购需求有针对性，以上四项，每一项内容无缺项、漏项且无缺陷的得2分，合计8分，其中每有一项内容存在缺项、漏项的扣2分，每项内容中每有一处存在缺陷的扣0.5分，该项分值扣完为止；以上四项内容，未提供的不得分。（缺陷是指：内容不详细具体、条理不清晰、 描述过于简单、与项目特点不匹配 、凭空编造、出现常识性错误、不可能实现的夸大情形、存在不适用项目实际情况的情形等） 注:提供团队人员清单及相关证明材料扫描件加盖单位公章，以磋商响应文件中提供的相关证明材料扫描件为准，扫描件须清晰可辨，未按要求提供或未提供将不予计分。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供应商提供2023年1月1日起至响应文件递交截止时间前的类似项目业绩证明材料，每提供1份业绩得2分，满分（最多）6分。（须提供完整合同资料；时间以合同签订日期为准），不提供不得分。 注：以上证明资料须提供复印件或扫描件加盖公章，复印件或扫描件须清晰可辨。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为方便雁塔区残疾人提供生活照料和护理；生活自理能力训练；社会适应能力辅导；职业康复和劳动技能训练；运动功能训练等服务，供应商经营场所为西安市雁塔区范围内的得1分，其他地区不得分。提供房屋租赁合同或房产证复印件，未提供得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综合评分办法中的价格分统一采用低价优先法计算。1.满足磋商文件要求且最后报价最低的供应商的价格为磋商基准价，其价格分为满分15分。 2.其他供应商的价格分统一按照下列公式计算：磋商报价得分=（磋商基准价/最后磋商报价）×价格权值（15%）×100。 3.磋商报价不完整的，不进入磋商基准价的计算，本项得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详见附件：【政府采购合同格式】西安市雁塔区残疾人联合会2026年度居家安养服务.docx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