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75AC0">
      <w:pPr>
        <w:bidi w:val="0"/>
        <w:jc w:val="center"/>
        <w:rPr>
          <w:rFonts w:hint="eastAsia"/>
          <w:b/>
          <w:bCs/>
          <w:sz w:val="32"/>
          <w:szCs w:val="32"/>
        </w:rPr>
      </w:pPr>
      <w:r>
        <w:rPr>
          <w:rFonts w:hint="eastAsia"/>
          <w:b/>
          <w:bCs/>
          <w:sz w:val="32"/>
          <w:szCs w:val="32"/>
          <w:lang w:val="en-US" w:eastAsia="zh-CN"/>
        </w:rPr>
        <w:t xml:space="preserve">西安市雁塔区残疾人联合会2026年度居家安养服务 </w:t>
      </w:r>
      <w:bookmarkStart w:id="52" w:name="_GoBack"/>
      <w:bookmarkEnd w:id="52"/>
    </w:p>
    <w:p w14:paraId="7CCA9660">
      <w:pPr>
        <w:bidi w:val="0"/>
        <w:jc w:val="center"/>
        <w:rPr>
          <w:rFonts w:hint="eastAsia"/>
          <w:b/>
          <w:bCs/>
          <w:sz w:val="32"/>
          <w:szCs w:val="32"/>
        </w:rPr>
      </w:pPr>
      <w:r>
        <w:rPr>
          <w:rFonts w:hint="eastAsia"/>
          <w:b/>
          <w:bCs/>
          <w:sz w:val="32"/>
          <w:szCs w:val="32"/>
        </w:rPr>
        <w:t>政府采购合同格式</w:t>
      </w:r>
      <w:r>
        <w:rPr>
          <w:rFonts w:hint="eastAsia"/>
          <w:b/>
          <w:bCs/>
          <w:sz w:val="32"/>
          <w:szCs w:val="32"/>
          <w:lang w:eastAsia="zh-CN"/>
        </w:rPr>
        <w:t>（参考文本）</w:t>
      </w:r>
    </w:p>
    <w:p w14:paraId="4BF776BB">
      <w:pPr>
        <w:bidi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合同编号： </w:t>
      </w:r>
    </w:p>
    <w:p w14:paraId="29FCF1FA">
      <w:pPr>
        <w:bidi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签订地点： </w:t>
      </w:r>
    </w:p>
    <w:p w14:paraId="3BB81E06">
      <w:pPr>
        <w:bidi w:val="0"/>
        <w:spacing w:line="360" w:lineRule="auto"/>
        <w:rPr>
          <w:rFonts w:hint="eastAsia" w:ascii="宋体" w:hAnsi="宋体" w:eastAsia="宋体" w:cs="宋体"/>
          <w:sz w:val="24"/>
          <w:szCs w:val="24"/>
        </w:rPr>
      </w:pPr>
      <w:r>
        <w:rPr>
          <w:rFonts w:hint="eastAsia" w:ascii="宋体" w:hAnsi="宋体" w:eastAsia="宋体" w:cs="宋体"/>
          <w:sz w:val="24"/>
          <w:szCs w:val="24"/>
        </w:rPr>
        <w:t>签订时间:</w:t>
      </w:r>
    </w:p>
    <w:p w14:paraId="0C659DB8">
      <w:pPr>
        <w:bidi w:val="0"/>
        <w:spacing w:line="360" w:lineRule="auto"/>
        <w:rPr>
          <w:rFonts w:hint="eastAsia" w:ascii="宋体" w:hAnsi="宋体" w:eastAsia="宋体" w:cs="宋体"/>
          <w:sz w:val="24"/>
          <w:szCs w:val="24"/>
          <w:u w:val="single"/>
        </w:rPr>
      </w:pPr>
      <w:r>
        <w:rPr>
          <w:rFonts w:hint="eastAsia" w:ascii="宋体" w:hAnsi="宋体" w:eastAsia="宋体" w:cs="宋体"/>
          <w:sz w:val="24"/>
          <w:szCs w:val="24"/>
        </w:rPr>
        <w:t>采购人（甲方）：</w:t>
      </w:r>
    </w:p>
    <w:p w14:paraId="0257752F">
      <w:pPr>
        <w:bidi w:val="0"/>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（乙方）：</w:t>
      </w:r>
    </w:p>
    <w:p w14:paraId="5410345A">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w:t>
      </w:r>
      <w:r>
        <w:rPr>
          <w:rFonts w:hint="eastAsia" w:ascii="宋体" w:hAnsi="宋体" w:eastAsia="宋体" w:cs="宋体"/>
          <w:sz w:val="24"/>
          <w:szCs w:val="24"/>
          <w:lang w:eastAsia="zh-CN"/>
        </w:rPr>
        <w:t>民法典</w:t>
      </w:r>
      <w:r>
        <w:rPr>
          <w:rFonts w:hint="eastAsia" w:ascii="宋体" w:hAnsi="宋体" w:eastAsia="宋体" w:cs="宋体"/>
          <w:sz w:val="24"/>
          <w:szCs w:val="24"/>
        </w:rPr>
        <w:t>》和采购人（甲方）</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采购项目</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竞争性磋商文件</w:t>
      </w:r>
      <w:r>
        <w:rPr>
          <w:rFonts w:hint="eastAsia" w:ascii="宋体" w:hAnsi="宋体" w:eastAsia="宋体" w:cs="宋体"/>
          <w:sz w:val="24"/>
          <w:szCs w:val="24"/>
        </w:rPr>
        <w:t>、</w:t>
      </w:r>
      <w:r>
        <w:rPr>
          <w:rFonts w:hint="eastAsia" w:ascii="宋体" w:hAnsi="宋体" w:eastAsia="宋体" w:cs="宋体"/>
          <w:sz w:val="24"/>
          <w:szCs w:val="24"/>
          <w:lang w:val="en-US" w:eastAsia="zh-CN"/>
        </w:rPr>
        <w:t>投标响应</w:t>
      </w:r>
      <w:r>
        <w:rPr>
          <w:rFonts w:hint="eastAsia" w:ascii="宋体" w:hAnsi="宋体" w:eastAsia="宋体" w:cs="宋体"/>
          <w:sz w:val="24"/>
          <w:szCs w:val="24"/>
        </w:rPr>
        <w:t>文件等有关规定，为确保甲方采购项目的顺利实施，甲、乙双方在平等自愿原则下签订本合同，并共同遵守如下条款：</w:t>
      </w:r>
    </w:p>
    <w:p w14:paraId="3BE6170B">
      <w:pPr>
        <w:numPr>
          <w:ilvl w:val="0"/>
          <w:numId w:val="0"/>
        </w:numPr>
        <w:bidi w:val="0"/>
        <w:spacing w:line="360" w:lineRule="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第一条  项目基本情况</w:t>
      </w:r>
    </w:p>
    <w:p w14:paraId="54DD919D">
      <w:pPr>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本项目采购人为西安市雁塔区残疾人联合会。西安市雁塔区残疾人联合会2026年度居家安养服务：居家安养服务以社区和社会服务机构为单位，建立社会化服务体系，采取定期上门、计时服务等形式 ，为分散居住在家、不适宜或不愿意到机构中的残疾人提供生活照料、康复养护、心理疏导等居家生活服务。</w:t>
      </w:r>
    </w:p>
    <w:p w14:paraId="59ED765F">
      <w:pPr>
        <w:numPr>
          <w:ilvl w:val="0"/>
          <w:numId w:val="0"/>
        </w:numPr>
        <w:bidi w:val="0"/>
        <w:spacing w:line="360" w:lineRule="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第二条 服务期限</w:t>
      </w:r>
    </w:p>
    <w:p w14:paraId="7B097896">
      <w:pPr>
        <w:bidi w:val="0"/>
        <w:spacing w:line="360" w:lineRule="auto"/>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自合同签订之日起一年。</w:t>
      </w:r>
    </w:p>
    <w:p w14:paraId="4B550AE7">
      <w:pPr>
        <w:bidi w:val="0"/>
        <w:spacing w:line="360" w:lineRule="auto"/>
        <w:ind w:left="0" w:leftChars="0" w:firstLine="0" w:firstLineChars="0"/>
        <w:rPr>
          <w:rFonts w:hint="eastAsia" w:ascii="宋体" w:hAnsi="宋体" w:eastAsia="宋体" w:cs="宋体"/>
          <w:b/>
          <w:bCs/>
          <w:color w:val="000000"/>
          <w:kern w:val="0"/>
          <w:sz w:val="24"/>
          <w:szCs w:val="24"/>
          <w:lang w:val="en-US" w:eastAsia="zh-CN" w:bidi="ar-SA"/>
        </w:rPr>
      </w:pPr>
      <w:bookmarkStart w:id="0" w:name="_Toc185395249"/>
      <w:bookmarkStart w:id="1" w:name="_Toc286993786"/>
      <w:bookmarkStart w:id="2" w:name="_Toc283019214"/>
      <w:bookmarkStart w:id="3" w:name="_Toc232492928"/>
      <w:bookmarkStart w:id="4" w:name="_Toc282696226"/>
      <w:bookmarkStart w:id="5" w:name="_Toc241833903"/>
      <w:bookmarkStart w:id="6" w:name="_Toc238984975"/>
      <w:bookmarkStart w:id="7" w:name="_Toc225670751"/>
      <w:bookmarkStart w:id="8" w:name="_Toc212019594"/>
      <w:bookmarkStart w:id="9" w:name="_Toc251768862"/>
      <w:bookmarkStart w:id="10" w:name="_Toc237145406"/>
      <w:bookmarkStart w:id="11" w:name="_Toc211911348"/>
      <w:bookmarkStart w:id="12" w:name="_Toc239568418"/>
      <w:bookmarkStart w:id="13" w:name="_Toc225244852"/>
      <w:bookmarkStart w:id="14" w:name="_Toc225654644"/>
      <w:bookmarkStart w:id="15" w:name="_Toc239233914"/>
      <w:bookmarkStart w:id="16" w:name="_Toc211854449"/>
      <w:bookmarkStart w:id="17" w:name="_Toc247334841"/>
      <w:r>
        <w:rPr>
          <w:rFonts w:hint="eastAsia" w:ascii="宋体" w:hAnsi="宋体" w:eastAsia="宋体" w:cs="宋体"/>
          <w:b/>
          <w:bCs/>
          <w:color w:val="000000"/>
          <w:kern w:val="0"/>
          <w:sz w:val="24"/>
          <w:szCs w:val="24"/>
          <w:lang w:val="en-US" w:eastAsia="zh-CN" w:bidi="ar-SA"/>
        </w:rPr>
        <w:t>第三条 服务内容与质量标准</w:t>
      </w:r>
    </w:p>
    <w:p w14:paraId="36FB0A97">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.服务人数及服务频率要求：</w:t>
      </w:r>
    </w:p>
    <w:p w14:paraId="4AFAC69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次预算共计可服务180人，居家安养服务采取政府购买服务的形式，每服务12个月为1人次，每人次购买标准2500元。个别服务对象确需长期服务或多次服务的，按具体服务时间或服务的次数确定人次。每人每月服务不少于8小时。</w:t>
      </w:r>
    </w:p>
    <w:p w14:paraId="2925CE11">
      <w:pPr>
        <w:keepNext w:val="0"/>
        <w:keepLines w:val="0"/>
        <w:pageBreakBefore w:val="0"/>
        <w:numPr>
          <w:ilvl w:val="0"/>
          <w:numId w:val="1"/>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服务内容：</w:t>
      </w:r>
    </w:p>
    <w:p w14:paraId="7007245B">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（1）服务类型：居家安养服务。按照《就业年龄段智力、精神及重度肢体残疾人托养服务规范（GB/T 37516—2019）》《政府购买残疾人托养服务技术标准与规范》《残疾人服务机构管理办法》（陕民函〔2018〕95 号）和《关于进一步推动政府购买助残服务的实施意见》（陕残联发〔2021〕1 号）等有关规定，采取以社区和社会服务机构为单位，建立社会化服务体系，采取定期上门、计时服务等形式，为分散居住在家、不适宜或不愿意到机构中的残疾人提供生活照料、康复养护、心理疏导等居家生活服务。</w:t>
      </w:r>
    </w:p>
    <w:p w14:paraId="6FC68DD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（2）服务内容：为残疾人提供生活照料和护理；社会适应能力辅导和运动功能训练。</w:t>
      </w:r>
    </w:p>
    <w:p w14:paraId="57448FBD">
      <w:pPr>
        <w:bidi w:val="0"/>
        <w:spacing w:line="360" w:lineRule="auto"/>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第四条 服务费用及支付方式</w:t>
      </w:r>
    </w:p>
    <w:p w14:paraId="047CC99A">
      <w:pPr>
        <w:keepNext w:val="0"/>
        <w:keepLines w:val="0"/>
        <w:pageBreakBefore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kern w:val="2"/>
          <w:sz w:val="24"/>
          <w:szCs w:val="24"/>
          <w:lang w:val="zh-CN" w:eastAsia="zh-CN" w:bidi="ar-SA"/>
        </w:rPr>
        <w:t>1、</w:t>
      </w:r>
      <w:r>
        <w:rPr>
          <w:rFonts w:hint="eastAsia" w:ascii="宋体" w:hAnsi="宋体" w:eastAsia="宋体" w:cs="宋体"/>
          <w:color w:val="auto"/>
          <w:sz w:val="24"/>
          <w:szCs w:val="24"/>
          <w:highlight w:val="none"/>
          <w:lang w:val="zh-CN" w:eastAsia="zh-CN"/>
        </w:rPr>
        <w:t>本合同为固定总价合同，合同金额人民币（大写）：</w:t>
      </w:r>
      <w:r>
        <w:rPr>
          <w:rFonts w:hint="eastAsia" w:ascii="宋体" w:hAnsi="宋体" w:eastAsia="宋体" w:cs="宋体"/>
          <w:color w:val="auto"/>
          <w:sz w:val="24"/>
          <w:szCs w:val="24"/>
          <w:highlight w:val="none"/>
          <w:u w:val="single"/>
          <w:lang w:val="zh-CN" w:eastAsia="zh-CN"/>
        </w:rPr>
        <w:t xml:space="preserve">             </w:t>
      </w:r>
      <w:r>
        <w:rPr>
          <w:rFonts w:hint="eastAsia" w:ascii="宋体" w:hAnsi="宋体" w:eastAsia="宋体" w:cs="宋体"/>
          <w:color w:val="auto"/>
          <w:sz w:val="24"/>
          <w:szCs w:val="24"/>
          <w:highlight w:val="none"/>
          <w:lang w:val="zh-CN" w:eastAsia="zh-CN"/>
        </w:rPr>
        <w:t xml:space="preserve">(小写¥ </w:t>
      </w:r>
      <w:r>
        <w:rPr>
          <w:rFonts w:hint="eastAsia" w:ascii="宋体" w:hAnsi="宋体" w:eastAsia="宋体" w:cs="宋体"/>
          <w:color w:val="auto"/>
          <w:sz w:val="24"/>
          <w:szCs w:val="24"/>
          <w:highlight w:val="none"/>
          <w:u w:val="single"/>
          <w:lang w:val="zh-CN" w:eastAsia="zh-CN"/>
        </w:rPr>
        <w:t xml:space="preserve">       </w:t>
      </w:r>
      <w:r>
        <w:rPr>
          <w:rFonts w:hint="eastAsia" w:ascii="宋体" w:hAnsi="宋体" w:eastAsia="宋体" w:cs="宋体"/>
          <w:color w:val="auto"/>
          <w:sz w:val="24"/>
          <w:szCs w:val="24"/>
          <w:highlight w:val="none"/>
          <w:lang w:val="zh-CN" w:eastAsia="zh-CN"/>
        </w:rPr>
        <w:t xml:space="preserve"> ) ；</w:t>
      </w:r>
    </w:p>
    <w:p w14:paraId="37010275">
      <w:pPr>
        <w:keepNext w:val="0"/>
        <w:keepLines w:val="0"/>
        <w:pageBreakBefore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kern w:val="2"/>
          <w:sz w:val="24"/>
          <w:szCs w:val="24"/>
          <w:lang w:val="zh-CN" w:eastAsia="zh-CN" w:bidi="ar-SA"/>
        </w:rPr>
        <w:t>2、</w:t>
      </w:r>
      <w:r>
        <w:rPr>
          <w:rFonts w:hint="eastAsia" w:ascii="宋体" w:hAnsi="宋体" w:eastAsia="宋体" w:cs="宋体"/>
          <w:color w:val="auto"/>
          <w:sz w:val="24"/>
          <w:szCs w:val="24"/>
          <w:highlight w:val="none"/>
        </w:rPr>
        <w:t>合同金额即中标价，合同价格为含税价，乙方提供服务所发生的一切费用（包括人工费、设备费、管理费、利润、税金、风险及完成工作准备阶段、实施阶段、完成本项目所需的全部费用）等都已包含于合同价款中</w:t>
      </w:r>
      <w:r>
        <w:rPr>
          <w:rFonts w:hint="eastAsia" w:ascii="宋体" w:hAnsi="宋体" w:eastAsia="宋体" w:cs="宋体"/>
          <w:color w:val="auto"/>
          <w:sz w:val="24"/>
          <w:szCs w:val="24"/>
          <w:highlight w:val="none"/>
          <w:lang w:eastAsia="zh-CN"/>
        </w:rPr>
        <w:t>；</w:t>
      </w:r>
    </w:p>
    <w:p w14:paraId="56CB2647">
      <w:pPr>
        <w:keepNext w:val="0"/>
        <w:keepLines w:val="0"/>
        <w:pageBreakBefore w:val="0"/>
        <w:numPr>
          <w:ilvl w:val="0"/>
          <w:numId w:val="0"/>
        </w:numPr>
        <w:kinsoku/>
        <w:wordWrap/>
        <w:overflowPunct/>
        <w:topLinePunct w:val="0"/>
        <w:autoSpaceDE/>
        <w:autoSpaceDN/>
        <w:bidi w:val="0"/>
        <w:adjustRightInd/>
        <w:spacing w:line="360" w:lineRule="auto"/>
        <w:ind w:firstLine="720" w:firstLineChars="3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bCs/>
          <w:color w:val="auto"/>
          <w:sz w:val="24"/>
          <w:szCs w:val="24"/>
          <w:highlight w:val="none"/>
        </w:rPr>
        <w:t>支付方式：分期付款</w:t>
      </w:r>
      <w:r>
        <w:rPr>
          <w:rFonts w:hint="eastAsia" w:ascii="宋体" w:hAnsi="宋体" w:eastAsia="宋体" w:cs="宋体"/>
          <w:bCs/>
          <w:color w:val="auto"/>
          <w:sz w:val="24"/>
          <w:szCs w:val="24"/>
          <w:highlight w:val="none"/>
          <w:lang w:eastAsia="zh-CN"/>
        </w:rPr>
        <w:t>；</w:t>
      </w:r>
    </w:p>
    <w:p w14:paraId="662D94A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val="zh-CN" w:eastAsia="zh-CN"/>
        </w:rPr>
        <w:t>、服务费按下列比例支付价款：</w:t>
      </w:r>
    </w:p>
    <w:p w14:paraId="69EAAFEB">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第1个季度（自合同签订之日起第1个月至第3个月），根据实际情况，据实核算，乙方提供已完成项目数量清单及全额发票，甲方支付约定金额至乙方账户，累计支付金额不得超出预算，达到付款条件起 7 日内，支付合同总金额的 25.00%。</w:t>
      </w:r>
    </w:p>
    <w:p w14:paraId="7F2518AC">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第2个季度（自合同签订之日起第4个月至第6个月），根据实际情况，据实核算，乙方提供已完成项目数量清单及全额发票，甲方支付约定金额至乙方账户，累计支付金额不得超出预算，达到付款条件起 7 日内，支付合同总金额的 25.00%。</w:t>
      </w:r>
    </w:p>
    <w:p w14:paraId="6A6D5FFF">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第3个季度（自合同签订之日起第7个月至第9个月），根据实际情况，据实核算，乙方提供已完成项目数量清单及全额发票，甲方支付约定金额至乙方账户，累计支付金额不得超出预算，达到付款条件起 7 日内，支付合同总金额的 25.00%。</w:t>
      </w:r>
    </w:p>
    <w:p w14:paraId="0512A4DC">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第4个季度（自合同签订之日起第10个月至第12个月），根据实际情况，据实核算，乙方提供已完成项目数量清单及全额发票，甲方支付约定金额至乙方账户，累计支付金额不得超出预算，达到付款条件起 7 日内，支付合同总金额的 25.00%。</w:t>
      </w:r>
    </w:p>
    <w:p w14:paraId="1A452609">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zh-CN" w:eastAsia="zh-CN"/>
        </w:rPr>
        <w:t>、结算方式：银行转账。</w:t>
      </w:r>
      <w:r>
        <w:rPr>
          <w:rFonts w:hint="eastAsia" w:ascii="宋体" w:hAnsi="宋体" w:eastAsia="宋体" w:cs="宋体"/>
          <w:color w:val="auto"/>
          <w:sz w:val="24"/>
          <w:szCs w:val="24"/>
          <w:highlight w:val="none"/>
          <w:lang w:val="en-US" w:eastAsia="zh-CN"/>
        </w:rPr>
        <w:t>超出预算总价的，乙方无权要求甲方予以支付，甲方有权不予支付。</w:t>
      </w:r>
    </w:p>
    <w:p w14:paraId="0A53EC38">
      <w:pPr>
        <w:bidi w:val="0"/>
        <w:spacing w:line="360" w:lineRule="auto"/>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第五条 知识产权</w:t>
      </w:r>
    </w:p>
    <w:p w14:paraId="28B70B22">
      <w:pPr>
        <w:keepNext w:val="0"/>
        <w:keepLines w:val="0"/>
        <w:pageBreakBefore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应保证所提供的服务以及所涉及的设施、设备或其任何一部分均不会侵犯任何第三方的专利权、商标权或著作权。如果存在任何形式的侵犯第三方合法权利的，相关责任就由乙方自行承担，甲方因此遭受任何损失的，有权要求乙方予以赔偿。</w:t>
      </w:r>
    </w:p>
    <w:p w14:paraId="44B3C2BD">
      <w:pPr>
        <w:bidi w:val="0"/>
        <w:spacing w:line="360" w:lineRule="auto"/>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第六条 无产权瑕疵条款</w:t>
      </w:r>
    </w:p>
    <w:p w14:paraId="32352CA8">
      <w:pPr>
        <w:bidi w:val="0"/>
        <w:spacing w:line="360" w:lineRule="auto"/>
        <w:ind w:firstLine="480" w:firstLineChars="200"/>
        <w:rPr>
          <w:rFonts w:hint="eastAsia" w:ascii="宋体" w:hAnsi="宋体" w:eastAsia="宋体" w:cs="宋体"/>
          <w:sz w:val="24"/>
          <w:szCs w:val="32"/>
          <w:lang w:val="en-US" w:eastAsia="zh-Hans"/>
        </w:rPr>
      </w:pPr>
      <w:r>
        <w:rPr>
          <w:rFonts w:hint="eastAsia" w:ascii="宋体" w:hAnsi="宋体" w:eastAsia="宋体" w:cs="宋体"/>
          <w:sz w:val="24"/>
          <w:szCs w:val="32"/>
          <w:lang w:val="en-US" w:eastAsia="zh-Hans"/>
        </w:rPr>
        <w:t>乙方保证所提供的服务的所有权完全属于乙方且无任何抵押、查封等产权瑕疵。如有产权瑕疵的，视为乙方违约。乙方应负担由此而产生的一切损失。</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A440D96">
      <w:pPr>
        <w:bidi w:val="0"/>
        <w:spacing w:line="360" w:lineRule="auto"/>
        <w:ind w:left="0" w:leftChars="0" w:firstLine="0" w:firstLineChars="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第七条</w:t>
      </w:r>
      <w:r>
        <w:rPr>
          <w:rFonts w:hint="eastAsia" w:ascii="宋体" w:hAnsi="宋体" w:eastAsia="宋体" w:cs="宋体"/>
          <w:b/>
          <w:bCs/>
          <w:sz w:val="24"/>
          <w:szCs w:val="24"/>
        </w:rPr>
        <w:t xml:space="preserve"> 甲方的权利和义务</w:t>
      </w:r>
    </w:p>
    <w:p w14:paraId="4C18754C">
      <w:pPr>
        <w:bidi w:val="0"/>
        <w:spacing w:line="360" w:lineRule="auto"/>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5734F99">
      <w:pPr>
        <w:bidi w:val="0"/>
        <w:spacing w:line="360" w:lineRule="auto"/>
        <w:rPr>
          <w:rFonts w:hint="eastAsia" w:ascii="宋体" w:hAnsi="宋体" w:eastAsia="宋体" w:cs="宋体"/>
          <w:sz w:val="24"/>
          <w:szCs w:val="24"/>
        </w:rPr>
      </w:pPr>
      <w:r>
        <w:rPr>
          <w:rFonts w:hint="eastAsia" w:ascii="宋体" w:hAnsi="宋体" w:eastAsia="宋体" w:cs="宋体"/>
          <w:sz w:val="24"/>
          <w:szCs w:val="24"/>
        </w:rPr>
        <w:t>2、甲方根据考评办法对乙方提供的服务进行定期考评。当考评结果未达到标准时，有权依据考评办法约定的数额扣除履约保证金</w:t>
      </w:r>
      <w:r>
        <w:rPr>
          <w:rFonts w:hint="eastAsia" w:ascii="宋体" w:hAnsi="宋体" w:eastAsia="宋体" w:cs="宋体"/>
          <w:sz w:val="24"/>
          <w:szCs w:val="24"/>
          <w:lang w:val="en-US" w:eastAsia="zh-CN"/>
        </w:rPr>
        <w:t>以及服务费</w:t>
      </w:r>
      <w:r>
        <w:rPr>
          <w:rFonts w:hint="eastAsia" w:ascii="宋体" w:hAnsi="宋体" w:eastAsia="宋体" w:cs="宋体"/>
          <w:sz w:val="24"/>
          <w:szCs w:val="24"/>
        </w:rPr>
        <w:t>。</w:t>
      </w:r>
    </w:p>
    <w:p w14:paraId="324A7F8A">
      <w:pPr>
        <w:bidi w:val="0"/>
        <w:spacing w:line="360" w:lineRule="auto"/>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5356C2FE">
      <w:pPr>
        <w:bidi w:val="0"/>
        <w:spacing w:line="360" w:lineRule="auto"/>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2A5709D4">
      <w:pPr>
        <w:bidi w:val="0"/>
        <w:spacing w:line="360" w:lineRule="auto"/>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4843FBD1">
      <w:pPr>
        <w:bidi w:val="0"/>
        <w:spacing w:line="360" w:lineRule="auto"/>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八</w:t>
      </w:r>
      <w:r>
        <w:rPr>
          <w:rFonts w:hint="eastAsia" w:ascii="宋体" w:hAnsi="宋体" w:eastAsia="宋体" w:cs="宋体"/>
          <w:b/>
          <w:bCs/>
          <w:sz w:val="24"/>
          <w:szCs w:val="24"/>
        </w:rPr>
        <w:t>条 乙方的权利和义务</w:t>
      </w:r>
    </w:p>
    <w:p w14:paraId="64B08652">
      <w:pPr>
        <w:bidi w:val="0"/>
        <w:spacing w:line="360" w:lineRule="auto"/>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5225EFE2">
      <w:pPr>
        <w:bidi w:val="0"/>
        <w:spacing w:line="360" w:lineRule="auto"/>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12D4D370">
      <w:pPr>
        <w:bidi w:val="0"/>
        <w:spacing w:line="360" w:lineRule="auto"/>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15780FC9">
      <w:pPr>
        <w:bidi w:val="0"/>
        <w:spacing w:line="360" w:lineRule="auto"/>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54C25666">
      <w:pPr>
        <w:bidi w:val="0"/>
        <w:spacing w:line="360" w:lineRule="auto"/>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26D9E8F7">
      <w:pPr>
        <w:bidi w:val="0"/>
        <w:spacing w:line="360" w:lineRule="auto"/>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eastAsia="宋体" w:cs="宋体"/>
          <w:b/>
          <w:bCs/>
          <w:sz w:val="24"/>
          <w:szCs w:val="24"/>
          <w:lang w:eastAsia="zh-CN"/>
        </w:rPr>
        <w:t>九</w:t>
      </w:r>
      <w:r>
        <w:rPr>
          <w:rFonts w:hint="eastAsia" w:ascii="宋体" w:hAnsi="宋体" w:eastAsia="宋体" w:cs="宋体"/>
          <w:b/>
          <w:bCs/>
          <w:sz w:val="24"/>
          <w:szCs w:val="24"/>
        </w:rPr>
        <w:t>条 违约责任</w:t>
      </w:r>
    </w:p>
    <w:p w14:paraId="388078D0">
      <w:pPr>
        <w:bidi w:val="0"/>
        <w:spacing w:line="360" w:lineRule="auto"/>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4B6C6A2F">
      <w:pPr>
        <w:bidi w:val="0"/>
        <w:spacing w:line="360" w:lineRule="auto"/>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461054C">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如果因乙方的服务造成服务对象任何人身损害或者财产损失的，均由乙方承担全部责任。如果甲方因此遭受任何损失（包括但不限于实际损失以及实现权利而支出的律师费、保全保险费等）的，均有权向乙方追偿。</w:t>
      </w:r>
    </w:p>
    <w:p w14:paraId="60AA33F7">
      <w:pPr>
        <w:bidi w:val="0"/>
        <w:spacing w:line="360" w:lineRule="auto"/>
        <w:ind w:left="0" w:leftChars="0" w:firstLine="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第十条 不可抗力事件处理</w:t>
      </w:r>
    </w:p>
    <w:p w14:paraId="327DE6AD">
      <w:pPr>
        <w:bidi w:val="0"/>
        <w:spacing w:line="360" w:lineRule="auto"/>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17FAEF0D">
      <w:pPr>
        <w:bidi w:val="0"/>
        <w:spacing w:line="360" w:lineRule="auto"/>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022FB40A">
      <w:pPr>
        <w:bidi w:val="0"/>
        <w:spacing w:line="360" w:lineRule="auto"/>
        <w:rPr>
          <w:rFonts w:hint="eastAsia" w:ascii="宋体" w:hAnsi="宋体" w:eastAsia="宋体" w:cs="宋体"/>
          <w:sz w:val="24"/>
          <w:szCs w:val="24"/>
        </w:rPr>
      </w:pPr>
      <w:r>
        <w:rPr>
          <w:rFonts w:hint="eastAsia" w:ascii="宋体" w:hAnsi="宋体" w:eastAsia="宋体" w:cs="宋体"/>
          <w:sz w:val="24"/>
          <w:szCs w:val="24"/>
        </w:rPr>
        <w:t>3、不可抗力事件延续</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 xml:space="preserve">   </w:t>
      </w:r>
      <w:r>
        <w:rPr>
          <w:rFonts w:hint="eastAsia" w:ascii="宋体" w:hAnsi="宋体" w:eastAsia="宋体" w:cs="宋体"/>
          <w:sz w:val="24"/>
          <w:szCs w:val="24"/>
        </w:rPr>
        <w:t>天以上，双方应通过友好协商，确定是否继续履行合同</w:t>
      </w:r>
      <w:bookmarkStart w:id="18" w:name="_Toc251768867"/>
      <w:bookmarkStart w:id="19" w:name="_Toc232492933"/>
      <w:bookmarkStart w:id="20" w:name="_Toc247334846"/>
      <w:bookmarkStart w:id="21" w:name="_Toc211911353"/>
      <w:bookmarkStart w:id="22" w:name="_Toc225654649"/>
      <w:bookmarkStart w:id="23" w:name="_Toc212019599"/>
      <w:bookmarkStart w:id="24" w:name="_Toc286993792"/>
      <w:bookmarkStart w:id="25" w:name="_Toc239233919"/>
      <w:bookmarkStart w:id="26" w:name="_Toc185395254"/>
      <w:bookmarkStart w:id="27" w:name="_Toc238984980"/>
      <w:bookmarkStart w:id="28" w:name="_Toc211854454"/>
      <w:bookmarkStart w:id="29" w:name="_Toc225670756"/>
      <w:bookmarkStart w:id="30" w:name="_Toc239568423"/>
      <w:bookmarkStart w:id="31" w:name="_Toc241833908"/>
      <w:bookmarkStart w:id="32" w:name="_Toc237145411"/>
      <w:bookmarkStart w:id="33" w:name="_Toc225244857"/>
      <w:r>
        <w:rPr>
          <w:rFonts w:hint="eastAsia" w:ascii="宋体" w:hAnsi="宋体" w:eastAsia="宋体" w:cs="宋体"/>
          <w:sz w:val="24"/>
          <w:szCs w:val="24"/>
        </w:rPr>
        <w:t xml:space="preserve">。 </w:t>
      </w:r>
    </w:p>
    <w:p w14:paraId="507ABE22">
      <w:pPr>
        <w:bidi w:val="0"/>
        <w:spacing w:line="360" w:lineRule="auto"/>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一</w:t>
      </w:r>
      <w:r>
        <w:rPr>
          <w:rFonts w:hint="eastAsia" w:ascii="宋体" w:hAnsi="宋体" w:eastAsia="宋体" w:cs="宋体"/>
          <w:b/>
          <w:bCs/>
          <w:sz w:val="24"/>
          <w:szCs w:val="24"/>
        </w:rPr>
        <w:t>条 合同的变更和终止</w:t>
      </w:r>
    </w:p>
    <w:p w14:paraId="19A3126D">
      <w:pPr>
        <w:bidi w:val="0"/>
        <w:spacing w:line="360" w:lineRule="auto"/>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13C9BAFC">
      <w:pPr>
        <w:bidi w:val="0"/>
        <w:spacing w:line="360" w:lineRule="auto"/>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二</w:t>
      </w:r>
      <w:r>
        <w:rPr>
          <w:rFonts w:hint="eastAsia" w:ascii="宋体" w:hAnsi="宋体" w:eastAsia="宋体" w:cs="宋体"/>
          <w:b/>
          <w:bCs/>
          <w:sz w:val="24"/>
          <w:szCs w:val="24"/>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34D41F6">
      <w:pPr>
        <w:bidi w:val="0"/>
        <w:spacing w:line="360" w:lineRule="auto"/>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w:t>
      </w:r>
      <w:r>
        <w:rPr>
          <w:rFonts w:hint="eastAsia" w:ascii="宋体" w:hAnsi="宋体" w:eastAsia="宋体" w:cs="宋体"/>
          <w:sz w:val="24"/>
          <w:szCs w:val="24"/>
          <w:lang w:val="en-US" w:eastAsia="zh-CN"/>
        </w:rPr>
        <w:t>15</w:t>
      </w:r>
      <w:r>
        <w:rPr>
          <w:rFonts w:hint="eastAsia" w:ascii="宋体" w:hAnsi="宋体" w:eastAsia="宋体" w:cs="宋体"/>
          <w:sz w:val="24"/>
          <w:szCs w:val="24"/>
        </w:rPr>
        <w:t>天内不能达成协议时，则采取以下第2种方式解决争议：</w:t>
      </w:r>
    </w:p>
    <w:p w14:paraId="4E24D0D7">
      <w:pPr>
        <w:bidi w:val="0"/>
        <w:spacing w:line="360" w:lineRule="auto"/>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6A16B383">
      <w:pPr>
        <w:bidi w:val="0"/>
        <w:spacing w:line="360" w:lineRule="auto"/>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0F42A471">
      <w:pPr>
        <w:bidi w:val="0"/>
        <w:spacing w:line="360" w:lineRule="auto"/>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596BD5E3">
      <w:pPr>
        <w:bidi w:val="0"/>
        <w:spacing w:line="360" w:lineRule="auto"/>
        <w:ind w:left="0" w:leftChars="0" w:firstLine="0" w:firstLineChars="0"/>
        <w:rPr>
          <w:rFonts w:hint="eastAsia" w:ascii="宋体" w:hAnsi="宋体" w:eastAsia="宋体" w:cs="宋体"/>
          <w:b/>
          <w:bCs/>
          <w:sz w:val="24"/>
          <w:szCs w:val="24"/>
        </w:rPr>
      </w:pPr>
      <w:bookmarkStart w:id="34" w:name="_Toc237145412"/>
      <w:bookmarkStart w:id="35" w:name="_Toc239233920"/>
      <w:bookmarkStart w:id="36" w:name="_Toc211911354"/>
      <w:bookmarkStart w:id="37" w:name="_Toc286993793"/>
      <w:bookmarkStart w:id="38" w:name="_Toc247334847"/>
      <w:bookmarkStart w:id="39" w:name="_Toc225654650"/>
      <w:bookmarkStart w:id="40" w:name="_Toc241833909"/>
      <w:bookmarkStart w:id="41" w:name="_Toc225244858"/>
      <w:bookmarkStart w:id="42" w:name="_Toc239568424"/>
      <w:bookmarkStart w:id="43" w:name="_Toc282696231"/>
      <w:bookmarkStart w:id="44" w:name="_Toc232492934"/>
      <w:bookmarkStart w:id="45" w:name="_Toc212019600"/>
      <w:bookmarkStart w:id="46" w:name="_Toc283019219"/>
      <w:bookmarkStart w:id="47" w:name="_Toc225670757"/>
      <w:bookmarkStart w:id="48" w:name="_Toc185395255"/>
      <w:bookmarkStart w:id="49" w:name="_Toc238984981"/>
      <w:bookmarkStart w:id="50" w:name="_Toc211854455"/>
      <w:bookmarkStart w:id="51" w:name="_Toc251768868"/>
      <w:r>
        <w:rPr>
          <w:rFonts w:hint="eastAsia" w:ascii="宋体" w:hAnsi="宋体" w:eastAsia="宋体" w:cs="宋体"/>
          <w:b/>
          <w:bCs/>
          <w:sz w:val="24"/>
          <w:szCs w:val="24"/>
        </w:rPr>
        <w:t>第十</w:t>
      </w:r>
      <w:r>
        <w:rPr>
          <w:rFonts w:hint="eastAsia" w:ascii="宋体" w:hAnsi="宋体" w:eastAsia="宋体" w:cs="宋体"/>
          <w:b/>
          <w:bCs/>
          <w:sz w:val="24"/>
          <w:szCs w:val="24"/>
          <w:lang w:eastAsia="zh-CN"/>
        </w:rPr>
        <w:t>三</w:t>
      </w:r>
      <w:r>
        <w:rPr>
          <w:rFonts w:hint="eastAsia" w:ascii="宋体" w:hAnsi="宋体" w:eastAsia="宋体" w:cs="宋体"/>
          <w:b/>
          <w:bCs/>
          <w:sz w:val="24"/>
          <w:szCs w:val="24"/>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bCs/>
          <w:sz w:val="24"/>
          <w:szCs w:val="24"/>
        </w:rPr>
        <w:t>生效及其他</w:t>
      </w:r>
    </w:p>
    <w:p w14:paraId="7785FB03">
      <w:pPr>
        <w:bidi w:val="0"/>
        <w:spacing w:line="360" w:lineRule="auto"/>
        <w:rPr>
          <w:rFonts w:hint="eastAsia" w:ascii="宋体" w:hAnsi="宋体" w:eastAsia="宋体" w:cs="宋体"/>
          <w:sz w:val="24"/>
          <w:szCs w:val="24"/>
        </w:rPr>
      </w:pPr>
      <w:r>
        <w:rPr>
          <w:rFonts w:hint="eastAsia" w:ascii="宋体" w:hAnsi="宋体" w:eastAsia="宋体" w:cs="宋体"/>
          <w:sz w:val="24"/>
          <w:szCs w:val="24"/>
        </w:rPr>
        <w:t>1、合同经双方法定代表人或授权委托代理人签字并加盖单位公章后生效。</w:t>
      </w:r>
    </w:p>
    <w:p w14:paraId="71B5BFD1">
      <w:pPr>
        <w:bidi w:val="0"/>
        <w:spacing w:line="360" w:lineRule="auto"/>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25DABC5D">
      <w:pPr>
        <w:bidi w:val="0"/>
        <w:spacing w:line="360" w:lineRule="auto"/>
        <w:rPr>
          <w:rFonts w:hint="eastAsia" w:ascii="宋体" w:hAnsi="宋体" w:eastAsia="宋体" w:cs="宋体"/>
          <w:sz w:val="24"/>
          <w:szCs w:val="24"/>
        </w:rPr>
      </w:pPr>
      <w:r>
        <w:rPr>
          <w:rFonts w:hint="eastAsia" w:ascii="宋体" w:hAnsi="宋体" w:eastAsia="宋体" w:cs="宋体"/>
          <w:sz w:val="24"/>
          <w:szCs w:val="24"/>
        </w:rPr>
        <w:t>3、本合同</w:t>
      </w:r>
      <w:r>
        <w:rPr>
          <w:rFonts w:hint="eastAsia" w:ascii="宋体" w:hAnsi="宋体" w:eastAsia="宋体" w:cs="宋体"/>
          <w:sz w:val="24"/>
          <w:szCs w:val="24"/>
          <w:lang w:eastAsia="zh-CN"/>
        </w:rPr>
        <w:t>壹</w:t>
      </w:r>
      <w:r>
        <w:rPr>
          <w:rFonts w:hint="eastAsia" w:ascii="宋体" w:hAnsi="宋体" w:eastAsia="宋体" w:cs="宋体"/>
          <w:sz w:val="24"/>
          <w:szCs w:val="24"/>
        </w:rPr>
        <w:t>式陆份，甲方贰份，乙方贰份，政府采购代理机构壹份，同级财政部门备案壹份，具有同等法律效力。</w:t>
      </w:r>
    </w:p>
    <w:p w14:paraId="19EC9B27">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4、本合同所附附件为本合同不可分割的组成部分，与本合同具有同等法律效力。</w:t>
      </w:r>
    </w:p>
    <w:p w14:paraId="33496BF0">
      <w:pPr>
        <w:bidi w:val="0"/>
        <w:spacing w:line="360" w:lineRule="auto"/>
        <w:ind w:left="0" w:leftChars="0" w:firstLine="0" w:firstLineChars="0"/>
        <w:rPr>
          <w:rFonts w:hint="eastAsia" w:ascii="宋体" w:hAnsi="宋体" w:eastAsia="宋体" w:cs="宋体"/>
          <w:b/>
          <w:bCs/>
          <w:sz w:val="24"/>
          <w:szCs w:val="24"/>
        </w:rPr>
      </w:pPr>
      <w:r>
        <w:rPr>
          <w:rFonts w:hint="eastAsia" w:ascii="宋体" w:hAnsi="宋体" w:eastAsia="宋体" w:cs="宋体"/>
          <w:b/>
          <w:bCs/>
          <w:sz w:val="24"/>
          <w:szCs w:val="24"/>
        </w:rPr>
        <w:t>第十</w:t>
      </w:r>
      <w:r>
        <w:rPr>
          <w:rFonts w:hint="eastAsia" w:ascii="宋体" w:hAnsi="宋体" w:eastAsia="宋体" w:cs="宋体"/>
          <w:b/>
          <w:bCs/>
          <w:sz w:val="24"/>
          <w:szCs w:val="24"/>
          <w:lang w:eastAsia="zh-CN"/>
        </w:rPr>
        <w:t>四</w:t>
      </w:r>
      <w:r>
        <w:rPr>
          <w:rFonts w:hint="eastAsia" w:ascii="宋体" w:hAnsi="宋体" w:eastAsia="宋体" w:cs="宋体"/>
          <w:b/>
          <w:bCs/>
          <w:sz w:val="24"/>
          <w:szCs w:val="24"/>
        </w:rPr>
        <w:t>条 附件</w:t>
      </w:r>
    </w:p>
    <w:p w14:paraId="081F34CC">
      <w:pPr>
        <w:bidi w:val="0"/>
        <w:spacing w:line="360" w:lineRule="auto"/>
        <w:rPr>
          <w:rFonts w:hint="eastAsia" w:ascii="宋体" w:hAnsi="宋体" w:eastAsia="宋体" w:cs="宋体"/>
          <w:sz w:val="24"/>
          <w:szCs w:val="24"/>
        </w:rPr>
      </w:pPr>
      <w:r>
        <w:rPr>
          <w:rFonts w:hint="eastAsia" w:ascii="宋体" w:hAnsi="宋体" w:eastAsia="宋体" w:cs="宋体"/>
          <w:sz w:val="24"/>
          <w:szCs w:val="24"/>
        </w:rPr>
        <w:t>1、项目</w:t>
      </w:r>
      <w:r>
        <w:rPr>
          <w:rFonts w:hint="eastAsia" w:ascii="宋体" w:hAnsi="宋体" w:eastAsia="宋体" w:cs="宋体"/>
          <w:sz w:val="24"/>
          <w:szCs w:val="24"/>
          <w:lang w:val="en-US" w:eastAsia="zh-CN"/>
        </w:rPr>
        <w:t>竞争性磋商</w:t>
      </w:r>
      <w:r>
        <w:rPr>
          <w:rFonts w:hint="eastAsia" w:ascii="宋体" w:hAnsi="宋体" w:eastAsia="宋体" w:cs="宋体"/>
          <w:sz w:val="24"/>
          <w:szCs w:val="24"/>
        </w:rPr>
        <w:t>文件</w:t>
      </w:r>
    </w:p>
    <w:p w14:paraId="2C7A2921">
      <w:pPr>
        <w:bidi w:val="0"/>
        <w:spacing w:line="360" w:lineRule="auto"/>
        <w:rPr>
          <w:rFonts w:hint="eastAsia" w:ascii="宋体" w:hAnsi="宋体" w:eastAsia="宋体" w:cs="宋体"/>
          <w:sz w:val="24"/>
          <w:szCs w:val="24"/>
        </w:rPr>
      </w:pPr>
      <w:r>
        <w:rPr>
          <w:rFonts w:hint="eastAsia" w:ascii="宋体" w:hAnsi="宋体" w:eastAsia="宋体" w:cs="宋体"/>
          <w:sz w:val="24"/>
          <w:szCs w:val="24"/>
        </w:rPr>
        <w:t>2、项目修改澄清文件</w:t>
      </w:r>
    </w:p>
    <w:p w14:paraId="78CC0610">
      <w:pPr>
        <w:bidi w:val="0"/>
        <w:spacing w:line="360" w:lineRule="auto"/>
        <w:rPr>
          <w:rFonts w:hint="eastAsia" w:ascii="宋体" w:hAnsi="宋体" w:eastAsia="宋体" w:cs="宋体"/>
          <w:sz w:val="24"/>
          <w:szCs w:val="24"/>
        </w:rPr>
      </w:pPr>
      <w:r>
        <w:rPr>
          <w:rFonts w:hint="eastAsia" w:ascii="宋体" w:hAnsi="宋体" w:eastAsia="宋体" w:cs="宋体"/>
          <w:sz w:val="24"/>
          <w:szCs w:val="24"/>
        </w:rPr>
        <w:t>3、项目</w:t>
      </w:r>
      <w:r>
        <w:rPr>
          <w:rFonts w:hint="eastAsia" w:ascii="宋体" w:hAnsi="宋体" w:eastAsia="宋体" w:cs="宋体"/>
          <w:sz w:val="24"/>
          <w:szCs w:val="24"/>
          <w:lang w:val="en-US" w:eastAsia="zh-CN"/>
        </w:rPr>
        <w:t>响应</w:t>
      </w:r>
      <w:r>
        <w:rPr>
          <w:rFonts w:hint="eastAsia" w:ascii="宋体" w:hAnsi="宋体" w:eastAsia="宋体" w:cs="宋体"/>
          <w:sz w:val="24"/>
          <w:szCs w:val="24"/>
        </w:rPr>
        <w:t>文件</w:t>
      </w:r>
    </w:p>
    <w:p w14:paraId="6AEA937A">
      <w:pPr>
        <w:bidi w:val="0"/>
        <w:spacing w:line="360" w:lineRule="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w:t>
      </w:r>
    </w:p>
    <w:p w14:paraId="563B2E34">
      <w:pPr>
        <w:bidi w:val="0"/>
        <w:spacing w:line="360" w:lineRule="auto"/>
        <w:rPr>
          <w:rFonts w:hint="eastAsia" w:ascii="宋体" w:hAnsi="宋体" w:eastAsia="宋体" w:cs="宋体"/>
          <w:sz w:val="24"/>
          <w:szCs w:val="24"/>
        </w:rPr>
      </w:pPr>
      <w:r>
        <w:rPr>
          <w:rFonts w:hint="eastAsia" w:ascii="宋体" w:hAnsi="宋体" w:eastAsia="宋体" w:cs="宋体"/>
          <w:sz w:val="24"/>
          <w:szCs w:val="24"/>
        </w:rPr>
        <w:t>5、其他</w:t>
      </w:r>
    </w:p>
    <w:p w14:paraId="2881AE77">
      <w:pPr>
        <w:bidi w:val="0"/>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以下无正文</w:t>
      </w:r>
      <w:r>
        <w:rPr>
          <w:rFonts w:hint="eastAsia" w:ascii="宋体" w:hAnsi="宋体" w:eastAsia="宋体" w:cs="宋体"/>
          <w:sz w:val="24"/>
          <w:szCs w:val="24"/>
          <w:lang w:eastAsia="zh-CN"/>
        </w:rPr>
        <w:t>】</w:t>
      </w:r>
    </w:p>
    <w:p w14:paraId="30F13EB4">
      <w:pPr>
        <w:bidi w:val="0"/>
        <w:spacing w:line="360" w:lineRule="auto"/>
        <w:rPr>
          <w:rFonts w:hint="eastAsia" w:ascii="宋体" w:hAnsi="宋体" w:eastAsia="宋体" w:cs="宋体"/>
          <w:sz w:val="24"/>
          <w:szCs w:val="24"/>
          <w:lang w:eastAsia="zh-CN"/>
        </w:rPr>
      </w:pPr>
    </w:p>
    <w:p w14:paraId="1859EB5B">
      <w:pPr>
        <w:bidi w:val="0"/>
        <w:spacing w:line="360" w:lineRule="auto"/>
        <w:rPr>
          <w:rFonts w:hint="eastAsia" w:ascii="宋体" w:hAnsi="宋体" w:eastAsia="宋体" w:cs="宋体"/>
          <w:sz w:val="24"/>
          <w:szCs w:val="24"/>
          <w:lang w:eastAsia="zh-CN"/>
        </w:rPr>
      </w:pPr>
    </w:p>
    <w:p w14:paraId="4A3E2880">
      <w:pPr>
        <w:bidi w:val="0"/>
        <w:spacing w:line="360" w:lineRule="auto"/>
        <w:rPr>
          <w:rFonts w:hint="eastAsia" w:ascii="宋体" w:hAnsi="宋体" w:eastAsia="宋体" w:cs="宋体"/>
          <w:sz w:val="24"/>
          <w:szCs w:val="24"/>
          <w:lang w:eastAsia="zh-CN"/>
        </w:rPr>
      </w:pPr>
    </w:p>
    <w:p w14:paraId="2F736F4A">
      <w:pPr>
        <w:bidi w:val="0"/>
        <w:spacing w:line="360" w:lineRule="auto"/>
        <w:rPr>
          <w:rFonts w:hint="eastAsia" w:ascii="宋体" w:hAnsi="宋体" w:eastAsia="宋体" w:cs="宋体"/>
          <w:sz w:val="24"/>
          <w:szCs w:val="24"/>
          <w:lang w:eastAsia="zh-CN"/>
        </w:rPr>
      </w:pPr>
    </w:p>
    <w:p w14:paraId="0303D8A4">
      <w:pPr>
        <w:bidi w:val="0"/>
        <w:spacing w:line="360" w:lineRule="auto"/>
        <w:rPr>
          <w:rFonts w:hint="eastAsia" w:ascii="宋体" w:hAnsi="宋体" w:eastAsia="宋体" w:cs="宋体"/>
          <w:sz w:val="24"/>
          <w:szCs w:val="24"/>
          <w:lang w:eastAsia="zh-CN"/>
        </w:rPr>
      </w:pPr>
    </w:p>
    <w:p w14:paraId="210E9E91">
      <w:pPr>
        <w:bidi w:val="0"/>
        <w:spacing w:line="360" w:lineRule="auto"/>
        <w:rPr>
          <w:rFonts w:hint="eastAsia" w:ascii="宋体" w:hAnsi="宋体" w:eastAsia="宋体" w:cs="宋体"/>
          <w:sz w:val="24"/>
          <w:szCs w:val="24"/>
          <w:lang w:eastAsia="zh-CN"/>
        </w:rPr>
      </w:pPr>
    </w:p>
    <w:p w14:paraId="2A1CEF50">
      <w:pPr>
        <w:bidi w:val="0"/>
        <w:spacing w:line="360" w:lineRule="auto"/>
        <w:rPr>
          <w:rFonts w:hint="eastAsia" w:ascii="宋体" w:hAnsi="宋体" w:eastAsia="宋体" w:cs="宋体"/>
          <w:sz w:val="24"/>
          <w:szCs w:val="24"/>
          <w:lang w:eastAsia="zh-CN"/>
        </w:rPr>
      </w:pPr>
    </w:p>
    <w:p w14:paraId="3F7D19DA">
      <w:pPr>
        <w:bidi w:val="0"/>
        <w:spacing w:line="360" w:lineRule="auto"/>
        <w:rPr>
          <w:rFonts w:hint="eastAsia" w:ascii="宋体" w:hAnsi="宋体" w:eastAsia="宋体" w:cs="宋体"/>
          <w:sz w:val="24"/>
          <w:szCs w:val="24"/>
          <w:lang w:eastAsia="zh-CN"/>
        </w:rPr>
      </w:pPr>
    </w:p>
    <w:p w14:paraId="6AFEBAAC">
      <w:pPr>
        <w:bidi w:val="0"/>
        <w:spacing w:line="360" w:lineRule="auto"/>
        <w:rPr>
          <w:rFonts w:hint="eastAsia" w:ascii="宋体" w:hAnsi="宋体" w:eastAsia="宋体" w:cs="宋体"/>
          <w:sz w:val="24"/>
          <w:szCs w:val="24"/>
          <w:lang w:eastAsia="zh-CN"/>
        </w:rPr>
      </w:pPr>
    </w:p>
    <w:p w14:paraId="4DD12DB4">
      <w:pPr>
        <w:bidi w:val="0"/>
        <w:spacing w:line="360" w:lineRule="auto"/>
        <w:rPr>
          <w:rFonts w:hint="eastAsia" w:ascii="宋体" w:hAnsi="宋体" w:eastAsia="宋体" w:cs="宋体"/>
          <w:sz w:val="24"/>
          <w:szCs w:val="24"/>
          <w:lang w:eastAsia="zh-CN"/>
        </w:rPr>
      </w:pPr>
    </w:p>
    <w:p w14:paraId="081E62A7">
      <w:pPr>
        <w:bidi w:val="0"/>
        <w:spacing w:line="360" w:lineRule="auto"/>
        <w:rPr>
          <w:rFonts w:hint="eastAsia" w:ascii="宋体" w:hAnsi="宋体" w:eastAsia="宋体" w:cs="宋体"/>
          <w:sz w:val="24"/>
          <w:szCs w:val="24"/>
          <w:lang w:eastAsia="zh-CN"/>
        </w:rPr>
      </w:pPr>
    </w:p>
    <w:p w14:paraId="6698EB0E">
      <w:pPr>
        <w:bidi w:val="0"/>
        <w:spacing w:line="360" w:lineRule="auto"/>
        <w:rPr>
          <w:rFonts w:hint="eastAsia" w:ascii="宋体" w:hAnsi="宋体" w:eastAsia="宋体" w:cs="宋体"/>
          <w:sz w:val="24"/>
          <w:szCs w:val="24"/>
          <w:lang w:eastAsia="zh-CN"/>
        </w:rPr>
      </w:pPr>
    </w:p>
    <w:p w14:paraId="5C8D22B4">
      <w:pPr>
        <w:bidi w:val="0"/>
        <w:spacing w:line="360" w:lineRule="auto"/>
        <w:rPr>
          <w:rFonts w:hint="eastAsia" w:ascii="宋体" w:hAnsi="宋体" w:eastAsia="宋体" w:cs="宋体"/>
          <w:sz w:val="24"/>
          <w:szCs w:val="24"/>
          <w:lang w:eastAsia="zh-CN"/>
        </w:rPr>
      </w:pPr>
    </w:p>
    <w:p w14:paraId="7EB97CC5">
      <w:pPr>
        <w:bidi w:val="0"/>
        <w:spacing w:line="360" w:lineRule="auto"/>
        <w:rPr>
          <w:rFonts w:hint="eastAsia" w:ascii="宋体" w:hAnsi="宋体" w:eastAsia="宋体" w:cs="宋体"/>
          <w:sz w:val="24"/>
          <w:szCs w:val="24"/>
          <w:lang w:eastAsia="zh-CN"/>
        </w:rPr>
      </w:pPr>
    </w:p>
    <w:p w14:paraId="4CCC19C6">
      <w:pPr>
        <w:bidi w:val="0"/>
        <w:spacing w:line="360" w:lineRule="auto"/>
        <w:rPr>
          <w:rFonts w:hint="eastAsia" w:ascii="宋体" w:hAnsi="宋体" w:eastAsia="宋体" w:cs="宋体"/>
          <w:sz w:val="24"/>
          <w:szCs w:val="24"/>
          <w:lang w:eastAsia="zh-CN"/>
        </w:rPr>
      </w:pPr>
    </w:p>
    <w:p w14:paraId="1BF14614">
      <w:pPr>
        <w:bidi w:val="0"/>
        <w:spacing w:line="360" w:lineRule="auto"/>
        <w:rPr>
          <w:rFonts w:hint="eastAsia" w:ascii="宋体" w:hAnsi="宋体" w:eastAsia="宋体" w:cs="宋体"/>
          <w:sz w:val="24"/>
          <w:szCs w:val="24"/>
          <w:lang w:eastAsia="zh-CN"/>
        </w:rPr>
      </w:pPr>
    </w:p>
    <w:p w14:paraId="7F657C49">
      <w:pPr>
        <w:bidi w:val="0"/>
        <w:spacing w:line="360" w:lineRule="auto"/>
        <w:rPr>
          <w:rFonts w:hint="eastAsia" w:ascii="宋体" w:hAnsi="宋体" w:eastAsia="宋体" w:cs="宋体"/>
          <w:sz w:val="24"/>
          <w:szCs w:val="24"/>
          <w:lang w:eastAsia="zh-CN"/>
        </w:rPr>
      </w:pPr>
    </w:p>
    <w:p w14:paraId="49D8983C">
      <w:pPr>
        <w:bidi w:val="0"/>
        <w:spacing w:line="360" w:lineRule="auto"/>
        <w:rPr>
          <w:rFonts w:hint="eastAsia" w:ascii="宋体" w:hAnsi="宋体" w:eastAsia="宋体" w:cs="宋体"/>
          <w:sz w:val="24"/>
          <w:szCs w:val="24"/>
          <w:lang w:eastAsia="zh-CN"/>
        </w:rPr>
      </w:pPr>
    </w:p>
    <w:p w14:paraId="0AC11E0C">
      <w:pPr>
        <w:bidi w:val="0"/>
        <w:spacing w:line="360" w:lineRule="auto"/>
        <w:rPr>
          <w:rFonts w:hint="eastAsia" w:ascii="宋体" w:hAnsi="宋体" w:eastAsia="宋体" w:cs="宋体"/>
          <w:sz w:val="24"/>
          <w:szCs w:val="24"/>
          <w:lang w:eastAsia="zh-CN"/>
        </w:rPr>
      </w:pPr>
    </w:p>
    <w:p w14:paraId="4D2F1CEF">
      <w:pPr>
        <w:bidi w:val="0"/>
        <w:spacing w:line="360" w:lineRule="auto"/>
        <w:ind w:left="0" w:leftChars="0" w:firstLine="0" w:firstLineChars="0"/>
        <w:rPr>
          <w:rFonts w:hint="eastAsia" w:ascii="宋体" w:hAnsi="宋体" w:eastAsia="宋体" w:cs="宋体"/>
          <w:sz w:val="24"/>
          <w:szCs w:val="24"/>
          <w:lang w:eastAsia="zh-CN"/>
        </w:rPr>
      </w:pPr>
    </w:p>
    <w:tbl>
      <w:tblPr>
        <w:tblStyle w:val="8"/>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480EB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D3B6E3F">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   （盖章）</w:t>
            </w:r>
          </w:p>
          <w:p w14:paraId="621099E2">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负责人/委托代理人：</w:t>
            </w:r>
          </w:p>
        </w:tc>
        <w:tc>
          <w:tcPr>
            <w:tcW w:w="4261" w:type="dxa"/>
            <w:tcBorders>
              <w:tl2br w:val="nil"/>
              <w:tr2bl w:val="nil"/>
            </w:tcBorders>
          </w:tcPr>
          <w:p w14:paraId="771260C0">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   （盖章）</w:t>
            </w:r>
          </w:p>
          <w:p w14:paraId="29DE8A8C">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rPr>
            </w:pPr>
            <w:r>
              <w:rPr>
                <w:rFonts w:hint="eastAsia" w:ascii="宋体" w:hAnsi="宋体" w:eastAsia="宋体" w:cs="宋体"/>
                <w:color w:val="000000"/>
                <w:szCs w:val="21"/>
                <w:highlight w:val="none"/>
              </w:rPr>
              <w:t>法定代表人/委托代理人：</w:t>
            </w:r>
          </w:p>
        </w:tc>
      </w:tr>
      <w:tr w14:paraId="11A31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0446CA5D">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曲江大道东段</w:t>
            </w:r>
            <w:r>
              <w:rPr>
                <w:rFonts w:hint="eastAsia" w:ascii="宋体" w:hAnsi="宋体" w:eastAsia="宋体" w:cs="宋体"/>
                <w:color w:val="000000"/>
                <w:sz w:val="24"/>
                <w:szCs w:val="24"/>
                <w:highlight w:val="none"/>
                <w:lang w:val="en-US" w:eastAsia="zh-CN"/>
              </w:rPr>
              <w:t>70号</w:t>
            </w:r>
          </w:p>
        </w:tc>
        <w:tc>
          <w:tcPr>
            <w:tcW w:w="4261" w:type="dxa"/>
            <w:tcBorders>
              <w:tl2br w:val="nil"/>
              <w:tr2bl w:val="nil"/>
            </w:tcBorders>
          </w:tcPr>
          <w:p w14:paraId="079446B3">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lang w:val="en-US" w:eastAsia="zh-CN"/>
              </w:rPr>
            </w:pPr>
            <w:r>
              <w:rPr>
                <w:rFonts w:hint="eastAsia" w:ascii="宋体" w:hAnsi="宋体" w:eastAsia="宋体" w:cs="宋体"/>
                <w:color w:val="000000"/>
                <w:sz w:val="24"/>
                <w:szCs w:val="24"/>
                <w:highlight w:val="none"/>
              </w:rPr>
              <w:t>地    址：</w:t>
            </w:r>
          </w:p>
        </w:tc>
      </w:tr>
      <w:tr w14:paraId="1878B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266C7DF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 xml:space="preserve">开户银行： </w:t>
            </w:r>
          </w:p>
        </w:tc>
        <w:tc>
          <w:tcPr>
            <w:tcW w:w="4261" w:type="dxa"/>
            <w:tcBorders>
              <w:tl2br w:val="nil"/>
              <w:tr2bl w:val="nil"/>
            </w:tcBorders>
            <w:vAlign w:val="top"/>
          </w:tcPr>
          <w:p w14:paraId="1F9607E7">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开户银行：</w:t>
            </w:r>
          </w:p>
        </w:tc>
      </w:tr>
      <w:tr w14:paraId="02D48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3CC4BA7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账    号：</w:t>
            </w:r>
          </w:p>
        </w:tc>
        <w:tc>
          <w:tcPr>
            <w:tcW w:w="4261" w:type="dxa"/>
            <w:tcBorders>
              <w:tl2br w:val="nil"/>
              <w:tr2bl w:val="nil"/>
            </w:tcBorders>
            <w:vAlign w:val="top"/>
          </w:tcPr>
          <w:p w14:paraId="2B0A9D7C">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账 号：</w:t>
            </w:r>
          </w:p>
        </w:tc>
      </w:tr>
      <w:tr w14:paraId="4D5CC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DFF5B84">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电    话：</w:t>
            </w:r>
          </w:p>
        </w:tc>
        <w:tc>
          <w:tcPr>
            <w:tcW w:w="4261" w:type="dxa"/>
            <w:tcBorders>
              <w:tl2br w:val="nil"/>
              <w:tr2bl w:val="nil"/>
            </w:tcBorders>
            <w:vAlign w:val="top"/>
          </w:tcPr>
          <w:p w14:paraId="5BD51369">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电 话：</w:t>
            </w:r>
          </w:p>
        </w:tc>
      </w:tr>
      <w:tr w14:paraId="45A2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199C7702">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 xml:space="preserve">传    真：  </w:t>
            </w:r>
          </w:p>
        </w:tc>
        <w:tc>
          <w:tcPr>
            <w:tcW w:w="4261" w:type="dxa"/>
            <w:tcBorders>
              <w:tl2br w:val="nil"/>
              <w:tr2bl w:val="nil"/>
            </w:tcBorders>
            <w:vAlign w:val="top"/>
          </w:tcPr>
          <w:p w14:paraId="1FFD8762">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传 真：</w:t>
            </w:r>
          </w:p>
        </w:tc>
      </w:tr>
      <w:tr w14:paraId="24F2C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261" w:type="dxa"/>
            <w:tcBorders>
              <w:tl2br w:val="nil"/>
              <w:tr2bl w:val="nil"/>
            </w:tcBorders>
          </w:tcPr>
          <w:p w14:paraId="534724E8">
            <w:pPr>
              <w:spacing w:before="120" w:beforeLines="50" w:after="120" w:afterLines="50" w:line="360" w:lineRule="auto"/>
              <w:ind w:left="0" w:leftChars="0" w:firstLine="0" w:firstLineChars="0"/>
              <w:rPr>
                <w:rFonts w:hint="eastAsia" w:ascii="宋体" w:hAnsi="宋体" w:eastAsia="宋体" w:cs="宋体"/>
                <w:color w:val="000000"/>
                <w:sz w:val="24"/>
                <w:szCs w:val="24"/>
                <w:highlight w:val="none"/>
                <w:vertAlign w:val="baseline"/>
              </w:rPr>
            </w:pPr>
            <w:r>
              <w:rPr>
                <w:rFonts w:hint="eastAsia" w:ascii="宋体" w:hAnsi="宋体" w:eastAsia="宋体" w:cs="宋体"/>
                <w:color w:val="000000"/>
                <w:sz w:val="24"/>
                <w:szCs w:val="24"/>
                <w:highlight w:val="none"/>
              </w:rPr>
              <w:t>签约日期：  年  月  日</w:t>
            </w:r>
          </w:p>
        </w:tc>
        <w:tc>
          <w:tcPr>
            <w:tcW w:w="4261" w:type="dxa"/>
            <w:tcBorders>
              <w:tl2br w:val="nil"/>
              <w:tr2bl w:val="nil"/>
            </w:tcBorders>
            <w:vAlign w:val="top"/>
          </w:tcPr>
          <w:p w14:paraId="3665FDF3">
            <w:pPr>
              <w:spacing w:before="120" w:beforeLines="50" w:after="120" w:afterLines="50" w:line="360" w:lineRule="auto"/>
              <w:ind w:left="0" w:leftChars="0" w:firstLine="0" w:firstLineChars="0"/>
              <w:rPr>
                <w:rFonts w:hint="eastAsia" w:ascii="宋体" w:hAnsi="宋体" w:eastAsia="宋体" w:cs="宋体"/>
                <w:color w:val="000000"/>
                <w:kern w:val="2"/>
                <w:sz w:val="24"/>
                <w:szCs w:val="24"/>
                <w:highlight w:val="none"/>
                <w:vertAlign w:val="baseline"/>
                <w:lang w:val="en-US" w:eastAsia="zh-CN" w:bidi="ar-SA"/>
              </w:rPr>
            </w:pPr>
            <w:r>
              <w:rPr>
                <w:rFonts w:hint="eastAsia" w:ascii="宋体" w:hAnsi="宋体" w:eastAsia="宋体" w:cs="宋体"/>
                <w:color w:val="000000"/>
                <w:sz w:val="24"/>
                <w:szCs w:val="24"/>
                <w:highlight w:val="none"/>
              </w:rPr>
              <w:t>签约日期：  年  月  日</w:t>
            </w:r>
          </w:p>
        </w:tc>
      </w:tr>
    </w:tbl>
    <w:p w14:paraId="3225C370">
      <w:pPr>
        <w:bidi w:val="0"/>
        <w:rPr>
          <w:rFonts w:hint="eastAsia"/>
        </w:rPr>
      </w:pPr>
    </w:p>
    <w:p w14:paraId="3F9D80D6">
      <w:pPr>
        <w:spacing w:line="360" w:lineRule="auto"/>
        <w:rPr>
          <w:highlight w:val="none"/>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9DCE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06E7F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06E7F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89D64"/>
    <w:multiLevelType w:val="singleLevel"/>
    <w:tmpl w:val="A0689D6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7742"/>
    <w:rsid w:val="021A252E"/>
    <w:rsid w:val="0A8B5CAD"/>
    <w:rsid w:val="1A291285"/>
    <w:rsid w:val="1A7B7C24"/>
    <w:rsid w:val="23B25C29"/>
    <w:rsid w:val="43A918C1"/>
    <w:rsid w:val="50C95687"/>
    <w:rsid w:val="6D9E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宋体" w:hAnsi="宋体" w:eastAsia="宋体" w:cs="宋体"/>
      <w:kern w:val="2"/>
      <w:sz w:val="24"/>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b/>
      <w:sz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6">
    <w:name w:val="Body Text First Indent"/>
    <w:basedOn w:val="2"/>
    <w:qFormat/>
    <w:uiPriority w:val="0"/>
    <w:rPr>
      <w:rFonts w:hAnsi="宋体"/>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2816</Words>
  <Characters>2850</Characters>
  <Lines>0</Lines>
  <Paragraphs>0</Paragraphs>
  <TotalTime>1</TotalTime>
  <ScaleCrop>false</ScaleCrop>
  <LinksUpToDate>false</LinksUpToDate>
  <CharactersWithSpaces>2994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2024-12-09T07:44:00Z</dcterms:created>
  <dc:creator>Administrator</dc:creator>
  <cp:lastModifiedBy>德煜公司</cp:lastModifiedBy>
  <dcterms:modified xsi:type="dcterms:W3CDTF">2026-05-12T06:42:35Z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2EDFFADF6DD84156840C463D4239DB22_13</vt:lpwstr>
  </property>
  <property fmtid="{D5CDD505-2E9C-101B-9397-08002B2CF9AE}" pid="4" name="KSOTemplateDocerSaveRecord">
    <vt:lpwstr>eyJoZGlkIjoiYjgxNTc3ODE5ZTNhOGVkMzIyZjhmYjYwMDliNzg1NjgiLCJ1c2VySWQiOiIyMzA3MDEyNDAifQ==</vt:lpwstr>
  </property>
</Properties>
</file>