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5C357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eastAsia="zh-CN"/>
        </w:rPr>
        <w:t>详细评审</w:t>
      </w:r>
    </w:p>
    <w:bookmarkEnd w:id="0"/>
    <w:p w14:paraId="285A4D2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954D1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供应商依据磋商文件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【第六章 磋商办法】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进行编制，格式自拟，不可缺项漏项。</w:t>
      </w:r>
    </w:p>
    <w:p w14:paraId="591D4974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项目背景以及需求分析；</w:t>
      </w:r>
    </w:p>
    <w:p w14:paraId="083E3253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服务方案；</w:t>
      </w:r>
    </w:p>
    <w:p w14:paraId="025BF71A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管理体系及服务质量保障措施方案；</w:t>
      </w:r>
    </w:p>
    <w:p w14:paraId="57D0A94F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工作进度计划及保障措施方案；</w:t>
      </w:r>
    </w:p>
    <w:p w14:paraId="2ABEFB96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突发应急预案；</w:t>
      </w:r>
    </w:p>
    <w:p w14:paraId="13463EC0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项目团队人员配备方案；</w:t>
      </w:r>
    </w:p>
    <w:p w14:paraId="168689B2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企业业绩（见式样，加盖供应商公章）；</w:t>
      </w:r>
    </w:p>
    <w:p w14:paraId="6D77BF08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经营场所</w:t>
      </w:r>
    </w:p>
    <w:p w14:paraId="003FB50E">
      <w:pPr>
        <w:numPr>
          <w:numId w:val="0"/>
        </w:numPr>
        <w:spacing w:line="240" w:lineRule="auto"/>
        <w:ind w:firstLine="0" w:firstLineChars="0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.....</w:t>
      </w:r>
    </w:p>
    <w:p w14:paraId="46C72F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36549"/>
    <w:multiLevelType w:val="singleLevel"/>
    <w:tmpl w:val="2FE365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6FCFB689"/>
    <w:rsid w:val="71C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customStyle="1" w:styleId="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德煜公司</cp:lastModifiedBy>
  <dcterms:modified xsi:type="dcterms:W3CDTF">2026-05-11T08:51:20Z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eyJoZGlkIjoiYjgxNTc3ODE5ZTNhOGVkMzIyZjhmYjYwMDliNzg1NjgiLCJ1c2VySWQiOiIyMzA3MDEyNDAifQ==</vt:lpwstr>
  </property>
  <property fmtid="{D5CDD505-2E9C-101B-9397-08002B2CF9AE}" pid="4" name="ICV">
    <vt:lpwstr>BD6AA6E605E745C0ABB0ED96D77BE37C_13</vt:lpwstr>
  </property>
</Properties>
</file>