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33AD45"/>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19"/>
        <w:gridCol w:w="1125"/>
        <w:gridCol w:w="6063"/>
      </w:tblGrid>
      <w:tr w14:paraId="71C3215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19" w:type="dxa"/>
          </w:tcPr>
          <w:p w14:paraId="594FBA95">
            <w:pPr>
              <w:pStyle w:val="4"/>
              <w:jc w:val="left"/>
              <w:rPr>
                <w:highlight w:val="none"/>
              </w:rPr>
            </w:pPr>
            <w:bookmarkStart w:id="0" w:name="_GoBack"/>
            <w:r>
              <w:rPr>
                <w:rFonts w:ascii="仿宋_GB2312" w:hAnsi="仿宋_GB2312" w:eastAsia="仿宋_GB2312" w:cs="仿宋_GB2312"/>
                <w:highlight w:val="none"/>
              </w:rPr>
              <w:t xml:space="preserve"> 序号</w:t>
            </w:r>
          </w:p>
        </w:tc>
        <w:tc>
          <w:tcPr>
            <w:tcW w:w="1125" w:type="dxa"/>
          </w:tcPr>
          <w:p w14:paraId="1046D24E">
            <w:pPr>
              <w:pStyle w:val="4"/>
              <w:jc w:val="left"/>
              <w:rPr>
                <w:highlight w:val="none"/>
              </w:rPr>
            </w:pPr>
            <w:r>
              <w:rPr>
                <w:rFonts w:ascii="仿宋_GB2312" w:hAnsi="仿宋_GB2312" w:eastAsia="仿宋_GB2312" w:cs="仿宋_GB2312"/>
                <w:highlight w:val="none"/>
              </w:rPr>
              <w:t xml:space="preserve"> 参数性质</w:t>
            </w:r>
          </w:p>
        </w:tc>
        <w:tc>
          <w:tcPr>
            <w:tcW w:w="6063" w:type="dxa"/>
          </w:tcPr>
          <w:p w14:paraId="2CE306A3">
            <w:pPr>
              <w:pStyle w:val="4"/>
              <w:jc w:val="left"/>
              <w:rPr>
                <w:highlight w:val="none"/>
              </w:rPr>
            </w:pPr>
            <w:r>
              <w:rPr>
                <w:rFonts w:ascii="仿宋_GB2312" w:hAnsi="仿宋_GB2312" w:eastAsia="仿宋_GB2312" w:cs="仿宋_GB2312"/>
                <w:highlight w:val="none"/>
              </w:rPr>
              <w:t xml:space="preserve"> 技术参数与性能指标</w:t>
            </w:r>
          </w:p>
        </w:tc>
      </w:tr>
      <w:tr w14:paraId="0156531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19" w:type="dxa"/>
          </w:tcPr>
          <w:p w14:paraId="706B5981">
            <w:pPr>
              <w:pStyle w:val="4"/>
              <w:jc w:val="left"/>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1</w:t>
            </w:r>
          </w:p>
        </w:tc>
        <w:tc>
          <w:tcPr>
            <w:tcW w:w="1125" w:type="dxa"/>
          </w:tcPr>
          <w:p w14:paraId="03FBE9C6">
            <w:pPr>
              <w:pStyle w:val="4"/>
              <w:jc w:val="left"/>
              <w:rPr>
                <w:rFonts w:hint="eastAsia" w:ascii="仿宋_GB2312" w:hAnsi="仿宋_GB2312" w:eastAsia="仿宋_GB2312" w:cs="仿宋_GB2312"/>
                <w:highlight w:val="none"/>
                <w:lang w:eastAsia="zh-CN"/>
              </w:rPr>
            </w:pPr>
            <w:r>
              <w:rPr>
                <w:rFonts w:hint="eastAsia" w:ascii="仿宋_GB2312" w:hAnsi="仿宋_GB2312" w:eastAsia="仿宋_GB2312" w:cs="仿宋_GB2312"/>
                <w:highlight w:val="none"/>
                <w:lang w:eastAsia="zh-CN"/>
              </w:rPr>
              <w:t>（</w:t>
            </w:r>
            <w:r>
              <w:rPr>
                <w:rFonts w:hint="eastAsia" w:ascii="仿宋_GB2312" w:hAnsi="仿宋_GB2312" w:eastAsia="仿宋_GB2312" w:cs="仿宋_GB2312"/>
                <w:highlight w:val="none"/>
                <w:lang w:val="en-US" w:eastAsia="zh-CN"/>
              </w:rPr>
              <w:t>选择无标识</w:t>
            </w:r>
            <w:r>
              <w:rPr>
                <w:rFonts w:hint="eastAsia" w:ascii="仿宋_GB2312" w:hAnsi="仿宋_GB2312" w:eastAsia="仿宋_GB2312" w:cs="仿宋_GB2312"/>
                <w:highlight w:val="none"/>
                <w:lang w:eastAsia="zh-CN"/>
              </w:rPr>
              <w:t>）</w:t>
            </w:r>
          </w:p>
        </w:tc>
        <w:tc>
          <w:tcPr>
            <w:tcW w:w="6063" w:type="dxa"/>
          </w:tcPr>
          <w:p w14:paraId="4E981E7A">
            <w:pPr>
              <w:pStyle w:val="4"/>
              <w:jc w:val="left"/>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rPr>
              <w:t>★</w:t>
            </w:r>
            <w:r>
              <w:rPr>
                <w:rFonts w:hint="eastAsia" w:ascii="仿宋_GB2312" w:hAnsi="仿宋_GB2312" w:eastAsia="仿宋_GB2312" w:cs="仿宋_GB2312"/>
                <w:b/>
                <w:bCs/>
                <w:highlight w:val="none"/>
                <w:lang w:val="en-US" w:eastAsia="zh-CN"/>
              </w:rPr>
              <w:t>一、商务要求</w:t>
            </w:r>
          </w:p>
          <w:p w14:paraId="7A1DFA22">
            <w:pPr>
              <w:pStyle w:val="4"/>
              <w:jc w:val="left"/>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（1）交货时间：自合同签订之日起15个日历天</w:t>
            </w:r>
          </w:p>
          <w:p w14:paraId="662107DF">
            <w:pPr>
              <w:pStyle w:val="4"/>
              <w:jc w:val="left"/>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（2）质量要求：符合行业相关法律、规范合格标准</w:t>
            </w:r>
          </w:p>
          <w:p w14:paraId="4B5D20F0">
            <w:pPr>
              <w:pStyle w:val="4"/>
              <w:jc w:val="left"/>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（3）验收：</w:t>
            </w:r>
          </w:p>
          <w:p w14:paraId="0C06D50B">
            <w:pPr>
              <w:pStyle w:val="4"/>
              <w:jc w:val="left"/>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初验：货物到达交货地点后，由采购人根据技术参数对货物的进行检查。</w:t>
            </w:r>
          </w:p>
          <w:p w14:paraId="5D4CD725">
            <w:pPr>
              <w:pStyle w:val="4"/>
              <w:jc w:val="left"/>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终验：货物安装、调试完毕后，由采购人进行终验（最终验收），合格后签发合格单。</w:t>
            </w:r>
          </w:p>
          <w:p w14:paraId="53CCEB52">
            <w:pPr>
              <w:pStyle w:val="4"/>
              <w:jc w:val="left"/>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验收依据：</w:t>
            </w:r>
          </w:p>
          <w:p w14:paraId="016B5A75">
            <w:pPr>
              <w:pStyle w:val="4"/>
              <w:jc w:val="left"/>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①合同文本及合同补充文件（条款）；</w:t>
            </w:r>
          </w:p>
          <w:p w14:paraId="52EE286F">
            <w:pPr>
              <w:pStyle w:val="4"/>
              <w:jc w:val="left"/>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②产品的合法来源渠道证明文件、响应功能证明材料；</w:t>
            </w:r>
          </w:p>
          <w:p w14:paraId="34F11898">
            <w:pPr>
              <w:pStyle w:val="4"/>
              <w:jc w:val="left"/>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③竞争性谈判文件；</w:t>
            </w:r>
          </w:p>
          <w:p w14:paraId="661C3A16">
            <w:pPr>
              <w:pStyle w:val="4"/>
              <w:jc w:val="left"/>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④成交供应商的谈判响应文件。</w:t>
            </w:r>
          </w:p>
          <w:p w14:paraId="50F3DB38">
            <w:pPr>
              <w:pStyle w:val="4"/>
              <w:jc w:val="left"/>
              <w:rPr>
                <w:rFonts w:hint="default"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（4）付款方式：验收合格后一次付清</w:t>
            </w:r>
          </w:p>
          <w:p w14:paraId="25D112B9">
            <w:pPr>
              <w:pStyle w:val="4"/>
              <w:jc w:val="left"/>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（5）质保期：3年</w:t>
            </w:r>
          </w:p>
          <w:p w14:paraId="06BA1CDC">
            <w:pPr>
              <w:pStyle w:val="4"/>
              <w:jc w:val="left"/>
              <w:rPr>
                <w:rFonts w:hint="eastAsia" w:ascii="仿宋_GB2312" w:hAnsi="仿宋_GB2312" w:eastAsia="仿宋_GB2312" w:cs="仿宋_GB2312"/>
                <w:highlight w:val="none"/>
                <w:lang w:val="en-US" w:eastAsia="zh-CN"/>
              </w:rPr>
            </w:pPr>
            <w:r>
              <w:rPr>
                <w:rFonts w:hint="eastAsia" w:ascii="仿宋_GB2312" w:hAnsi="仿宋_GB2312" w:eastAsia="仿宋_GB2312" w:cs="仿宋_GB2312"/>
                <w:b/>
                <w:bCs/>
                <w:highlight w:val="none"/>
                <w:lang w:val="en-US" w:eastAsia="zh-CN"/>
              </w:rPr>
              <w:t>二、技术参数及要求</w:t>
            </w:r>
          </w:p>
          <w:p w14:paraId="20FFC561">
            <w:pPr>
              <w:pStyle w:val="4"/>
              <w:jc w:val="left"/>
              <w:rPr>
                <w:rFonts w:hint="default"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数量：1套</w:t>
            </w:r>
          </w:p>
          <w:p w14:paraId="26CEE0CF">
            <w:pPr>
              <w:pStyle w:val="4"/>
              <w:jc w:val="left"/>
              <w:rPr>
                <w:rFonts w:hint="eastAsia" w:ascii="仿宋_GB2312" w:hAnsi="仿宋_GB2312" w:eastAsia="仿宋_GB2312" w:cs="仿宋_GB2312"/>
                <w:highlight w:val="none"/>
                <w:lang w:eastAsia="zh-CN"/>
              </w:rPr>
            </w:pPr>
            <w:r>
              <w:rPr>
                <w:rFonts w:hint="eastAsia" w:ascii="仿宋_GB2312" w:hAnsi="仿宋_GB2312" w:eastAsia="仿宋_GB2312" w:cs="仿宋_GB2312"/>
                <w:highlight w:val="none"/>
                <w:lang w:eastAsia="zh-CN"/>
              </w:rPr>
              <w:t>（</w:t>
            </w:r>
            <w:r>
              <w:rPr>
                <w:rFonts w:hint="eastAsia" w:ascii="仿宋_GB2312" w:hAnsi="仿宋_GB2312" w:eastAsia="仿宋_GB2312" w:cs="仿宋_GB2312"/>
                <w:highlight w:val="none"/>
                <w:lang w:val="en-US" w:eastAsia="zh-CN"/>
              </w:rPr>
              <w:t>一</w:t>
            </w:r>
            <w:r>
              <w:rPr>
                <w:rFonts w:hint="eastAsia" w:ascii="仿宋_GB2312" w:hAnsi="仿宋_GB2312" w:eastAsia="仿宋_GB2312" w:cs="仿宋_GB2312"/>
                <w:highlight w:val="none"/>
                <w:lang w:eastAsia="zh-CN"/>
              </w:rPr>
              <w:t>）</w:t>
            </w:r>
            <w:r>
              <w:rPr>
                <w:rFonts w:hint="eastAsia" w:ascii="仿宋_GB2312" w:hAnsi="仿宋_GB2312" w:eastAsia="仿宋_GB2312" w:cs="仿宋_GB2312"/>
                <w:highlight w:val="none"/>
              </w:rPr>
              <w:t>边界硬件探针网关</w:t>
            </w:r>
          </w:p>
          <w:p w14:paraId="4E8A56C3">
            <w:pPr>
              <w:pStyle w:val="4"/>
              <w:jc w:val="left"/>
              <w:rPr>
                <w:rFonts w:hint="eastAsia" w:ascii="仿宋_GB2312" w:hAnsi="仿宋_GB2312" w:eastAsia="仿宋_GB2312" w:cs="仿宋_GB2312"/>
                <w:highlight w:val="none"/>
                <w:lang w:eastAsia="zh-CN"/>
              </w:rPr>
            </w:pPr>
            <w:r>
              <w:rPr>
                <w:rFonts w:hint="eastAsia" w:ascii="仿宋_GB2312" w:hAnsi="仿宋_GB2312" w:eastAsia="仿宋_GB2312" w:cs="仿宋_GB2312"/>
                <w:highlight w:val="none"/>
                <w:lang w:eastAsia="zh-CN"/>
              </w:rPr>
              <w:t xml:space="preserve">1、标准机架式设备，国产CPU, 国产化操作系统；内存：≧8GB以上；硬盘：≧1TB SATA；网络接口：≧4个千兆电口； </w:t>
            </w:r>
          </w:p>
          <w:p w14:paraId="5A56F155">
            <w:pPr>
              <w:pStyle w:val="4"/>
              <w:jc w:val="left"/>
              <w:rPr>
                <w:rFonts w:hint="eastAsia" w:ascii="仿宋_GB2312" w:hAnsi="仿宋_GB2312" w:eastAsia="仿宋_GB2312" w:cs="仿宋_GB2312"/>
                <w:highlight w:val="none"/>
                <w:lang w:eastAsia="zh-CN"/>
              </w:rPr>
            </w:pPr>
            <w:r>
              <w:rPr>
                <w:rFonts w:hint="eastAsia" w:ascii="仿宋_GB2312" w:hAnsi="仿宋_GB2312" w:eastAsia="仿宋_GB2312" w:cs="仿宋_GB2312"/>
                <w:highlight w:val="none"/>
                <w:lang w:eastAsia="zh-CN"/>
              </w:rPr>
              <w:t xml:space="preserve">2、支持通对接入设备持续探针，发现网络中的隐匿资产，并获取对应的终端的IP和MAC地址。 </w:t>
            </w:r>
          </w:p>
          <w:p w14:paraId="7252B5DB">
            <w:pPr>
              <w:pStyle w:val="4"/>
              <w:jc w:val="left"/>
              <w:rPr>
                <w:rFonts w:hint="eastAsia" w:ascii="仿宋_GB2312" w:hAnsi="仿宋_GB2312" w:eastAsia="仿宋_GB2312" w:cs="仿宋_GB2312"/>
                <w:highlight w:val="none"/>
                <w:lang w:eastAsia="zh-CN"/>
              </w:rPr>
            </w:pPr>
            <w:r>
              <w:rPr>
                <w:rFonts w:hint="eastAsia" w:ascii="仿宋_GB2312" w:hAnsi="仿宋_GB2312" w:eastAsia="仿宋_GB2312" w:cs="仿宋_GB2312"/>
                <w:highlight w:val="none"/>
                <w:lang w:eastAsia="zh-CN"/>
              </w:rPr>
              <w:t>3、具备网络数据包分析能力，识别网络中的IP、MAC、VLAN等信息，发现交换机飞线连接、私搭乱接小路由、外部终端外联接入内部网络设备等场景的网络串线安全事件。</w:t>
            </w:r>
          </w:p>
          <w:p w14:paraId="6569EEB6">
            <w:pPr>
              <w:pStyle w:val="4"/>
              <w:jc w:val="left"/>
              <w:rPr>
                <w:rFonts w:hint="eastAsia" w:ascii="仿宋_GB2312" w:hAnsi="仿宋_GB2312" w:eastAsia="仿宋_GB2312" w:cs="仿宋_GB2312"/>
                <w:highlight w:val="none"/>
                <w:lang w:eastAsia="zh-CN"/>
              </w:rPr>
            </w:pPr>
            <w:r>
              <w:rPr>
                <w:rFonts w:hint="eastAsia" w:ascii="仿宋_GB2312" w:hAnsi="仿宋_GB2312" w:eastAsia="仿宋_GB2312" w:cs="仿宋_GB2312"/>
                <w:highlight w:val="none"/>
                <w:lang w:eastAsia="zh-CN"/>
              </w:rPr>
              <w:t>4、串线外联支持上报至外网的报警平台和上级级联网络边界监测系统记录，包含违规设备的IP、MAC、厂商、发现串线的网段等信息。</w:t>
            </w:r>
          </w:p>
          <w:p w14:paraId="5A2A0216">
            <w:pPr>
              <w:pStyle w:val="4"/>
              <w:jc w:val="left"/>
              <w:rPr>
                <w:rFonts w:hint="eastAsia" w:ascii="仿宋_GB2312" w:hAnsi="仿宋_GB2312" w:eastAsia="仿宋_GB2312" w:cs="仿宋_GB2312"/>
                <w:highlight w:val="none"/>
                <w:lang w:eastAsia="zh-CN"/>
              </w:rPr>
            </w:pPr>
            <w:r>
              <w:rPr>
                <w:rFonts w:hint="eastAsia" w:ascii="仿宋_GB2312" w:hAnsi="仿宋_GB2312" w:eastAsia="仿宋_GB2312" w:cs="仿宋_GB2312"/>
                <w:highlight w:val="none"/>
                <w:lang w:eastAsia="zh-CN"/>
              </w:rPr>
              <w:t>5、</w:t>
            </w:r>
            <w:r>
              <w:rPr>
                <w:rFonts w:hint="eastAsia" w:ascii="仿宋_GB2312" w:hAnsi="仿宋_GB2312" w:eastAsia="仿宋_GB2312" w:cs="仿宋_GB2312"/>
                <w:highlight w:val="none"/>
              </w:rPr>
              <w:t>★</w:t>
            </w:r>
            <w:r>
              <w:rPr>
                <w:rFonts w:hint="eastAsia" w:ascii="仿宋_GB2312" w:hAnsi="仿宋_GB2312" w:eastAsia="仿宋_GB2312" w:cs="仿宋_GB2312"/>
                <w:highlight w:val="none"/>
                <w:lang w:eastAsia="zh-CN"/>
              </w:rPr>
              <w:t>支持同时对终端“一机两用”和违规与互联网串线行为的自动阻断。</w:t>
            </w:r>
          </w:p>
          <w:p w14:paraId="14BD4656">
            <w:pPr>
              <w:pStyle w:val="4"/>
              <w:jc w:val="left"/>
              <w:rPr>
                <w:rFonts w:hint="eastAsia" w:ascii="仿宋_GB2312" w:hAnsi="仿宋_GB2312" w:eastAsia="仿宋_GB2312" w:cs="仿宋_GB2312"/>
                <w:highlight w:val="none"/>
                <w:lang w:eastAsia="zh-CN"/>
              </w:rPr>
            </w:pPr>
            <w:r>
              <w:rPr>
                <w:rFonts w:hint="eastAsia" w:ascii="仿宋_GB2312" w:hAnsi="仿宋_GB2312" w:eastAsia="仿宋_GB2312" w:cs="仿宋_GB2312"/>
                <w:highlight w:val="none"/>
                <w:lang w:eastAsia="zh-CN"/>
              </w:rPr>
              <w:t xml:space="preserve">6、支持监测网络中的违规服务信息，包括提供违规服务的对应资产信息，违规服务的处置状态信息等。 </w:t>
            </w:r>
          </w:p>
          <w:p w14:paraId="2CEA5D29">
            <w:pPr>
              <w:pStyle w:val="4"/>
              <w:jc w:val="left"/>
              <w:rPr>
                <w:rFonts w:hint="eastAsia" w:ascii="仿宋_GB2312" w:hAnsi="仿宋_GB2312" w:eastAsia="仿宋_GB2312" w:cs="仿宋_GB2312"/>
                <w:highlight w:val="none"/>
                <w:lang w:eastAsia="zh-CN"/>
              </w:rPr>
            </w:pPr>
            <w:r>
              <w:rPr>
                <w:rFonts w:hint="eastAsia" w:ascii="仿宋_GB2312" w:hAnsi="仿宋_GB2312" w:eastAsia="仿宋_GB2312" w:cs="仿宋_GB2312"/>
                <w:highlight w:val="none"/>
                <w:lang w:eastAsia="zh-CN"/>
              </w:rPr>
              <w:t>7、</w:t>
            </w:r>
            <w:r>
              <w:rPr>
                <w:rFonts w:hint="eastAsia" w:ascii="仿宋_GB2312" w:hAnsi="仿宋_GB2312" w:eastAsia="仿宋_GB2312" w:cs="仿宋_GB2312"/>
                <w:highlight w:val="none"/>
              </w:rPr>
              <w:t>★</w:t>
            </w:r>
            <w:r>
              <w:rPr>
                <w:rFonts w:hint="eastAsia" w:ascii="仿宋_GB2312" w:hAnsi="仿宋_GB2312" w:eastAsia="仿宋_GB2312" w:cs="仿宋_GB2312"/>
                <w:highlight w:val="none"/>
                <w:lang w:eastAsia="zh-CN"/>
              </w:rPr>
              <w:t>支持与本级网络边界监测网关级联，获取VLAN配置信息，自动连接网络边界监测系统并上报自身状态。</w:t>
            </w:r>
          </w:p>
          <w:p w14:paraId="0B225AD3">
            <w:pPr>
              <w:pStyle w:val="4"/>
              <w:jc w:val="left"/>
              <w:rPr>
                <w:rFonts w:hint="eastAsia" w:ascii="仿宋_GB2312" w:hAnsi="仿宋_GB2312" w:eastAsia="仿宋_GB2312" w:cs="仿宋_GB2312"/>
                <w:highlight w:val="none"/>
                <w:lang w:eastAsia="zh-CN"/>
              </w:rPr>
            </w:pPr>
            <w:r>
              <w:rPr>
                <w:rFonts w:hint="eastAsia" w:ascii="仿宋_GB2312" w:hAnsi="仿宋_GB2312" w:eastAsia="仿宋_GB2312" w:cs="仿宋_GB2312"/>
                <w:highlight w:val="none"/>
                <w:lang w:eastAsia="zh-CN"/>
              </w:rPr>
              <w:t>“★”项须提供功能证明材料（</w:t>
            </w:r>
            <w:r>
              <w:rPr>
                <w:rFonts w:hint="eastAsia" w:ascii="仿宋_GB2312" w:hAnsi="仿宋_GB2312" w:eastAsia="仿宋_GB2312" w:cs="仿宋_GB2312"/>
                <w:highlight w:val="none"/>
                <w:lang w:val="en-US" w:eastAsia="zh-CN"/>
              </w:rPr>
              <w:t>系统功能截图或检测报告等</w:t>
            </w:r>
            <w:r>
              <w:rPr>
                <w:rFonts w:hint="eastAsia" w:ascii="仿宋_GB2312" w:hAnsi="仿宋_GB2312" w:eastAsia="仿宋_GB2312" w:cs="仿宋_GB2312"/>
                <w:highlight w:val="none"/>
                <w:lang w:eastAsia="zh-CN"/>
              </w:rPr>
              <w:t>），否则视为无效响应。</w:t>
            </w:r>
          </w:p>
          <w:p w14:paraId="3ECED2E5">
            <w:pPr>
              <w:pStyle w:val="4"/>
              <w:jc w:val="left"/>
              <w:rPr>
                <w:rFonts w:hint="default"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（二）外联集控平台</w:t>
            </w:r>
          </w:p>
          <w:p w14:paraId="18328358">
            <w:pPr>
              <w:pStyle w:val="4"/>
              <w:jc w:val="left"/>
              <w:rPr>
                <w:rFonts w:hint="eastAsia" w:ascii="仿宋_GB2312" w:hAnsi="仿宋_GB2312" w:eastAsia="仿宋_GB2312" w:cs="仿宋_GB2312"/>
                <w:highlight w:val="none"/>
                <w:lang w:eastAsia="zh-CN"/>
              </w:rPr>
            </w:pPr>
            <w:r>
              <w:rPr>
                <w:rFonts w:hint="eastAsia" w:ascii="仿宋_GB2312" w:hAnsi="仿宋_GB2312" w:eastAsia="仿宋_GB2312" w:cs="仿宋_GB2312"/>
                <w:highlight w:val="none"/>
                <w:lang w:eastAsia="zh-CN"/>
              </w:rPr>
              <w:t>1、标准机架式设备，国产CPU，国产化操作系统；内存：≧8GB以上；硬盘：≧1TB SATA；网络接口：≧4个千兆电口。</w:t>
            </w:r>
          </w:p>
          <w:p w14:paraId="0C64CACB">
            <w:pPr>
              <w:pStyle w:val="4"/>
              <w:jc w:val="left"/>
              <w:rPr>
                <w:rFonts w:hint="eastAsia" w:ascii="仿宋_GB2312" w:hAnsi="仿宋_GB2312" w:eastAsia="仿宋_GB2312" w:cs="仿宋_GB2312"/>
                <w:highlight w:val="none"/>
                <w:lang w:eastAsia="zh-CN"/>
              </w:rPr>
            </w:pPr>
            <w:r>
              <w:rPr>
                <w:rFonts w:hint="eastAsia" w:ascii="仿宋_GB2312" w:hAnsi="仿宋_GB2312" w:eastAsia="仿宋_GB2312" w:cs="仿宋_GB2312"/>
                <w:highlight w:val="none"/>
                <w:lang w:eastAsia="zh-CN"/>
              </w:rPr>
              <w:t>2、支持添加级联边界网关，支持按照区域新增级联边界网关，支持显示级联状态，包括CPU/内存/磁盘使用率,设备运行时长，系统版本、型号、名称等。</w:t>
            </w:r>
          </w:p>
          <w:p w14:paraId="7DABC024">
            <w:pPr>
              <w:pStyle w:val="4"/>
              <w:jc w:val="left"/>
              <w:rPr>
                <w:rFonts w:hint="eastAsia" w:ascii="仿宋_GB2312" w:hAnsi="仿宋_GB2312" w:eastAsia="仿宋_GB2312" w:cs="仿宋_GB2312"/>
                <w:highlight w:val="none"/>
                <w:lang w:eastAsia="zh-CN"/>
              </w:rPr>
            </w:pPr>
            <w:r>
              <w:rPr>
                <w:rFonts w:hint="eastAsia" w:ascii="仿宋_GB2312" w:hAnsi="仿宋_GB2312" w:eastAsia="仿宋_GB2312" w:cs="仿宋_GB2312"/>
                <w:highlight w:val="none"/>
                <w:lang w:eastAsia="zh-CN"/>
              </w:rPr>
              <w:t>3、</w:t>
            </w:r>
            <w:r>
              <w:rPr>
                <w:rFonts w:hint="eastAsia" w:ascii="仿宋_GB2312" w:hAnsi="仿宋_GB2312" w:eastAsia="仿宋_GB2312" w:cs="仿宋_GB2312"/>
                <w:highlight w:val="none"/>
              </w:rPr>
              <w:t>★</w:t>
            </w:r>
            <w:r>
              <w:rPr>
                <w:rFonts w:hint="eastAsia" w:ascii="仿宋_GB2312" w:hAnsi="仿宋_GB2312" w:eastAsia="仿宋_GB2312" w:cs="仿宋_GB2312"/>
                <w:highlight w:val="none"/>
                <w:lang w:eastAsia="zh-CN"/>
              </w:rPr>
              <w:t>支持级联的设备审核、注销、修改名称，查看详情信息。</w:t>
            </w:r>
          </w:p>
          <w:p w14:paraId="319C42B6">
            <w:pPr>
              <w:pStyle w:val="4"/>
              <w:jc w:val="left"/>
              <w:rPr>
                <w:rFonts w:hint="eastAsia" w:ascii="仿宋_GB2312" w:hAnsi="仿宋_GB2312" w:eastAsia="仿宋_GB2312" w:cs="仿宋_GB2312"/>
                <w:highlight w:val="none"/>
                <w:lang w:eastAsia="zh-CN"/>
              </w:rPr>
            </w:pPr>
            <w:r>
              <w:rPr>
                <w:rFonts w:hint="eastAsia" w:ascii="仿宋_GB2312" w:hAnsi="仿宋_GB2312" w:eastAsia="仿宋_GB2312" w:cs="仿宋_GB2312"/>
                <w:highlight w:val="none"/>
                <w:lang w:eastAsia="zh-CN"/>
              </w:rPr>
              <w:t>4、支持查看边界网关的监测任务，包含监测范围、执行次数以及监测内容。</w:t>
            </w:r>
          </w:p>
          <w:p w14:paraId="44D1AB58">
            <w:pPr>
              <w:pStyle w:val="4"/>
              <w:jc w:val="left"/>
              <w:rPr>
                <w:rFonts w:hint="eastAsia" w:ascii="仿宋_GB2312" w:hAnsi="仿宋_GB2312" w:eastAsia="仿宋_GB2312" w:cs="仿宋_GB2312"/>
                <w:highlight w:val="none"/>
                <w:lang w:eastAsia="zh-CN"/>
              </w:rPr>
            </w:pPr>
            <w:r>
              <w:rPr>
                <w:rFonts w:hint="eastAsia" w:ascii="仿宋_GB2312" w:hAnsi="仿宋_GB2312" w:eastAsia="仿宋_GB2312" w:cs="仿宋_GB2312"/>
                <w:highlight w:val="none"/>
                <w:lang w:eastAsia="zh-CN"/>
              </w:rPr>
              <w:t>5、支持快速登录网关功能，可通过页面新增资产，可点击资产名称实现直接跳转至网关。</w:t>
            </w:r>
          </w:p>
          <w:p w14:paraId="7DDBB808">
            <w:pPr>
              <w:pStyle w:val="4"/>
              <w:jc w:val="left"/>
              <w:rPr>
                <w:rFonts w:hint="eastAsia" w:ascii="仿宋_GB2312" w:hAnsi="仿宋_GB2312" w:eastAsia="仿宋_GB2312" w:cs="仿宋_GB2312"/>
                <w:highlight w:val="none"/>
                <w:lang w:eastAsia="zh-CN"/>
              </w:rPr>
            </w:pPr>
            <w:r>
              <w:rPr>
                <w:rFonts w:hint="eastAsia" w:ascii="仿宋_GB2312" w:hAnsi="仿宋_GB2312" w:eastAsia="仿宋_GB2312" w:cs="仿宋_GB2312"/>
                <w:highlight w:val="none"/>
                <w:lang w:eastAsia="zh-CN"/>
              </w:rPr>
              <w:t>6、支持按区域对管理边界进行划分，能够按多级区域管理，每级区域下支持按照组织部门划分机构，实现精细化管理</w:t>
            </w:r>
          </w:p>
          <w:p w14:paraId="15660DB4">
            <w:pPr>
              <w:pStyle w:val="4"/>
              <w:jc w:val="left"/>
              <w:rPr>
                <w:rFonts w:hint="eastAsia" w:ascii="仿宋_GB2312" w:hAnsi="仿宋_GB2312" w:eastAsia="仿宋_GB2312" w:cs="仿宋_GB2312"/>
                <w:highlight w:val="none"/>
                <w:lang w:eastAsia="zh-CN"/>
              </w:rPr>
            </w:pPr>
            <w:r>
              <w:rPr>
                <w:rFonts w:hint="eastAsia" w:ascii="仿宋_GB2312" w:hAnsi="仿宋_GB2312" w:eastAsia="仿宋_GB2312" w:cs="仿宋_GB2312"/>
                <w:highlight w:val="none"/>
                <w:lang w:eastAsia="zh-CN"/>
              </w:rPr>
              <w:t>7、</w:t>
            </w:r>
            <w:r>
              <w:rPr>
                <w:rFonts w:hint="eastAsia" w:ascii="仿宋_GB2312" w:hAnsi="仿宋_GB2312" w:eastAsia="仿宋_GB2312" w:cs="仿宋_GB2312"/>
                <w:highlight w:val="none"/>
              </w:rPr>
              <w:t>★</w:t>
            </w:r>
            <w:r>
              <w:rPr>
                <w:rFonts w:hint="eastAsia" w:ascii="仿宋_GB2312" w:hAnsi="仿宋_GB2312" w:eastAsia="仿宋_GB2312" w:cs="仿宋_GB2312"/>
                <w:highlight w:val="none"/>
                <w:lang w:eastAsia="zh-CN"/>
              </w:rPr>
              <w:t>支持外联摆渡功能，支持接收外联告警平台的违规信息，并同步给边界网关。</w:t>
            </w:r>
          </w:p>
          <w:p w14:paraId="0159E2E9">
            <w:pPr>
              <w:pStyle w:val="4"/>
              <w:jc w:val="left"/>
              <w:rPr>
                <w:rFonts w:hint="eastAsia" w:ascii="仿宋_GB2312" w:hAnsi="仿宋_GB2312" w:eastAsia="仿宋_GB2312" w:cs="仿宋_GB2312"/>
                <w:highlight w:val="none"/>
                <w:lang w:eastAsia="zh-CN"/>
              </w:rPr>
            </w:pPr>
            <w:r>
              <w:rPr>
                <w:rFonts w:hint="eastAsia" w:ascii="仿宋_GB2312" w:hAnsi="仿宋_GB2312" w:eastAsia="仿宋_GB2312" w:cs="仿宋_GB2312"/>
                <w:highlight w:val="none"/>
                <w:lang w:eastAsia="zh-CN"/>
              </w:rPr>
              <w:t>8、支持事件告警配置，可自定义告警内容，包含事件分类、事件名称、告警级别等，并支持告警弹窗。</w:t>
            </w:r>
          </w:p>
          <w:p w14:paraId="3A3C4B4C">
            <w:pPr>
              <w:pStyle w:val="4"/>
              <w:jc w:val="left"/>
              <w:rPr>
                <w:rFonts w:hint="eastAsia" w:ascii="仿宋_GB2312" w:hAnsi="仿宋_GB2312" w:eastAsia="仿宋_GB2312" w:cs="仿宋_GB2312"/>
                <w:highlight w:val="none"/>
                <w:lang w:eastAsia="zh-CN"/>
              </w:rPr>
            </w:pPr>
            <w:r>
              <w:rPr>
                <w:rFonts w:hint="eastAsia" w:ascii="仿宋_GB2312" w:hAnsi="仿宋_GB2312" w:eastAsia="仿宋_GB2312" w:cs="仿宋_GB2312"/>
                <w:highlight w:val="none"/>
                <w:lang w:eastAsia="zh-CN"/>
              </w:rPr>
              <w:t>9、 支持日志分类管理，导入/导出，支持SNMP (vl/2c/v3)管理，支持syslog方式上报指定的日志内容到多个日志服务器；</w:t>
            </w:r>
          </w:p>
          <w:p w14:paraId="1723288A">
            <w:pPr>
              <w:pStyle w:val="4"/>
              <w:jc w:val="left"/>
              <w:rPr>
                <w:rFonts w:hint="eastAsia" w:ascii="仿宋_GB2312" w:hAnsi="仿宋_GB2312" w:eastAsia="仿宋_GB2312" w:cs="仿宋_GB2312"/>
                <w:highlight w:val="none"/>
                <w:lang w:eastAsia="zh-CN"/>
              </w:rPr>
            </w:pPr>
            <w:r>
              <w:rPr>
                <w:rFonts w:hint="eastAsia" w:ascii="仿宋_GB2312" w:hAnsi="仿宋_GB2312" w:eastAsia="仿宋_GB2312" w:cs="仿宋_GB2312"/>
                <w:highlight w:val="none"/>
                <w:lang w:eastAsia="zh-CN"/>
              </w:rPr>
              <w:t>10、</w:t>
            </w:r>
            <w:r>
              <w:rPr>
                <w:rFonts w:hint="eastAsia" w:ascii="仿宋_GB2312" w:hAnsi="仿宋_GB2312" w:eastAsia="仿宋_GB2312" w:cs="仿宋_GB2312"/>
                <w:highlight w:val="none"/>
              </w:rPr>
              <w:t>★</w:t>
            </w:r>
            <w:r>
              <w:rPr>
                <w:rFonts w:hint="eastAsia" w:ascii="仿宋_GB2312" w:hAnsi="仿宋_GB2312" w:eastAsia="仿宋_GB2312" w:cs="仿宋_GB2312"/>
                <w:highlight w:val="none"/>
                <w:lang w:eastAsia="zh-CN"/>
              </w:rPr>
              <w:t>支持通过平台直接对本级边界网关进行升级，降低运维难度。</w:t>
            </w:r>
          </w:p>
          <w:p w14:paraId="45DF9D02">
            <w:pPr>
              <w:pStyle w:val="4"/>
              <w:jc w:val="left"/>
              <w:rPr>
                <w:rFonts w:hint="eastAsia" w:ascii="仿宋_GB2312" w:hAnsi="仿宋_GB2312" w:eastAsia="仿宋_GB2312" w:cs="仿宋_GB2312"/>
                <w:highlight w:val="none"/>
                <w:lang w:eastAsia="zh-CN"/>
              </w:rPr>
            </w:pPr>
            <w:r>
              <w:rPr>
                <w:rFonts w:hint="eastAsia" w:ascii="仿宋_GB2312" w:hAnsi="仿宋_GB2312" w:eastAsia="仿宋_GB2312" w:cs="仿宋_GB2312"/>
                <w:highlight w:val="none"/>
                <w:lang w:eastAsia="zh-CN"/>
              </w:rPr>
              <w:t>11、支持系统配置备份、导入和导出，支持一键初始化系统配置，支持系统调试，可通过管理页 面直接导出调试日志，以及管理页面抓取导出指定网口报文便于问题排障；</w:t>
            </w:r>
          </w:p>
          <w:p w14:paraId="1F9C319C">
            <w:pPr>
              <w:pStyle w:val="4"/>
              <w:jc w:val="left"/>
              <w:rPr>
                <w:rFonts w:hint="eastAsia" w:ascii="仿宋_GB2312" w:hAnsi="仿宋_GB2312" w:eastAsia="仿宋_GB2312" w:cs="仿宋_GB2312"/>
                <w:highlight w:val="none"/>
                <w:lang w:eastAsia="zh-CN"/>
              </w:rPr>
            </w:pPr>
            <w:r>
              <w:rPr>
                <w:rFonts w:hint="eastAsia" w:ascii="仿宋_GB2312" w:hAnsi="仿宋_GB2312" w:eastAsia="仿宋_GB2312" w:cs="仿宋_GB2312"/>
                <w:highlight w:val="none"/>
                <w:lang w:eastAsia="zh-CN"/>
              </w:rPr>
              <w:t>“★”项须提供功能证明材料（</w:t>
            </w:r>
            <w:r>
              <w:rPr>
                <w:rFonts w:hint="eastAsia" w:ascii="仿宋_GB2312" w:hAnsi="仿宋_GB2312" w:eastAsia="仿宋_GB2312" w:cs="仿宋_GB2312"/>
                <w:highlight w:val="none"/>
                <w:lang w:val="en-US" w:eastAsia="zh-CN"/>
              </w:rPr>
              <w:t>系统功能截图或检测报告等</w:t>
            </w:r>
            <w:r>
              <w:rPr>
                <w:rFonts w:hint="eastAsia" w:ascii="仿宋_GB2312" w:hAnsi="仿宋_GB2312" w:eastAsia="仿宋_GB2312" w:cs="仿宋_GB2312"/>
                <w:highlight w:val="none"/>
                <w:lang w:eastAsia="zh-CN"/>
              </w:rPr>
              <w:t>），否则视为无效响应。</w:t>
            </w:r>
          </w:p>
        </w:tc>
      </w:tr>
      <w:tr w14:paraId="6821DC6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3"/>
          </w:tcPr>
          <w:p w14:paraId="7850B6E8">
            <w:pPr>
              <w:pStyle w:val="4"/>
              <w:jc w:val="left"/>
              <w:rPr>
                <w:rFonts w:hint="eastAsia" w:ascii="仿宋_GB2312" w:hAnsi="仿宋_GB2312" w:eastAsia="仿宋_GB2312" w:cs="仿宋_GB2312"/>
                <w:highlight w:val="none"/>
                <w:lang w:eastAsia="zh-CN"/>
              </w:rPr>
            </w:pPr>
            <w:r>
              <w:rPr>
                <w:rFonts w:hint="eastAsia" w:ascii="仿宋_GB2312" w:hAnsi="仿宋_GB2312" w:eastAsia="仿宋_GB2312" w:cs="仿宋_GB2312"/>
                <w:highlight w:val="none"/>
                <w:lang w:eastAsia="zh-CN"/>
              </w:rPr>
              <w:t>“★”项须提供功能证明材料，否则视为无效响应。</w:t>
            </w:r>
          </w:p>
        </w:tc>
      </w:tr>
      <w:bookmarkEnd w:id="0"/>
    </w:tbl>
    <w:p w14:paraId="1EEDC56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3745FE"/>
    <w:rsid w:val="61932B55"/>
    <w:rsid w:val="777F28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1209</Words>
  <Characters>1266</Characters>
  <Lines>0</Lines>
  <Paragraphs>0</Paragraphs>
  <TotalTime>0</TotalTime>
  <ScaleCrop>false</ScaleCrop>
  <LinksUpToDate>false</LinksUpToDate>
  <CharactersWithSpaces>1278</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2026-10-30T09:53:00Z</dcterms:created>
  <dc:creator>Administrator</dc:creator>
  <cp:lastModifiedBy>皕五</cp:lastModifiedBy>
  <dcterms:modified xsi:type="dcterms:W3CDTF">2026-10-30T09:55:46Z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KSOTemplateDocerSaveRecord">
    <vt:lpwstr>eyJoZGlkIjoiMmExNjc2NDkyNTU3MTA2YTgzZmJiNWY5NGMyMWE3ZDgiLCJ1c2VySWQiOiIzODgwMTkwMjAifQ==</vt:lpwstr>
  </property>
  <property fmtid="{D5CDD505-2E9C-101B-9397-08002B2CF9AE}" pid="4" name="ICV">
    <vt:lpwstr>96635D4096F2482FAD62FB7B3976BB26_12</vt:lpwstr>
  </property>
</Properties>
</file>