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版本号：JXRC-26052320260521002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教师队伍及校园长能力提升培训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JXRC-260523</w:t>
      </w:r>
      <w:r>
        <w:br/>
      </w:r>
      <w:r>
        <w:br/>
      </w:r>
      <w:r>
        <w:br/>
      </w:r>
    </w:p>
    <w:p>
      <w:pPr>
        <w:pStyle w:val="null3"/>
        <w:jc w:val="center"/>
        <w:outlineLvl w:val="2"/>
      </w:pPr>
      <w:r>
        <w:rPr>
          <w:rFonts w:ascii="仿宋_GB2312" w:hAnsi="仿宋_GB2312" w:cs="仿宋_GB2312" w:eastAsia="仿宋_GB2312"/>
          <w:sz w:val="28"/>
          <w:b/>
        </w:rPr>
        <w:t>西安市长安区教师进修学校</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西安市长安区教师进修学校</w:t>
      </w:r>
      <w:r>
        <w:rPr>
          <w:rFonts w:ascii="仿宋_GB2312" w:hAnsi="仿宋_GB2312" w:cs="仿宋_GB2312" w:eastAsia="仿宋_GB2312"/>
        </w:rPr>
        <w:t>委托，拟对</w:t>
      </w:r>
      <w:r>
        <w:rPr>
          <w:rFonts w:ascii="仿宋_GB2312" w:hAnsi="仿宋_GB2312" w:cs="仿宋_GB2312" w:eastAsia="仿宋_GB2312"/>
        </w:rPr>
        <w:t>教师队伍及校园长能力提升培训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JXRC-260523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教师队伍及校园长能力提升培训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根据我区基础教育教学改革与发展需要，结合不同学段、不同岗位人员实际需求，各项培训坚持“ 面向全员、突出骨干、倾斜乡村、关注薄弱、注重实效”的原则，科学设置培训项目，对全区中小学幼儿园教师开展一轮培训，落实中小学教师每5年不少于360学时的全员培训计划。通过培训，提高各类人员持证上岗率，促进教师专业理念有转变，专业知识有拓展，专业能力有提升；营造有利于教师终生学习和可持续发展的良好环境，培育师德修养高、业务素质精、教科研能力强，能适应新时代长安教育高质量发展要求的教师队伍。此次培训共五大系列，分别为：1.“长安教育大讲堂”系列培训：邀请全国著名的教育家、名师开展理念引领培训；2.头雁领航系列培训：通过“集中面授+跟岗实习+返岗实践+教育考核”的方式切实提升学校（幼儿园）领导干部的领导能力；3.骨干引领系列培训：借助我区名校（园）长、名师工作室资源助推骨干教师发挥辐射引领作用；4.专业提升系列培训：解决学科教师的教育教学困惑，适当向乡村薄弱学校和薄弱学科倾斜，为基层教师教育赋能；5.新教师培育系列培训：助力新教师提升师德修养、提高教学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采购包1（域外培训）：属于专门面向中小企业采购。</w:t>
      </w:r>
    </w:p>
    <w:p>
      <w:pPr>
        <w:pStyle w:val="null3"/>
      </w:pPr>
      <w:r>
        <w:rPr>
          <w:rFonts w:ascii="仿宋_GB2312" w:hAnsi="仿宋_GB2312" w:cs="仿宋_GB2312" w:eastAsia="仿宋_GB2312"/>
        </w:rPr>
        <w:t>采购包2（区内培训）：属于专门面向中小企业采购。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2025年11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6、参加本次政府采购活动前三年内，在经营活动中没有重大违法记录：供应商参加本次政府采购活动前三年内，在经营活动中没有重大违法记录，须提供《无重大违法记录声明》。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2025年11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6、参加本次政府采购活动前三年内，在经营活动中没有重大违法记录：供应商参加本次政府采购活动前三年内，在经营活动中没有重大违法记录，须提供《无重大违法记录声明》。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西安市长安区教师进修学校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西安市长安区青年南街103号西安市长安区教师进修学校</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029-85292967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029- 85645891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采购包2：1,220,000.00元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西安市长安区教师进修学校</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西安市长安区教师进修学校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西安市长安区教师进修学校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 合同； (2) 合同附件； (3) 招投标文件； (4) 国内相应的标准、规范。 验收方式： (1) 方案落实程度：培训是否严格按照投标方案进行响应，包括培训内容、培训方式、培训时间安排等方面是否与方案一致。 (2) 课程完成率：规定的培训课程是否全部完成，有无缺课、漏课现象。 (3) 资质与能力：培训教师具备相关专业知识和丰富的教学经验，拥有相应的资质证书或行业认可的资格。 (4) 教学效果：培训教师的教学方法得当，能够清晰地传授知识和技能，激发学员的学习兴趣，解答学员的疑问。 (5) 学员参与度：统计出勤情况，学员的出勤记录良好，缺勤率控制在一定范围内。 (6) 培训内容：①针对性：培训内容紧密围绕教师的实际需求和教学工作中的问题，具有较强的针对性和实用性；②系统性：培训内容结构合理，具有系统性和逻辑性，能够帮助教师全面提升专业素养和教学能力。 (7) 培训效果：①知识与技能提升：通过考试、考核等方式，检验学员在专业知识、教学技能等方面是否有明显的提升；②学员满意度：通过问卷调查、学员访谈等方式，了解学员对培训的满意度，包括对培训内容、师资、组织管理等方面的评价。 (8) 培训管理与保障：①组织管理：培训组织工作严密，管理规范，各项规章制度健全，能够及时解决培训过程中出现的问题；②后勤保障：培训场地、设备等硬件设施满足培训需求，提供良好的学习环境。同时，在餐饮、住宿等方面提供周到的服务，确保学员能够全身心投入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 合同； (2) 合同附件； (3) 招投标文件； (4) 国内相应的标准、规范。 验收方式： (1) 方案落实程度：培训是否严格按照投标方案进行响应，包括培训内容、培训方式、培训时间安排等方面是否与方案一致。 (2) 课程完成率：规定的培训课程是否全部完成，有无缺课、漏课现象。 (3) 资质与能力：培训教师具备相关专业知识和丰富的教学经验，拥有相应的资质证书或行业认可的资格。 (4) 教学效果：培训教师的教学方法得当，能够清晰地传授知识和技能，激发学员的学习兴趣，解答学员的疑问。 (5) 学员参与度：统计出勤情况，学员的出勤记录良好，缺勤率控制在一定范围内。 (6) 培训内容：①针对性：培训内容紧密围绕教师的实际需求和教学工作中的问题，具有较强的针对性和实用性；②系统性：培训内容结构合理，具有系统性和逻辑性，能够帮助教师全面提升专业素养和教学能力。 (7) 培训效果：①知识与技能提升：通过考试、考核等方式，检验学员在专业知识、教学技能等方面是否有明显的提升；②学员满意度：通过问卷调查、学员访谈等方式，了解学员对培训的满意度，包括对培训内容、师资、组织管理等方面的评价。 (8) 培训管理与保障：①组织管理：培训组织工作严密，管理规范，各项规章制度健全，能够及时解决培训过程中出现的问题；②后勤保障：培训场地、设备等硬件设施满足培训需求，提供良好的学习环境。同时，在餐饮、住宿等方面提供周到的服务，确保学员能够全身心投入培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根据我区基础教育教学改革与发展需要，结合不同学段、不同岗位人员实际需求，各项培训坚持“ 面向全员、突出骨干、倾斜乡村、关注薄弱、注重实效”的原则，科学设置培训项目，对全区中小学幼儿园教师开展一轮培训，落实中小学教师每5年不少于360学时的全员培训计划。通过培训，提高各类人员持证上岗率，促进教师专业理念有转变，专业知识有拓展，专业能力有提升；营造有利于教师终生学习和可持续发展的良好环境，培育师德修养高、业务素质精、教科研能力强，能适应新时代长安教育高质量发展要求的教师队伍。此次培训共五大系列，分别为：1.“长安教育大讲堂”系列培训：邀请全国著名的教育家、名师开展理念引领培训；2.头雁领航系列培训：通过“集中面授+跟岗实习+返岗实践+教育考核”的方式切实提升学校（幼儿园）领导干部的领导能力；3.骨干引领系列培训：借助我区名校（园）长、名师工作室资源助推骨干教师发挥辐射引领作用；4.专业提升系列培训：解决学科教师的教育教学困惑，适当向乡村薄弱学校和薄弱学科倾斜，为基层教师教育赋能；5.新教师培育系列培训：助力新教师提升师德修养、提高教学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域外培训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区内培训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标的名称：域外培训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0"/>
              <w:gridCol w:w="181"/>
              <w:gridCol w:w="572"/>
              <w:gridCol w:w="342"/>
              <w:gridCol w:w="342"/>
              <w:gridCol w:w="189"/>
              <w:gridCol w:w="229"/>
              <w:gridCol w:w="266"/>
              <w:gridCol w:w="306"/>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培训类别</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培训内容</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培训对象</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培训方式</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培训人数（人）</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计划培训时间</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培训时长（天）</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备注</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81"/>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头雁领航</w:t>
                  </w:r>
                  <w:r>
                    <w:br/>
                  </w:r>
                  <w:r>
                    <w:rPr>
                      <w:rFonts w:ascii="仿宋_GB2312" w:hAnsi="仿宋_GB2312" w:cs="仿宋_GB2312" w:eastAsia="仿宋_GB2312"/>
                      <w:sz w:val="24"/>
                    </w:rPr>
                    <w:t xml:space="preserve"> 系列</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乡村学校校（园）长管理能力提升培训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中小学校长、幼儿园园长</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集中培训+实地考察+返岗实践</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交通费各单位自理</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81"/>
                  <w:vMerge/>
                  <w:tcBorders>
                    <w:top w:val="none" w:color="000000" w:sz="4"/>
                    <w:left w:val="none" w:color="000000" w:sz="4"/>
                    <w:bottom w:val="none" w:color="000000" w:sz="4"/>
                    <w:right w:val="single" w:color="000000" w:sz="4"/>
                  </w:tcBorders>
                </w:tcPr>
                <w:p/>
              </w:tc>
              <w:tc>
                <w:tcPr>
                  <w:tcW w:type="dxa" w:w="572"/>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乡村优秀班主任能力提升培训</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中小学优秀班主任</w:t>
                  </w:r>
                </w:p>
              </w:tc>
              <w:tc>
                <w:tcPr>
                  <w:tcW w:type="dxa" w:w="342"/>
                  <w:vMerge/>
                  <w:tcBorders>
                    <w:top w:val="none" w:color="000000" w:sz="4"/>
                    <w:left w:val="none" w:color="000000" w:sz="4"/>
                    <w:bottom w:val="single" w:color="000000" w:sz="4"/>
                    <w:right w:val="single" w:color="000000" w:sz="4"/>
                  </w:tcBorders>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交通费各单位自理</w:t>
                  </w:r>
                </w:p>
              </w:tc>
            </w:tr>
            <w:tr>
              <w:tc>
                <w:tcPr>
                  <w:tcW w:type="dxa" w:w="120"/>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p>
              </w:tc>
              <w:tc>
                <w:tcPr>
                  <w:tcW w:type="dxa" w:w="1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骨干引领系列</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中小学毕业年级优秀学科教师素养提升培训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中小学毕业年级优秀学科教师</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集中培训+实地考察+返岗实践</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交通费各单位自理</w:t>
                  </w:r>
                </w:p>
              </w:tc>
            </w:tr>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81"/>
                  <w:vMerge/>
                  <w:tcBorders>
                    <w:top w:val="singl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乡村骨干教师素养提升培训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中小学骨干教师</w:t>
                  </w:r>
                </w:p>
              </w:tc>
              <w:tc>
                <w:tcPr>
                  <w:tcW w:type="dxa" w:w="342"/>
                  <w:vMerge/>
                  <w:tcBorders>
                    <w:top w:val="none" w:color="000000" w:sz="4"/>
                    <w:left w:val="none" w:color="000000" w:sz="4"/>
                    <w:bottom w:val="single" w:color="000000" w:sz="4"/>
                    <w:right w:val="single" w:color="000000" w:sz="4"/>
                  </w:tcBorders>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交通费各单位自理</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标的名称：区内培训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0"/>
              <w:gridCol w:w="185"/>
              <w:gridCol w:w="528"/>
              <w:gridCol w:w="342"/>
              <w:gridCol w:w="318"/>
              <w:gridCol w:w="250"/>
              <w:gridCol w:w="229"/>
              <w:gridCol w:w="266"/>
              <w:gridCol w:w="306"/>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85"/>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培训类别</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培训内容</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培训对象</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培训方式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培训人数（人）</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计划培训时间</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培训时长（天）</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both"/>
                  </w:pPr>
                  <w:r>
                    <w:rPr>
                      <w:rFonts w:ascii="仿宋_GB2312" w:hAnsi="仿宋_GB2312" w:cs="仿宋_GB2312" w:eastAsia="仿宋_GB2312"/>
                      <w:sz w:val="24"/>
                    </w:rPr>
                    <w:t>备注</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“长安教育大讲堂”</w:t>
                  </w:r>
                  <w:r>
                    <w:br/>
                  </w:r>
                  <w:r>
                    <w:rPr>
                      <w:rFonts w:ascii="仿宋_GB2312" w:hAnsi="仿宋_GB2312" w:cs="仿宋_GB2312" w:eastAsia="仿宋_GB2312"/>
                      <w:sz w:val="24"/>
                    </w:rPr>
                    <w:t xml:space="preserve"> 系列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长安教育名师大讲堂                      （第十五至十六期）</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校（园）长、中层干部及教师代表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月--12月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每期0.5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头雁领航</w:t>
                  </w:r>
                  <w:r>
                    <w:br/>
                  </w:r>
                  <w:r>
                    <w:rPr>
                      <w:rFonts w:ascii="仿宋_GB2312" w:hAnsi="仿宋_GB2312" w:cs="仿宋_GB2312" w:eastAsia="仿宋_GB2312"/>
                      <w:sz w:val="24"/>
                    </w:rPr>
                    <w:t xml:space="preserve"> 系列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乡村学校安全管理者业务能力提升培训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中小学（幼儿园）分管安全工作的校（园）长或主任</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幼儿园家园共育系列培训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幼儿园园长、副园长及教师代表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骨干引领系列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中小学骨干教师专业能力提升培训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近三年获得“三级三类”骨干教师称号的教师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专业提升</w:t>
                  </w:r>
                  <w:r>
                    <w:br/>
                  </w:r>
                  <w:r>
                    <w:rPr>
                      <w:rFonts w:ascii="仿宋_GB2312" w:hAnsi="仿宋_GB2312" w:cs="仿宋_GB2312" w:eastAsia="仿宋_GB2312"/>
                      <w:sz w:val="24"/>
                    </w:rPr>
                    <w:t xml:space="preserve"> 系列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中小学、幼儿园教师师德师风专题培训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月--8月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教师心理健康教育培训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月--8月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班主任核心素养能力提升培训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中小学班主任</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月--8月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学科教师教科研能力提升培训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中小学教研组长、教研室教研员</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幼小衔接专题培训</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小学初始年级教师、幼儿园大班教师</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科学技术教育教师专业能力提升培训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中小学科技教育教师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中小学体音美教师专业能力提升培训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中小学体音美教师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中小学（幼儿园）财务人员能力提升培训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中小学（幼儿园）财务人员</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学生发展指导规划培训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全区高中负责人、分管领导、教师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新教师培育系列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2026</w:t>
                  </w:r>
                  <w:r>
                    <w:rPr>
                      <w:rFonts w:ascii="仿宋_GB2312" w:hAnsi="仿宋_GB2312" w:cs="仿宋_GB2312" w:eastAsia="仿宋_GB2312"/>
                      <w:sz w:val="24"/>
                    </w:rPr>
                    <w:t>年新入职教师岗前培训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2026</w:t>
                  </w:r>
                  <w:r>
                    <w:rPr>
                      <w:rFonts w:ascii="仿宋_GB2312" w:hAnsi="仿宋_GB2312" w:cs="仿宋_GB2312" w:eastAsia="仿宋_GB2312"/>
                      <w:sz w:val="24"/>
                    </w:rPr>
                    <w:t>年新招录教师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集中培训+返岗实践</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含食宿</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185"/>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2024-2025</w:t>
                  </w:r>
                  <w:r>
                    <w:rPr>
                      <w:rFonts w:ascii="仿宋_GB2312" w:hAnsi="仿宋_GB2312" w:cs="仿宋_GB2312" w:eastAsia="仿宋_GB2312"/>
                      <w:sz w:val="24"/>
                    </w:rPr>
                    <w:t>年入职教师教育教学能力提升专项培训</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2024</w:t>
                  </w:r>
                  <w:r>
                    <w:rPr>
                      <w:rFonts w:ascii="仿宋_GB2312" w:hAnsi="仿宋_GB2312" w:cs="仿宋_GB2312" w:eastAsia="仿宋_GB2312"/>
                      <w:sz w:val="24"/>
                    </w:rPr>
                    <w:t>年和2025年入职教师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集中培训+返岗实践</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含午餐</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自签订合同之日起至培训结束，并评估验收完成之日止。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自签订合同之日起至培训结束，并评估验收完成之日止。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西安市长安区教师进修学校指定地点。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西安市长安区教师进修学校指定地点。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 合同； (2) 合同附件； (3) 招投标文件； (4) 国内相应的标准、规范。 验收方式： (1) 方案落实程度：培训是否严格按照投标方案进行响应，包括培训内容、培训方式、培训时间安排等方面是否与方案一致。 (2) 课程完成率：规定的培训课程是否全部完成，有无缺课、漏课现象。 (3) 资质与能力：培训教师具备相关专业知识和丰富的教学经验，拥有相应的资质证书或行业认可的资格。 (4) 教学效果：培训教师的教学方法得当，能够清晰地传授知识和技能，激发学员的学习兴趣，解答学员的疑问。 (5) 学员参与度：统计出勤情况，学员的出勤记录良好，缺勤率控制在一定范围内。 (6) 培训内容：①针对性：培训内容紧密围绕教师的实际需求和教学工作中的问题，具有较强的针对性和实用性；②系统性：培训内容结构合理，具有系统性和逻辑性，能够帮助教师全面提升专业素养和教学能力。 (7) 培训效果：①知识与技能提升：通过考试、考核等方式，检验学员在专业知识、教学技能等方面是否有明显的提升；②学员满意度：通过问卷调查、学员访谈等方式，了解学员对培训的满意度，包括对培训内容、师资、组织管理等方面的评价。 (8) 培训管理与保障：①组织管理：培训组织工作严密，管理规范，各项规章制度健全，能够及时解决培训过程中出现的问题；②后勤保障：培训场地、设备等硬件设施满足培训需求，提供良好的学习环境。同时，在餐饮、住宿等方面提供周到的服务，确保学员能够全身心投入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（1）合同； （2）合同附件； （3）招投标文件； （4）国内相应的标准、规范。 验收方式： （1）方案落实程度：培训是否严格按照投标方案进行响应，包括培训内容、培训方式、培训时间安排等方面是否与方案一致。 （2）课程完成率：规定的培训课程是否全部完成，有无缺课、漏课现象。 （3）资质与能力：培训教师具备相关专业知识和丰富的教学经验，拥有相应的资质证书或行业认可的资格。 （4）教学效果：培训教师的教学方法得当，能够清晰地传授知识和技能，激发学员的学习兴趣，解答学员的疑问。 （5）学员参与度：统计出勤情况，学员的出勤记录良好，缺勤率控制在一定范围内。 （6）培训内容：①针对性：培训内容紧密围绕教师的实际需求和教学工作中的问题，具有较强的针对性和实用性；②系统性：培训内容结构合理，具有系统性和逻辑性，能够帮助教师全面提升专业素养和教学能力。 （7）培训效果：①知识与技能提升：通过考试、考核等方式，检验学员在专业知识、教学技能等方面是否有明显的提升； ②学员满意度：通过问卷调查、学员访谈等方式，了解学员对培训的满意度，包括对培训内容、师资、组织管理等方面的评价。 （8）培训管理与保障：①组织管理：培训组织工作严密，管理规范，各项规章制度健全，能够及时解决培训过程中出现的问题；②后勤保障：培训场地、设备等硬件设施满足培训需求，提供良好的学习环境。同时，在餐饮、住宿等方面提供周到的服务，确保学员能够全身心投入培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进度款，合同签订后，培训交付进程至总项目的50%时，经采购人验收合格后，成交供应商开具合同总金额50%的发票至采购人，达到付款条件起60个工作日内，支付合同总金额的50.0%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进度款，成交供应商培训交付全部完成时，经采购人验收合格后，在采购人收到发票后，达到付款条件起60个工作日内，支付合同总金额的50.0%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进度款，合同签订后，培训交付进程至总项目的50%时，经采购人验收合格后，成交供应商开具合同总金额50%的发票至采购人，达到付款条件起60个工作日内，支付合同总金额的50.0%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进度款，成交供应商培训交付全部完成时，经采购人验收合格后，在采购人收到发票后，达到付款条件起60个工作日内，支付合同总金额的50.0%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2、供应商应按合同约定时间完成各阶段合同义务，培训课程，若发生延迟，采购人有权单方解除本合同，供应商应按照合同总价款的5%向采购人支付违约金，并赔偿因此给采购人造成的损失。 3、若供应商未经采购人同意泄露本合同约定的任何秘密信息的，供应商应按照合同总价款的10%向采购人支付违约金，并赔偿因此给采购人造成的损失。 4、供应商保证向采购人开具发票的真实性、合法性，若供应商向采购人开具的发票存在真实性、合法性问题，给采购人造成损失的，供应商应按合同总价款的10%向采购人支付违约金，违约金不足以弥补损失的，供应商还应承担相应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1、违约责任按《中华人民共和国民法典》处理中的相关条款执行。 2、供应商应按合同约定时间完成各阶段合同义务，培训课程，若发生延迟，采购人有权单方解除本合同，供应商应按照合同总价款的5%向采购人支付违约金，并赔偿因此给采购人造成的损失。 3、若供应商未经采购人同意泄露本合同约定的任何秘密信息的，供应商应按照合同总价款的10%向采购人支付违约金，并赔偿因此给采购人造成的损失。 4、供应商保证向采购人开具发票的真实性、合法性，若供应商向采购人开具的发票存在真实性、合法性问题，给采购人造成损失的，供应商应按合同总价款的10%向采购人支付违约金，违约金不足以弥补损失的，供应商还应承担相应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采购包1和采购包2： 1、如投标人对多个采购包进行投标，仅可以中标 1 个采购包。 2、款项结算(因系统编制受限，招标文件前后不一致的以此处为准） 付款条件说明：合同签订后，成交供应商培训交付进程至总项目的50%时，经采购人验收合格后，成交供应商开具合同总价数50%的金额发票交至采购人，采购人在收到发票后60日内向成交供应商支付此金额；成交供应商培训交付全部完成时，经采购人验收合格后，采购人在收到发票后60日内向成交供应商一次性支付剩余合同总价的50% 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提供自2025年11月1日以来至少一个月已缴纳的社会保障资金的证明（社会保障资金缴存单据或社保机构开具的社会保险参保缴费情况证明等)；依法不需要缴纳社会保障资金的供应商应提供相关证明文件。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提供自2025年11月1日以来至少一个月已缴纳的社会保障资金的证明（社会保障资金缴存单据或社保机构开具的社会保险参保缴费情况证明等)；依法不需要缴纳社会保障资金的供应商应提供相关证明文件。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服务响应偏离表 开标一览表 中小企业声明函 投标人承诺书 投标人企业关联关系声明函 投标函 其他材料 残疾人福利性单位声明函 服务方案 标的清单 投标人业绩 投标文件封面 投标人基本信息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招标文件的其他实质性要求，对于其中任意一项条款，供应商如不满足，其响应文件可以被否决</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服务要求响应</w:t>
            </w:r>
          </w:p>
        </w:tc>
        <w:tc>
          <w:tcPr>
            <w:tcW w:type="dxa" w:w="3322"/>
          </w:tcPr>
          <w:p>
            <w:pPr>
              <w:pStyle w:val="null3"/>
            </w:pPr>
            <w:r>
              <w:rPr>
                <w:rFonts w:ascii="仿宋_GB2312" w:hAnsi="仿宋_GB2312" w:cs="仿宋_GB2312" w:eastAsia="仿宋_GB2312"/>
              </w:rPr>
              <w:t>投标人必须满足招标文件中3.2.2服务要求</w:t>
            </w:r>
          </w:p>
        </w:tc>
        <w:tc>
          <w:tcPr>
            <w:tcW w:type="dxa" w:w="1661"/>
          </w:tcPr>
          <w:p>
            <w:pPr>
              <w:pStyle w:val="null3"/>
            </w:pPr>
            <w:r>
              <w:rPr>
                <w:rFonts w:ascii="仿宋_GB2312" w:hAnsi="仿宋_GB2312" w:cs="仿宋_GB2312" w:eastAsia="仿宋_GB2312"/>
              </w:rPr>
              <w:t>服务响应偏离表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服务响应偏离表 商务响应偏离表 开标一览表 中小企业声明函 投标人承诺书 投标人企业关联关系声明函 投标函 其他材料 残疾人福利性单位声明函 服务方案 标的清单 投标人业绩 投标文件封面 投标人基本信息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招标文件的其他实质性要求，对于其中任意一项条款，供应商如不满足，其响应文件可以被否决</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服务要求响应</w:t>
            </w:r>
          </w:p>
        </w:tc>
        <w:tc>
          <w:tcPr>
            <w:tcW w:type="dxa" w:w="3322"/>
          </w:tcPr>
          <w:p>
            <w:pPr>
              <w:pStyle w:val="null3"/>
            </w:pPr>
            <w:r>
              <w:rPr>
                <w:rFonts w:ascii="仿宋_GB2312" w:hAnsi="仿宋_GB2312" w:cs="仿宋_GB2312" w:eastAsia="仿宋_GB2312"/>
              </w:rPr>
              <w:t>投标人必须满足招标文件中3.2.2服务要求</w:t>
            </w:r>
          </w:p>
        </w:tc>
        <w:tc>
          <w:tcPr>
            <w:tcW w:type="dxa" w:w="1661"/>
          </w:tcPr>
          <w:p>
            <w:pPr>
              <w:pStyle w:val="null3"/>
            </w:pPr>
            <w:r>
              <w:rPr>
                <w:rFonts w:ascii="仿宋_GB2312" w:hAnsi="仿宋_GB2312" w:cs="仿宋_GB2312" w:eastAsia="仿宋_GB2312"/>
              </w:rPr>
              <w:t>服务响应偏离表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应建立完善的服务方案，内容包括但不限于：①对培训背景、目标、思路的了解情况；②拟定培训方案；③培训课程设置的合理性；④培训形式是否具有针对性；⑤投标人提供培训技术方案（培训方式）。 二、评审标准 1、完整性：方案须全面合理，架构完整，对评审内容中的各项要求有详细描述； 2、可实施性：切合本项目实际情况，实施步骤清晰、合理； 3、针对性：方案能够紧扣本项目所需的实际情况，内容科学合理。 三、赋分依据（满分30分） 上述5项评审内容全部满足评审标准得30分；每有一项评审内容缺项扣6分。 每一项评审内容完整全面，结合本项目实际情况，可实施性强、科学合理得6分；内容比较完整全面，结合本项目实际情况，可实施性比较强得4分；内容存在缺陷得2分。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投标人提供在培训期间，安全管理措施及应急服务保障措施，要求合理、规范、可行性强。 投标人针对不同等级（紧急、严重、一般）的突发情况，有详细的应急措施和解决方案。内容包含：①后勤保障、处理流程、受理方法及响应时间；②其他应急突发状况处置措施（包括但不限于供应商内部管理流程和工具配备等环节的紧急处理方案）。 二、评审标准 1、完整性：方案须全面合理，架构完整，对评审内容中的各项要求有详细描述； 2、可实施性：切合本项目实际情况，实施步骤清晰、合理； 3、针对性：方案能够紧扣本项目所需的实际情况，内容科学合理。 三、赋分依据（满分15分） 上述5项评审内容全部满足评审标准得15分；每有一项评审内容缺项扣7.5分。 每一项评审内容完整全面，结合本项目实际情况，可实施性强、科学合理得7.5分；内容比较完整全面，结合本项目实际情况，可实施性比较强得6分；内容存在缺陷得2分。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服务团队情况</w:t>
            </w:r>
          </w:p>
        </w:tc>
        <w:tc>
          <w:tcPr>
            <w:tcW w:type="dxa" w:w="2492"/>
          </w:tcPr>
          <w:p>
            <w:pPr>
              <w:pStyle w:val="null3"/>
            </w:pPr>
            <w:r>
              <w:rPr>
                <w:rFonts w:ascii="仿宋_GB2312" w:hAnsi="仿宋_GB2312" w:cs="仿宋_GB2312" w:eastAsia="仿宋_GB2312"/>
              </w:rPr>
              <w:t>一、评审内容 针对此次培训，能够组建优秀的教师团队，且具体切实可行。 二、赋分依据（满分23分） 1、（满分6分）投标人组织机构健全，具有满足培训全过程需要的专职管理团队，专职管理团队人数须达到10 人（含10人）以上得6分，5-9人得3分，0-4人得1分，未提供不得分（须提供本管理团队人员身份证复印件、学历证书、本单位投标前近3个月养老保险缴纳证明）； 2、（满分6分）投标人拟投入本项目的授课专家能满足授课要求，授课专家培训经验丰富，培训师资水平高得6分；培训师资水平一般得3分；培训师资水平较差得1分；未提供不得分（须提供授课人员身份证复印件、学历证书等证明材料）； 3、（满分5分）投标人拟投入本项目的培训师资水平高，教学师资经验丰富，培训团队专家具备正高级职称，每提供一个证书计0.5分，满分5分（须提供授课人员身份证复印件、职称证书）； 4、（满分6分）自2023年以来投标人跟本项目相关的得奖经历或授课老师获得教师培训相关单位颁发的各种荣（信）誉证书，提供复印件加盖投标人公章，每提供一个计2分，满分6分。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针对本项目服务内容及要求提出优于本项目基本要求的承诺，每提供一条得1分，满分2分；未提供不得分。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1、（满分5分）投标人针对本项目服务内容和要求，有切实可行的服务承诺及保障措施，确保培训的顺利进行，服务承诺及保障措施明确，且针对性和可行性较强得5分； 承诺及措施基本明确，针对性和可行性较一般得3分； 承诺及措施不明确，针对性和可行性较差得1分； 未提供得0分。 2、（满分5分）有完善的培训管理制度、经费管理制度、客户管理制度及其他相关管理制度，管理制度齐全、合理、切实可行得5分； 管理制度较齐全、合理、可行度一般得3分； 管理制度基本合理、可行度差得1分；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投标人提供自2023年5月1日至响应文件递交截止时间前（以合同签订时间为准）同类项目业绩，需提供完整有效的合同复印件，每提供一份得2分，最多得10分；未提供或提供材料不完整得0分。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价格分统一采用低价优先法计算，即满足招标文件要求且投标价格最低的投标报价为评标基准价，其价格分为满分。其他供应商的价格分统一按照下列公式计算：价格分=(评标基准价／投标报价)×10。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应建立完善的服务方案，内容包括但不限于：①对培训背景、目标、思路的了解情况；②拟定培训方案；③培训课程设置的合理性；④培训形式是否具有针对性；⑤投标人提供培训技术方案（培训方式）。 二、评审标准 1、完整性：方案须全面合理，架构完整，对评审内容中的各项要求有详细描述； 2、可实施性：切合本项目实际情况，实施步骤清晰、合理； 3、针对性：方案能够紧扣本项目所需的实际情况，内容科学合理。 三、赋分依据（满分30分） 上述5项评审内容全部满足评审标准得30分；每有一项评审内容缺项扣6分。 每一项评审内容完整全面，结合本项目实际情况，可实施性强、科学合理得6分；内容比较完整全面，结合本项目实际情况，可实施性比较强得5分；内容存在缺陷得2分。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投标人提供在培训期间，安全管理措施及应急服务保障措施，要求合理、规范、可行性强。 投标人针对不同等级（紧急、严重、一般）的突发情况，有详细的应急措施和解决方案。内容包含：①后勤保障、处理流程、受理方法及响应时间；②其他应急突发状况处置措施（包括但不限于供应商内部管理流程和工具配备等环节的紧急处理方案）。 二、评审标准 1、完整性：方案须全面合理，架构完整，对评审内容中的各项要求有详细描述； 2、可实施性：切合本项目实际情况，实施步骤清晰、合理； 3、针对性：方案能够紧扣本项目所需的实际情况，内容科学合理。 三、赋分依据（满分15分） 上述2项评审内容全部满足评审标准得15分；每有一项评审内容缺项扣7.5分。 每一项评审内容完整全面，结合本项目实际情况，可实施性强、科学合理得7.5分；内容比较完整全面，结合本项目实际情况，可实施性比较强得6分；内容存在缺陷得2分。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服务团队情况</w:t>
            </w:r>
          </w:p>
        </w:tc>
        <w:tc>
          <w:tcPr>
            <w:tcW w:type="dxa" w:w="2492"/>
          </w:tcPr>
          <w:p>
            <w:pPr>
              <w:pStyle w:val="null3"/>
            </w:pPr>
            <w:r>
              <w:rPr>
                <w:rFonts w:ascii="仿宋_GB2312" w:hAnsi="仿宋_GB2312" w:cs="仿宋_GB2312" w:eastAsia="仿宋_GB2312"/>
              </w:rPr>
              <w:t>一、评审内容 针对此次培训，能够组建优秀的教师团队，且具体切实可行。 二、赋分依据（满分23分） 1、（满分6分）投标人组织机构健全，具有满足培训全过程需要的专职管理团队，专职管理团队人数须达到10 人（含10人）以上得6分，5-9人得3分，0-4人得1分，未提供不得分（须提供本管理团队人员身份证复印件、学历证书、本单位投标前近3个月养老保险缴纳证明）； 2、（满分6分）投标人拟投入本项目的授课专家能满足授课要求，授课专家培训经验丰富，培训师资水平高得6分；培训师资水平一般得3分；培训师资水平较差得1分；未提供不得分（须提供授课人员身份证复印件、学历证书等证明材料）； 3、（满分5分）投标人拟投入本项目的培训师资水平高，教学师资经验丰富，培训团队专家具备正高级职称，每提供一个证书计0.5分，满分5分（须提供授课人员身份证复印件、职称证书）； 4、（满分6分）自2023年以来投标人跟本项目相关的得奖经历或授课老师获得教师培训相关单位颁发的各种荣（信）誉证书，提供复印件加盖投标人公章，每提供一个计2分，满分6分。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针对本项目服务内容及要求提出优于本项目基本要求的承诺，每提供一条得1分，满分2分；未提供不得分。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1、（满分5分）投标人针对本项目服务内容和要求，有切实可行的服务承诺及保障措施，确保培训的顺利进行，服务承诺及保障措施明确，且针对性和可行性较强得5分； 承诺及措施基本明确，针对性和可行性较一般得3分； 承诺及措施不明确，针对性和可行性较差得1分； 未提供得0分。 2、（满分5分）有完善的培训管理制度、经费管理制度、客户管理制度及其他相关管理制度，管理制度齐全、合理、切实可行得5分； 管理制度较齐全、合理、可行度一般得3分； 管理制度基本合理、可行度差得1分；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投标人提供自2023年5月1日至响应文件递交截止时间前（以合同签订时间为准）同类项目业绩，需提供完整有效的合同复印件，每提供一份得2分，最多得10分；未提供或提供材料不完整得0分。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价格分统一采用低价优先法计算，即满足招标文件要求且投标价格最低的投标报价为评标基准价，其价格分为满分。其他供应商的价格分统一按照下列公式计算：价格分=(评标基准价／投标报价)×10。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