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西安市精神卫生中心12356心理援助热线工作及休息区域改造项目竞争性磋商公告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12356心理援助热线工作及休息区域改造项目</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2026年09月21日 15时00分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项目编号：XAJG（ZFCG）-20260902</w:t>
      </w:r>
    </w:p>
    <w:p>
      <w:pPr>
        <w:pStyle w:val="null3"/>
      </w:pPr>
      <w:r>
        <w:rPr>
          <w:rFonts w:ascii="仿宋_GB2312" w:hAnsi="仿宋_GB2312" w:cs="仿宋_GB2312" w:eastAsia="仿宋_GB2312"/>
        </w:rPr>
        <w:t>项目名称：12356心理援助热线工作及休息区域改造项目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合同包1(西安市精神卫生中心 12356心理援助热线休息及工作区域改造项目):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400,000.00元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384,255.93元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其他建筑工程</w:t>
            </w:r>
          </w:p>
        </w:tc>
        <w:tc>
          <w:tcPr>
            <w:tcW w:type="dxa" w:w="1384"/>
          </w:tcPr>
          <w:p>
            <w:pPr>
              <w:pStyle w:val="null3"/>
            </w:pPr>
            <w:r>
              <w:rPr>
                <w:rFonts w:ascii="仿宋_GB2312" w:hAnsi="仿宋_GB2312" w:cs="仿宋_GB2312" w:eastAsia="仿宋_GB2312"/>
              </w:rPr>
              <w:t>12356心理援助热线工作及休息区改造工程</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400,000.00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自进场之日起45个日历日内竣工（具体服务起止日期可随合同签订时间相应顺延）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合同包1(西安市精神卫生中心 12356心理援助热线休息及工作区域改造项目)落实政府采购政策需满足的资格要求如下: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4）《国务院办公厅关于建立政府强制采购节能产品制度的通知》（国办发〔2007〕51号）；（5）《财政部关于促进政府采购公平竞争优化营商环境的通知》财库〔2019〕38号；（6）《关于落实降低企业杠杆率税收支持政策的通知》财税〔2016〕125号；（7）《关于促进残疾人就业政府采购政策的通知》财库〔2017〕141号；（8）《财政部 发展改革委 生态环境部市场监管总局关于调整优化节能产品、环境标志产品政府采购执行机制的通知》（财库〔2019〕9号）；（9）《财政部国务院扶贫办关于运用政府采购政策支持脱贫攻坚的通知》（财库〔2019〕27号）；（10）《政府采购质疑和投诉办法》（财政部第94号令）；(11《陕西省中小企业政府采购信用融资办法》（陕财办采〔2018〕23号）；（12）其他需要落实的政府采购政策，有新政策按最新政策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合同包1(西安市精神卫生中心 12356心理援助热线休息及工作区域改造项目)特定资格要求如下:</w:t>
      </w:r>
    </w:p>
    <w:p>
      <w:pPr>
        <w:pStyle w:val="null3"/>
        <w:ind w:left="480"/>
      </w:pPr>
      <w:r>
        <w:rPr>
          <w:rFonts w:ascii="仿宋_GB2312" w:hAnsi="仿宋_GB2312" w:cs="仿宋_GB2312" w:eastAsia="仿宋_GB2312"/>
        </w:rPr>
        <w:t>1、营业执照等主体资格证明文件：具有独立承担民事责任能力的法人、其他组织或自然人，并出具合法有效的统一社会信用代码的营业执照或事业单位法人证书等国家规定的相关证明，自然人参与的提供其身份证明；</w:t>
      </w:r>
      <w:r>
        <w:br/>
      </w:r>
      <w:r>
        <w:rPr>
          <w:rFonts w:ascii="仿宋_GB2312" w:hAnsi="仿宋_GB2312" w:cs="仿宋_GB2312" w:eastAsia="仿宋_GB2312"/>
        </w:rPr>
        <w:t>2、财务状况：提供2025年度的财务审计报告（至少包括资产负债表和利润表，成立时间至提交投标文件截止时间不足一年的可提供成立后任意时段的资产负债表），审计报告须具有注册会计师行业统一监管平台（http://acc.mof.gov.cn）赋予的验证码；或磋商前半年内其基本存款账户开户银行出具的资信证明；（以上三种形式的资料提供任何一种即可）；</w:t>
      </w:r>
      <w:r>
        <w:br/>
      </w:r>
      <w:r>
        <w:rPr>
          <w:rFonts w:ascii="仿宋_GB2312" w:hAnsi="仿宋_GB2312" w:cs="仿宋_GB2312" w:eastAsia="仿宋_GB2312"/>
        </w:rPr>
        <w:t>3、税收缴纳证明：提供磋商截止之日前一年内已缴纳的至少一个月的纳税证明或完税证明（任意税种），依法免税的单位应提供相关证明材料；</w:t>
      </w:r>
      <w:r>
        <w:br/>
      </w:r>
      <w:r>
        <w:rPr>
          <w:rFonts w:ascii="仿宋_GB2312" w:hAnsi="仿宋_GB2312" w:cs="仿宋_GB2312" w:eastAsia="仿宋_GB2312"/>
        </w:rPr>
        <w:t>4、社会保障资金缴纳证明：提供磋商截止之日前一年内已缴存的至少一个月的社会保障资金缴存单据或社保机构开具的社会保险参保缴费情况证明，依法不需要缴纳社会保障资金的单位应提供相关证明材料；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法定代表人授权书或法定代表人证明书：法定代表人（主要负责人）委托代理人参加磋商时，应提供法定代表人（主要负责人）委托授权书；法定代表人（主要负责人）亲自参加磋商时，应提供法定代表人（主要负责人）身份证明书；</w:t>
      </w:r>
      <w:r>
        <w:br/>
      </w:r>
      <w:r>
        <w:rPr>
          <w:rFonts w:ascii="仿宋_GB2312" w:hAnsi="仿宋_GB2312" w:cs="仿宋_GB2312" w:eastAsia="仿宋_GB2312"/>
        </w:rPr>
        <w:t>6、企业资质要求：供应商应具备建设行政主管部门颁发的合法有效的建筑工程施工总承包三级及以上资质或建筑装修装饰工程专业承包二级及以上资质，且具备建设行政主管部门颁发的有效的企业安全生产许可证；</w:t>
      </w:r>
      <w:r>
        <w:br/>
      </w:r>
      <w:r>
        <w:rPr>
          <w:rFonts w:ascii="仿宋_GB2312" w:hAnsi="仿宋_GB2312" w:cs="仿宋_GB2312" w:eastAsia="仿宋_GB2312"/>
        </w:rPr>
        <w:t>7、拟派项目负责人资格要求：拟派项目经理具备建筑工程二级及以上注册建造师证书，同时具备安全生产考核合格证书（B级），并在本单位注册且无在建工程（提供无在建承诺）；</w:t>
      </w:r>
      <w:r>
        <w:br/>
      </w:r>
      <w:r>
        <w:rPr>
          <w:rFonts w:ascii="仿宋_GB2312" w:hAnsi="仿宋_GB2312" w:cs="仿宋_GB2312" w:eastAsia="仿宋_GB2312"/>
        </w:rPr>
        <w:t>8、供应商资质基本信息及项目经理执业基本信息应在“陕西省住房和城乡建设厅（http://js.shaanxi.gov.cn/ ）陕西省建筑市场监管与诚信信息发布平台”可查询，且提供无不良记录查询截图；</w:t>
      </w:r>
      <w:r>
        <w:br/>
      </w:r>
      <w:r>
        <w:rPr>
          <w:rFonts w:ascii="仿宋_GB2312" w:hAnsi="仿宋_GB2312" w:cs="仿宋_GB2312" w:eastAsia="仿宋_GB2312"/>
        </w:rPr>
        <w:t>9、信用记录：投标供应商在磋商截止时间前不得为“信用中国”网站（www.creditchina.gov.cn ）（页面跳转至“中国执行信息网”http://zxgk.court.gov.cn/shixin）已列入失信被执行人和重大税收违法失信主体的投标供应商，不得为“中国政府采购网”（ww w.ccgp.gov.cn）已列入政府采购严重违法失信行为记录名单的投标供应商；（供应商无须提供，磋商现场查询）；</w:t>
      </w:r>
      <w:r>
        <w:br/>
      </w:r>
      <w:r>
        <w:rPr>
          <w:rFonts w:ascii="仿宋_GB2312" w:hAnsi="仿宋_GB2312" w:cs="仿宋_GB2312" w:eastAsia="仿宋_GB2312"/>
        </w:rPr>
        <w:t>10、中小企业声明函：本项目为专门面向中小企业；</w:t>
      </w:r>
      <w:r>
        <w:br/>
      </w:r>
      <w:r>
        <w:rPr>
          <w:rFonts w:ascii="仿宋_GB2312" w:hAnsi="仿宋_GB2312" w:cs="仿宋_GB2312" w:eastAsia="仿宋_GB2312"/>
        </w:rPr>
        <w:t>11、声明函：本项目不接受联合体投标；</w:t>
      </w:r>
      <w:r>
        <w:br/>
      </w:r>
      <w:r>
        <w:rPr>
          <w:rFonts w:ascii="仿宋_GB2312" w:hAnsi="仿宋_GB2312" w:cs="仿宋_GB2312" w:eastAsia="仿宋_GB2312"/>
        </w:rPr>
        <w:t>12、供应商承诺函：供应商非采购人单位职工及家属投资开办，其法人、股东和经营管理人员非采购人单位职工及家属。</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2026年09月10日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17:00:00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2026年09月21日 15时00分00秒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2026年09月21日 15时00分00秒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shd w:fill="FFFFFF" w:val="clear"/>
        </w:rPr>
        <w:t>1、获取竞争性磋商文件时须携带本单位介绍信、经办人的身份证原件及加盖公章的复印件。</w:t>
      </w:r>
    </w:p>
    <w:p>
      <w:pPr>
        <w:pStyle w:val="null3"/>
        <w:ind w:firstLine="480"/>
        <w:jc w:val="both"/>
      </w:pPr>
      <w:r>
        <w:rPr>
          <w:rFonts w:ascii="仿宋_GB2312" w:hAnsi="仿宋_GB2312" w:cs="仿宋_GB2312" w:eastAsia="仿宋_GB2312"/>
          <w:sz w:val="24"/>
          <w:shd w:fill="FFFFFF" w:val="clear"/>
        </w:rPr>
        <w:t>2</w:t>
      </w:r>
      <w:r>
        <w:rPr>
          <w:rFonts w:ascii="仿宋_GB2312" w:hAnsi="仿宋_GB2312" w:cs="仿宋_GB2312" w:eastAsia="仿宋_GB2312"/>
          <w:sz w:val="24"/>
          <w:shd w:fill="FFFFFF" w:val="clear"/>
        </w:rPr>
        <w:t>、本项目</w:t>
      </w:r>
      <w:r>
        <w:rPr>
          <w:rFonts w:ascii="仿宋_GB2312" w:hAnsi="仿宋_GB2312" w:cs="仿宋_GB2312" w:eastAsia="仿宋_GB2312"/>
          <w:sz w:val="24"/>
          <w:b/>
          <w:shd w:fill="FFFFFF" w:val="clear"/>
        </w:rPr>
        <w:t>专门面向中小企业采购</w:t>
      </w:r>
      <w:r>
        <w:rPr>
          <w:rFonts w:ascii="仿宋_GB2312" w:hAnsi="仿宋_GB2312" w:cs="仿宋_GB2312" w:eastAsia="仿宋_GB2312"/>
          <w:sz w:val="24"/>
          <w:shd w:fill="FFFFFF" w:val="clear"/>
        </w:rPr>
        <w:t>。</w:t>
      </w:r>
    </w:p>
    <w:p>
      <w:pPr>
        <w:pStyle w:val="null3"/>
        <w:ind w:firstLine="480"/>
        <w:jc w:val="both"/>
      </w:pPr>
      <w:r>
        <w:rPr>
          <w:rFonts w:ascii="仿宋_GB2312" w:hAnsi="仿宋_GB2312" w:cs="仿宋_GB2312" w:eastAsia="仿宋_GB2312"/>
          <w:sz w:val="24"/>
          <w:shd w:fill="FFFFFF" w:val="clear"/>
        </w:rPr>
        <w:t>3</w:t>
      </w:r>
      <w:r>
        <w:rPr>
          <w:rFonts w:ascii="仿宋_GB2312" w:hAnsi="仿宋_GB2312" w:cs="仿宋_GB2312" w:eastAsia="仿宋_GB2312"/>
          <w:sz w:val="24"/>
          <w:shd w:fill="FFFFFF" w:val="clear"/>
        </w:rPr>
        <w:t>、融资平台：根据《陕西省财政厅关于加快推进我省中小企业政府采购信用融资工作的通知》陕财办采〔</w:t>
      </w:r>
      <w:r>
        <w:rPr>
          <w:rFonts w:ascii="仿宋_GB2312" w:hAnsi="仿宋_GB2312" w:cs="仿宋_GB2312" w:eastAsia="仿宋_GB2312"/>
          <w:sz w:val="24"/>
          <w:shd w:fill="FFFFFF" w:val="clear"/>
        </w:rPr>
        <w:t>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雷老师 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