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版本号：SXXH2026-02820260805001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省体保中心体彩大厦屋面防水维修改造工程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SXXH2026-028</w:t>
      </w:r>
      <w:r>
        <w:br/>
      </w:r>
      <w:r>
        <w:br/>
      </w:r>
      <w:r>
        <w:br/>
      </w:r>
    </w:p>
    <w:p>
      <w:pPr>
        <w:pStyle w:val="null3"/>
        <w:jc w:val="center"/>
        <w:outlineLvl w:val="2"/>
      </w:pPr>
      <w:r>
        <w:rPr>
          <w:rFonts w:ascii="仿宋_GB2312" w:hAnsi="仿宋_GB2312" w:cs="仿宋_GB2312" w:eastAsia="仿宋_GB2312"/>
          <w:sz w:val="28"/>
          <w:b/>
        </w:rPr>
        <w:t>陕西省体育运动服务保障中心</w:t>
      </w:r>
    </w:p>
    <w:p>
      <w:pPr>
        <w:pStyle w:val="null3"/>
        <w:jc w:val="center"/>
        <w:outlineLvl w:val="2"/>
      </w:pPr>
      <w:r>
        <w:rPr>
          <w:rFonts w:ascii="仿宋_GB2312" w:hAnsi="仿宋_GB2312" w:cs="仿宋_GB2312" w:eastAsia="仿宋_GB2312"/>
          <w:sz w:val="28"/>
          <w:b/>
        </w:rPr>
        <w:t>陕西鑫合项目管理有限责任公司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陕西鑫合项目管理有限责任公司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陕西省体育运动服务保障中心</w:t>
      </w:r>
      <w:r>
        <w:rPr>
          <w:rFonts w:ascii="仿宋_GB2312" w:hAnsi="仿宋_GB2312" w:cs="仿宋_GB2312" w:eastAsia="仿宋_GB2312"/>
        </w:rPr>
        <w:t>委托，拟对</w:t>
      </w:r>
      <w:r>
        <w:rPr>
          <w:rFonts w:ascii="仿宋_GB2312" w:hAnsi="仿宋_GB2312" w:cs="仿宋_GB2312" w:eastAsia="仿宋_GB2312"/>
        </w:rPr>
        <w:t>省体保中心体彩大厦屋面防水维修改造工程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SXXH2026-028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省体保中心体彩大厦屋面防水维修改造工程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体彩大厦屋面防水层因年久失修，彩钢板接缝、天沟及设备基础节点多处老化破损｡每逢雨雪天气,渗漏水导致健身场地积水湿滑、办公区域吊顶泡水、墙面污染，并侵蚀建筑结构，影响建筑使用寿命。为保证正常办公与健身环境安全,现需进行维修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采购包1（省体保中心体彩大厦屋面防水维修改造工程）：属于专门面向中小企业采购。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供应商为具有独立承担民事责任能力的法人、其他组织或自然人：企业法人应提供合法有效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3、财务状况报告：提供审计事务所出具的2024年度或2025年度的财务报告，包括 “四表一注”（即资产负债表、利润表、现金流量表、所有者权益变动表（若有）及其附注，成立时间至提交响应文件截止时间不足一年的可提供成立后任意时段的资产负债表）或在磋商日期前六个月内其开户银行出具的资信证明，以上两种形式的资料提供任何一种即可（分支机构如无法提供财务审计报告，须出具包含分支机构的财务数据的总公司财务审计报告）；事业单位零余额账户提供相应证明或承诺。</w:t>
      </w:r>
    </w:p>
    <w:p>
      <w:pPr>
        <w:pStyle w:val="null3"/>
      </w:pPr>
      <w:r>
        <w:rPr>
          <w:rFonts w:ascii="仿宋_GB2312" w:hAnsi="仿宋_GB2312" w:cs="仿宋_GB2312" w:eastAsia="仿宋_GB2312"/>
        </w:rPr>
        <w:t>4、税收缴纳证明：提供磋商前6个月以来已缴纳任意一个月的完税凭证或税务机关开具的完税证明（任意税种），纳税证明或完税证明上应有代收机构或税务机关的公章或专用章。依法免税的投标人应提供相关文件证明</w:t>
      </w:r>
    </w:p>
    <w:p>
      <w:pPr>
        <w:pStyle w:val="null3"/>
      </w:pPr>
      <w:r>
        <w:rPr>
          <w:rFonts w:ascii="仿宋_GB2312" w:hAnsi="仿宋_GB2312" w:cs="仿宋_GB2312" w:eastAsia="仿宋_GB2312"/>
        </w:rPr>
        <w:t>5、社会保障资金缴纳证明：提供磋商前6个月以来已缴纳任意一个月的社会保障资金缴存单据或社保机构开具的社会保险参保缴费情况证明，单据或证明上应有社保机构或代收机构的公章或专用章。依法不需要缴纳社会保障资金的投标人应提供相关文件证明。</w:t>
      </w:r>
    </w:p>
    <w:p>
      <w:pPr>
        <w:pStyle w:val="null3"/>
      </w:pPr>
      <w:r>
        <w:rPr>
          <w:rFonts w:ascii="仿宋_GB2312" w:hAnsi="仿宋_GB2312" w:cs="仿宋_GB2312" w:eastAsia="仿宋_GB2312"/>
        </w:rPr>
        <w:t>6、提供具有履行本合同所必需的设备和专业技术能力的说明及承诺：提供具有履行本合同所必需的设备和专业技术能力的说明及承诺；（提供书面说明承诺，加盖供应商公章）。</w:t>
      </w:r>
    </w:p>
    <w:p>
      <w:pPr>
        <w:pStyle w:val="null3"/>
      </w:pPr>
      <w:r>
        <w:rPr>
          <w:rFonts w:ascii="仿宋_GB2312" w:hAnsi="仿宋_GB2312" w:cs="仿宋_GB2312" w:eastAsia="仿宋_GB2312"/>
        </w:rPr>
        <w:t>7、提供参加政府采购活动前三年内在经营活动中没有重大违法记录的书面声明：提供参加政府采购活动前三年内在经营活动中没有重大违法记录的书面声明。（提供书面声明，加盖供应商公章）。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8、施工资质：供应商应具有建设行政主管部门核发的建筑工程施工总承包二级及以上资质或建筑装修装饰工程专业承包二级及以上资质或防水防腐保温工程专业承包二级及以上资质，同时具备有效的安全生产许可证。</w:t>
      </w:r>
    </w:p>
    <w:p>
      <w:pPr>
        <w:pStyle w:val="null3"/>
      </w:pPr>
      <w:r>
        <w:rPr>
          <w:rFonts w:ascii="仿宋_GB2312" w:hAnsi="仿宋_GB2312" w:cs="仿宋_GB2312" w:eastAsia="仿宋_GB2312"/>
        </w:rPr>
        <w:t>9、拟派项目负责人：拟派项目负责人须具备建筑工程专业二级及以上注册建造师证书，同时具有安全生产考核合格证（B证），且无其他在建工程（提供无在建工程承诺）。</w:t>
      </w:r>
    </w:p>
    <w:p>
      <w:pPr>
        <w:pStyle w:val="null3"/>
      </w:pPr>
      <w:r>
        <w:rPr>
          <w:rFonts w:ascii="仿宋_GB2312" w:hAnsi="仿宋_GB2312" w:cs="仿宋_GB2312" w:eastAsia="仿宋_GB2312"/>
        </w:rPr>
        <w:t>10、陕西省建筑市场监管与诚信信息发布平台：供应商及供应商拟派项目负责人须在“陕西省建筑市场监管与诚信信息发布平台”可查询（附查询结果截图）。</w:t>
      </w:r>
    </w:p>
    <w:p>
      <w:pPr>
        <w:pStyle w:val="null3"/>
      </w:pPr>
      <w:r>
        <w:rPr>
          <w:rFonts w:ascii="仿宋_GB2312" w:hAnsi="仿宋_GB2312" w:cs="仿宋_GB2312" w:eastAsia="仿宋_GB2312"/>
        </w:rPr>
        <w:t>11、供应商信誉：供应商信誉要求：不得为“信用中国”网站(http://ww w.creditchina.gov.cn)列入“失信被执行人、重大税收违法失信主体、政府采购严重违法失信行为记录名单”的供应商；不得为中国政府采购网(http://w ww.cc gp.gov.cn)“政府采购严重违法失信行为记录名单”中的供应商。</w:t>
      </w:r>
    </w:p>
    <w:p>
      <w:pPr>
        <w:pStyle w:val="null3"/>
      </w:pPr>
      <w:r>
        <w:rPr>
          <w:rFonts w:ascii="仿宋_GB2312" w:hAnsi="仿宋_GB2312" w:cs="仿宋_GB2312" w:eastAsia="仿宋_GB2312"/>
        </w:rPr>
        <w:t>12、联合体投标，分包：本项目不接受联合体投标，不允许分包。供应商应提供《非联合体不分包投标声明》。</w:t>
      </w:r>
    </w:p>
    <w:p>
      <w:pPr>
        <w:pStyle w:val="null3"/>
      </w:pPr>
      <w:r>
        <w:rPr>
          <w:rFonts w:ascii="仿宋_GB2312" w:hAnsi="仿宋_GB2312" w:cs="仿宋_GB2312" w:eastAsia="仿宋_GB2312"/>
        </w:rPr>
        <w:t>13、磋商保证金：供应商按磋商文件要求递交了磋商保证金。</w:t>
      </w:r>
    </w:p>
    <w:p>
      <w:pPr>
        <w:pStyle w:val="null3"/>
      </w:pPr>
      <w:r>
        <w:rPr>
          <w:rFonts w:ascii="仿宋_GB2312" w:hAnsi="仿宋_GB2312" w:cs="仿宋_GB2312" w:eastAsia="仿宋_GB2312"/>
        </w:rPr>
        <w:t>14、中小企业：供应商提供中小企业声明函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陕西省体育运动服务保障中心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西安市碑林区建西街99号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029-87852915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陕西鑫合项目管理有限责任公司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西安市雁塔区西部国际广场A座21楼2101-6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张克娜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19209186908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采购包1：466,181.38元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开户名称：陕西鑫合项目管理有限责任公司</w:t>
            </w:r>
          </w:p>
          <w:p>
            <w:pPr>
              <w:pStyle w:val="null3"/>
            </w:pPr>
            <w:r>
              <w:rPr>
                <w:rFonts w:ascii="仿宋_GB2312" w:hAnsi="仿宋_GB2312" w:cs="仿宋_GB2312" w:eastAsia="仿宋_GB2312"/>
              </w:rPr>
              <w:t>开户银行：中国银行股份有限公司西安经济技术开发区支行</w:t>
            </w:r>
          </w:p>
          <w:p>
            <w:pPr>
              <w:pStyle w:val="null3"/>
            </w:pPr>
            <w:r>
              <w:rPr>
                <w:rFonts w:ascii="仿宋_GB2312" w:hAnsi="仿宋_GB2312" w:cs="仿宋_GB2312" w:eastAsia="仿宋_GB2312"/>
              </w:rPr>
              <w:t>银行账号：103249166702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w:t>
            </w:r>
          </w:p>
          <w:p>
            <w:pPr>
              <w:pStyle w:val="null3"/>
            </w:pPr>
            <w:r>
              <w:rPr>
                <w:rFonts w:ascii="仿宋_GB2312" w:hAnsi="仿宋_GB2312" w:cs="仿宋_GB2312" w:eastAsia="仿宋_GB2312"/>
              </w:rPr>
              <w:t>说明：合同签署后，乙方应在7天内向甲方指定的账户缴纳履约保证金，项目验收合格后履约保证金转为质保金，在质保期结束后，无工程质量争议予以无息退还。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代理服务费收费标准：1、成交人在领取《成交通知书》之前，应向采购代理机构缴纳招标代理服务费。 2、招标代理服务费依据《国家计委关于印发招标代理服务收费管理暂行办法的通知》（计价格【2002】1980号）和国家发改委办公厅颁发的《关于招标代理服务收费有关问题的通知》（发改办价格【2003】857号）文件规定标准收取。具体收费金额将在中标公告中公布。</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陕西省体育运动服务保障中心</w:t>
      </w:r>
      <w:r>
        <w:rPr>
          <w:rFonts w:ascii="仿宋_GB2312" w:hAnsi="仿宋_GB2312" w:cs="仿宋_GB2312" w:eastAsia="仿宋_GB2312"/>
        </w:rPr>
        <w:t>和</w:t>
      </w:r>
      <w:r>
        <w:rPr>
          <w:rFonts w:ascii="仿宋_GB2312" w:hAnsi="仿宋_GB2312" w:cs="仿宋_GB2312" w:eastAsia="仿宋_GB2312"/>
        </w:rPr>
        <w:t>陕西鑫合项目管理有限责任公司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陕西省体育运动服务保障中心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陕西鑫合项目管理有限责任公司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陕西省体育运动服务保障中心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陕西鑫合项目管理有限责任公司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陕西鑫合项目管理有限责任公司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陕西鑫合项目管理有限责任公司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陕西鑫合项目管理有限责任公司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联系人：张克娜</w:t>
      </w:r>
    </w:p>
    <w:p>
      <w:pPr>
        <w:pStyle w:val="null3"/>
      </w:pPr>
      <w:r>
        <w:rPr>
          <w:rFonts w:ascii="仿宋_GB2312" w:hAnsi="仿宋_GB2312" w:cs="仿宋_GB2312" w:eastAsia="仿宋_GB2312"/>
        </w:rPr>
        <w:t>联系电话：19209186908</w:t>
      </w:r>
    </w:p>
    <w:p>
      <w:pPr>
        <w:pStyle w:val="null3"/>
      </w:pPr>
      <w:r>
        <w:rPr>
          <w:rFonts w:ascii="仿宋_GB2312" w:hAnsi="仿宋_GB2312" w:cs="仿宋_GB2312" w:eastAsia="仿宋_GB2312"/>
        </w:rPr>
        <w:t>地址：西安市雁塔区西部国际广场A座21楼2101-6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466,181.38</w:t>
      </w:r>
    </w:p>
    <w:p>
      <w:pPr>
        <w:pStyle w:val="null3"/>
      </w:pPr>
      <w:r>
        <w:rPr>
          <w:rFonts w:ascii="仿宋_GB2312" w:hAnsi="仿宋_GB2312" w:cs="仿宋_GB2312" w:eastAsia="仿宋_GB2312"/>
        </w:rPr>
        <w:t>采购包最高限价（元）: 466,181.38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省体保中心体彩大厦屋面防水维修改造工程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466,181.38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标的名称：省体保中心体彩大厦屋面防水维修改造工程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1、本项目为</w:t>
            </w:r>
            <w:r>
              <w:rPr>
                <w:rFonts w:ascii="仿宋_GB2312" w:hAnsi="仿宋_GB2312" w:cs="仿宋_GB2312" w:eastAsia="仿宋_GB2312"/>
              </w:rPr>
              <w:t>陕西省体育运动服务保障中心</w:t>
            </w:r>
            <w:r>
              <w:rPr>
                <w:rFonts w:ascii="仿宋_GB2312" w:hAnsi="仿宋_GB2312" w:cs="仿宋_GB2312" w:eastAsia="仿宋_GB2312"/>
              </w:rPr>
              <w:t>体彩大厦屋面防水维修改造，具体详见本项目工程量清单</w:t>
            </w:r>
            <w:r>
              <w:rPr>
                <w:rFonts w:ascii="仿宋_GB2312" w:hAnsi="仿宋_GB2312" w:cs="仿宋_GB2312" w:eastAsia="仿宋_GB2312"/>
              </w:rPr>
              <w:t>及</w:t>
            </w:r>
            <w:r>
              <w:rPr>
                <w:rFonts w:ascii="仿宋_GB2312" w:hAnsi="仿宋_GB2312" w:cs="仿宋_GB2312" w:eastAsia="仿宋_GB2312"/>
              </w:rPr>
              <w:t>施工图纸（详见附件）。</w:t>
            </w:r>
          </w:p>
          <w:p>
            <w:pPr>
              <w:pStyle w:val="null3"/>
            </w:pPr>
            <w:r>
              <w:rPr>
                <w:rFonts w:ascii="仿宋_GB2312" w:hAnsi="仿宋_GB2312" w:cs="仿宋_GB2312" w:eastAsia="仿宋_GB2312"/>
                <w:sz w:val="21"/>
              </w:rPr>
              <w:t>2、供应商充分考虑定额人工费调价、材料价格波动、工期定额、资金拨付、政策性调整、采购需求未能全部罗列验收合格标准中的细节问题等全部未知风险因素，在项目实施过程中不再因为上述任何因素调整价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质量标准执行国家、陕西省、西安市现行工程质量验评标准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1.工期要求：50个日历日。 2.施工地点：采购人指定地点。 3.质保期：2年。 属于保修范围和内容的项目，供应商应在接到维修通知后，1天内派人维修。发生紧急抢修事故，供应商应在接到事故通知后 6小时内到达事故现场并于3小时内完成应急维修。4.工程质量：工程质量符合国家现行施工验收规范和质量检验“合格”标准。 5.采购资金的支付方式及时间：合同签订后，达到付款条件起15个工作日内，支付合同总金额的40.0%；全部主材进场且整体工程施工进度过半，达到付款条件起15个工作日内，支付合同总金额的20.0%；工程竣工验收合格后，达到付款条件起15个工作日内，支付合同总金额的20.0%；完成竣工结算审核后，达到付款条件起15个工作日内，支付合同总金额的20.0%。</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磋商保证金注意事项：（1）磋商保证金须从供应商户名支付，并备注项目编号+保证金，如从个人户名或非供应商户名支付，将被拒绝，视为自动放弃投标权利（该个人是供应商的情形除外）；以保函形式交纳磋商保证金的，供应商应在磋商截止时间前将保函扫描成清晰的PDF文件，发送至邮箱278378391@qq.com（邮件命名：项目编号），并将保函原件单独递交至代理机构财务；供应商应在响应文件中附保函复印件。保函必须由具有开具投标保函资格的单位开具；若供应商违约，开具保函单位承担 连带责任； （2）磋商保证金的提交金额、时间不满足磋商文件要求的，响应无效； （3）磋商保证金以采购代理机构到账凭证为准，供应商无需更换交纳凭证，由采购代理机构统一提供。 （4）未按指定账户提交的，我公司将退回，供应商须在文件递交截止时间前按照指定账户再次提交。3.3.2报价说明 （1）供应商应充分考虑磋商文件的各项要求和本工程的实际情况，根据自身实力，充分考虑材料价格、人工费、物价上涨等市场变化的风险，自主报价，风险自担。（2）不可竞争的规费、税金、安全文明施工费按计价规则的规定计取，营改增按陕建发调整陕西省建设工程计价依据的通知执行，磋商报价中包含所有费用。（3）本工程材料采购需采购人进行认质。 3.3.3成交通知书发出后，成交供应商需提供响应文件正本壹份、副本贰份、电子版壹套(U盘一套标明供应商名称)且提供的响应文件纸质版与电子版必须与在陕西省政府采购网电子化交易系统上提交的电子响应文件内容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供应商为具有独立承担民事责任能力的法人、其他组织或自然人：企业法人应提供合法有效的营业执照；事业法人应提供事业单位法人证书；其他组织应提供合法登记证明文件；自然人应提供身份证。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资格证明文件其他格式.docx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资格证明文件其他格式.docx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提供审计事务所出具的2024年度或2025年度的财务报告，包括 “四表一注”（即资产负债表、利润表、现金流量表、所有者权益变动表（若有）及其附注，成立时间至提交响应文件截止时间不足一年的可提供成立后任意时段的资产负债表）或在磋商日期前六个月内其开户银行出具的资信证明，以上两种形式的资料提供任何一种即可（分支机构如无法提供财务审计报告，须出具包含分支机构的财务数据的总公司财务审计报告）；事业单位零余额账户提供相应证明或承诺。</w:t>
            </w:r>
          </w:p>
        </w:tc>
        <w:tc>
          <w:tcPr>
            <w:tcW w:type="dxa" w:w="1661"/>
          </w:tcPr>
          <w:p>
            <w:pPr>
              <w:pStyle w:val="null3"/>
            </w:pPr>
            <w:r>
              <w:rPr>
                <w:rFonts w:ascii="仿宋_GB2312" w:hAnsi="仿宋_GB2312" w:cs="仿宋_GB2312" w:eastAsia="仿宋_GB2312"/>
              </w:rPr>
              <w:t>资格证明文件其他格式.docx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提供磋商前6个月以来已缴纳任意一个月的完税凭证或税务机关开具的完税证明（任意税种），纳税证明或完税证明上应有代收机构或税务机关的公章或专用章。依法免税的投标人应提供相关文件证明</w:t>
            </w:r>
          </w:p>
        </w:tc>
        <w:tc>
          <w:tcPr>
            <w:tcW w:type="dxa" w:w="1661"/>
          </w:tcPr>
          <w:p>
            <w:pPr>
              <w:pStyle w:val="null3"/>
            </w:pPr>
            <w:r>
              <w:rPr>
                <w:rFonts w:ascii="仿宋_GB2312" w:hAnsi="仿宋_GB2312" w:cs="仿宋_GB2312" w:eastAsia="仿宋_GB2312"/>
              </w:rPr>
              <w:t>资格证明文件其他格式.docx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前6个月以来已缴纳任意一个月的社会保障资金缴存单据或社保机构开具的社会保险参保缴费情况证明，单据或证明上应有社保机构或代收机构的公章或专用章。依法不需要缴纳社会保障资金的投标人应提供相关文件证明。</w:t>
            </w:r>
          </w:p>
        </w:tc>
        <w:tc>
          <w:tcPr>
            <w:tcW w:type="dxa" w:w="1661"/>
          </w:tcPr>
          <w:p>
            <w:pPr>
              <w:pStyle w:val="null3"/>
            </w:pPr>
            <w:r>
              <w:rPr>
                <w:rFonts w:ascii="仿宋_GB2312" w:hAnsi="仿宋_GB2312" w:cs="仿宋_GB2312" w:eastAsia="仿宋_GB2312"/>
              </w:rPr>
              <w:t>资格证明文件其他格式.docx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提供具有履行本合同所必需的设备和专业技术能力的说明及承诺；（提供书面说明承诺，加盖供应商公章）。</w:t>
            </w:r>
          </w:p>
        </w:tc>
        <w:tc>
          <w:tcPr>
            <w:tcW w:type="dxa" w:w="1661"/>
          </w:tcPr>
          <w:p>
            <w:pPr>
              <w:pStyle w:val="null3"/>
            </w:pPr>
            <w:r>
              <w:rPr>
                <w:rFonts w:ascii="仿宋_GB2312" w:hAnsi="仿宋_GB2312" w:cs="仿宋_GB2312" w:eastAsia="仿宋_GB2312"/>
              </w:rPr>
              <w:t>资格证明文件其他格式.docx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资格证明文件其他格式.docx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供应商应具有建设行政主管部门核发的建筑工程施工总承包二级及以上资质或建筑装修装饰工程专业承包二级及以上资质或防水防腐保温工程专业承包二级及以上资质，同时具备有效的安全生产许可证。</w:t>
            </w:r>
          </w:p>
        </w:tc>
        <w:tc>
          <w:tcPr>
            <w:tcW w:type="dxa" w:w="1661"/>
          </w:tcPr>
          <w:p>
            <w:pPr>
              <w:pStyle w:val="null3"/>
            </w:pPr>
            <w:r>
              <w:rPr>
                <w:rFonts w:ascii="仿宋_GB2312" w:hAnsi="仿宋_GB2312" w:cs="仿宋_GB2312" w:eastAsia="仿宋_GB2312"/>
              </w:rPr>
              <w:t>资格证明文件其他格式.docx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拟派项目负责人须具备建筑工程专业二级及以上注册建造师证书，同时具有安全生产考核合格证（B证），且无其他在建工程（提供无在建工程承诺）。</w:t>
            </w:r>
          </w:p>
        </w:tc>
        <w:tc>
          <w:tcPr>
            <w:tcW w:type="dxa" w:w="1661"/>
          </w:tcPr>
          <w:p>
            <w:pPr>
              <w:pStyle w:val="null3"/>
            </w:pPr>
            <w:r>
              <w:rPr>
                <w:rFonts w:ascii="仿宋_GB2312" w:hAnsi="仿宋_GB2312" w:cs="仿宋_GB2312" w:eastAsia="仿宋_GB2312"/>
              </w:rPr>
              <w:t>资格证明文件其他格式.docx 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陕西省建筑市场监管与诚信信息发布平台</w:t>
            </w:r>
          </w:p>
        </w:tc>
        <w:tc>
          <w:tcPr>
            <w:tcW w:type="dxa" w:w="3322"/>
          </w:tcPr>
          <w:p>
            <w:pPr>
              <w:pStyle w:val="null3"/>
            </w:pPr>
            <w:r>
              <w:rPr>
                <w:rFonts w:ascii="仿宋_GB2312" w:hAnsi="仿宋_GB2312" w:cs="仿宋_GB2312" w:eastAsia="仿宋_GB2312"/>
              </w:rPr>
              <w:t>供应商及供应商拟派项目负责人须在“陕西省建筑市场监管与诚信信息发布平台”可查询（附查询结果截图）。</w:t>
            </w:r>
          </w:p>
        </w:tc>
        <w:tc>
          <w:tcPr>
            <w:tcW w:type="dxa" w:w="1661"/>
          </w:tcPr>
          <w:p>
            <w:pPr>
              <w:pStyle w:val="null3"/>
            </w:pPr>
            <w:r>
              <w:rPr>
                <w:rFonts w:ascii="仿宋_GB2312" w:hAnsi="仿宋_GB2312" w:cs="仿宋_GB2312" w:eastAsia="仿宋_GB2312"/>
              </w:rPr>
              <w:t>资格证明文件其他格式.docx 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供应商信誉要求：不得为“信用中国”网站(http://ww w.creditchina.gov.cn)列入“失信被执行人、重大税收违法失信主体、政府采购严重违法失信行为记录名单”的供应商；不得为中国政府采购网(http://w ww.cc gp.gov.cn)“政府采购严重违法失信行为记录名单”中的供应商。</w:t>
            </w:r>
          </w:p>
        </w:tc>
        <w:tc>
          <w:tcPr>
            <w:tcW w:type="dxa" w:w="1661"/>
          </w:tcPr>
          <w:p>
            <w:pPr>
              <w:pStyle w:val="null3"/>
            </w:pPr>
            <w:r>
              <w:rPr>
                <w:rFonts w:ascii="仿宋_GB2312" w:hAnsi="仿宋_GB2312" w:cs="仿宋_GB2312" w:eastAsia="仿宋_GB2312"/>
              </w:rPr>
              <w:t>资格证明文件其他格式.docx 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联合体投标，分包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资格证明文件其他格式.docx 供应商应提交的相关资格证明材料</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供应商按磋商文件要求递交了磋商保证金。</w:t>
            </w:r>
          </w:p>
        </w:tc>
        <w:tc>
          <w:tcPr>
            <w:tcW w:type="dxa" w:w="1661"/>
          </w:tcPr>
          <w:p>
            <w:pPr>
              <w:pStyle w:val="null3"/>
            </w:pPr>
            <w:r>
              <w:rPr>
                <w:rFonts w:ascii="仿宋_GB2312" w:hAnsi="仿宋_GB2312" w:cs="仿宋_GB2312" w:eastAsia="仿宋_GB2312"/>
              </w:rPr>
              <w:t>资格证明文件其他格式.docx 供应商应提交的相关资格证明材料</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供应商提供中小企业声明函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响应文件封面 资格证明文件其他格式.docx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满足本磋商文件中“三、针对本项目的其他技术服务要求”和“技术参数与性能指标”中加★项要求的。</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供应商针对本项目体彩大厦屋面防水维修改造工程编制完整项目实施方案，内容包含： ①项目总体实施部署与施工全流程规划； ②项目总体实施部署与施工全流程规划； ③项目总体实施部署与施工全流程规划； 二、评审标准 ①完整性：方案全面覆盖评审内容，章节完整、描述详实、核心要素无缺失； ②可实施性：贴合大厦屋面施工现场实际，作业步骤清晰、流程衔接合理，具备落地执行条件； ③针对性：紧扣本项目屋面防水维修改造施工要求，匹配建筑屋面现场环境与使用特点； ④先进性：符合屋面防水工程国家及行业规范，方案科学、经济合理，满足施工及验收标准。 三、赋分标准 以上三项评审内容，满足一项得4分，每一子项有瑕疵扣1分，不得负分，缺项不得分。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安全作业方案及安全配套措施</w:t>
            </w:r>
          </w:p>
        </w:tc>
        <w:tc>
          <w:tcPr>
            <w:tcW w:type="dxa" w:w="2492"/>
          </w:tcPr>
          <w:p>
            <w:pPr>
              <w:pStyle w:val="null3"/>
            </w:pPr>
            <w:r>
              <w:rPr>
                <w:rFonts w:ascii="仿宋_GB2312" w:hAnsi="仿宋_GB2312" w:cs="仿宋_GB2312" w:eastAsia="仿宋_GB2312"/>
              </w:rPr>
              <w:t>一、评审内容 供应商针对本项目编制安全作业方案及配套措施，内容包含： ①施工现场作业安全管理； ②人员交底防护、隐患排查及应急保障管理。 二、评审标准 ①完整性：方案全面覆盖评审内容，内容详实、安全管控要素齐全； ②可实施性：贴合屋面防水维修施工现场条件，安全流程清晰、管控节点明确，可落地执行； ③针对性：紧扣屋面高空施工、防水作业等风险点，专项措施匹配现场作业要求； ④先进性：符合建筑施工安全规范，管控体系完善，风险防控全面到位。 三、赋分标准 赋分标准以上两项评审内容，满足一项得3.5分，每一子项有瑕疵扣0.5分，不得负分，缺项不得分。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环境保护、文明施工措施计划</w:t>
            </w:r>
          </w:p>
        </w:tc>
        <w:tc>
          <w:tcPr>
            <w:tcW w:type="dxa" w:w="2492"/>
          </w:tcPr>
          <w:p>
            <w:pPr>
              <w:pStyle w:val="null3"/>
            </w:pPr>
            <w:r>
              <w:rPr>
                <w:rFonts w:ascii="仿宋_GB2312" w:hAnsi="仿宋_GB2312" w:cs="仿宋_GB2312" w:eastAsia="仿宋_GB2312"/>
              </w:rPr>
              <w:t>一、评审内容 供应商编制环境保护及文明施工措施计划，内容包含： ①施工现场环境保护管控方案； ②扬尘、噪音、固体废弃物、施工污水等污染防控措施； ③屋面及楼顶场地规划、防水材料、施工机具堆放文明管理； ④施工人员行为规范、大厦公共区域风貌及通行管理措施。 二、评审标准 ①完整性：计划全面覆盖评审内容，描述详实、管理要素齐全； ②可实施性：结合体彩大厦现场环境制定措施，流程清晰、管控方式合理，可落地执行； ③针对性：匹配本项目屋面施工场景，措施贴合大厦日常运营、环境管理要求； ④先进性：符合建筑行业环保、文明施工相关规范，管理体系科学合理。 三、赋分标准 赋分标准 以上四项评审内容，满足一项得1.5分，每一子项有瑕疵扣0.5分，不得负分，缺项不得分。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 供应商针对本项目制定全流程质量控制措施，内容包含： ①防水材料、辅材进场检验质量管控； ②旧防水层拆除、屋面基层处理、防水铺设、闭水试验等各工序质量标准与管控要求； ③关键工序旁站、抽检、交接检等质量检查机制； ④质量问题整改、复检闭环管理措施。 二、评审标准 ①完整性：措施全面覆盖评审内容，质量管控节点齐全、描述详实； ②可实施性：贴合屋面防水施工工艺要求，管控步骤清晰、执行流程合理； ③针对性：紧扣屋面防水维修工艺标准，匹配项目验收及防水耐久使用要求； ④先进性：符合国家屋面防水工程质量规范，管控标准严格、体系可靠。 三、赋分标准以上四项评审内容，满足一项得1.5分，每一子项有瑕疵扣0.5分，不得负分，缺项不得分。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一、评审内容 供应商提供本项目组织管理机构方案，内容包含： ①层级清晰的项目组织架构设置； ②各岗位人员配置、岗位职责分工； ③项目内部管理制度与协作机制。 二、评审标准 ①完整性：方案全面覆盖评审内容，架构、分工、制度要素齐全； ②可实施性：组织架构匹配本工程规模，分工明确、管理流程合理，可落地执行； ③针对性：适配屋面防水维修项目管理需求，人员配置满足高空防水施工要求； ④先进性：符合工程项目管理规范，权责清晰、管理体系科学。 三、赋分标准 赋分标准以上三项评审内容，满足一项得2分，每一子项有瑕疵扣0.5分，不得负分，缺项不得分。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 供应商编制施工机械配备及材料投入计划，内容包含： ①施工机械设备、工具、数量、进场安排； ②项目主要防水材料、辅材清单及品牌、规格、技术参数； ③分阶段材料采购、进场、存储、防护管理计划； ④机械设备运维、防水材料质量保障措施。 二、评审标准 ①完整性：计划全面覆盖评审内容，清单、安排、保障要素齐全； ②可实施性：机械、材料配置匹配施工进度，进场计划合理，可落地执行； ③针对性：紧扣本项目屋面防水维修施工内容，材料与设备选型适配工程需求； ④先进性：设备、材料符合行业标准，选型经济合理、防水性能可靠。 三、赋分标准 赋分标准以上四项评审内容，满足一项得1.5分，每一子项有瑕疵扣0.5分，不得负分，缺项不得分。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确保工期的技术及组织安排</w:t>
            </w:r>
          </w:p>
        </w:tc>
        <w:tc>
          <w:tcPr>
            <w:tcW w:type="dxa" w:w="2492"/>
          </w:tcPr>
          <w:p>
            <w:pPr>
              <w:pStyle w:val="null3"/>
            </w:pPr>
            <w:r>
              <w:rPr>
                <w:rFonts w:ascii="仿宋_GB2312" w:hAnsi="仿宋_GB2312" w:cs="仿宋_GB2312" w:eastAsia="仿宋_GB2312"/>
              </w:rPr>
              <w:t>一、评审内容 供应商制定工期保障方案，内容包含： ①总工期及分区域、分作业面施工进度计划； ②保障工期的专项技术措施； ③人员、机械、物资等组织保障安排； ④工期延误预判及应急纠偏措施。 二、评审标准 ①完整性：方案全面覆盖评审内容，进度、技术、组织、应急要素齐全； ②可实施性：进度排布合理，保障措施清晰，可按期完成施工； ③针对性：结合本项目工期要求制定方案，匹配工程量与屋面施工条件； ④先进性：工期统筹科学，组织与技术手段高效合规。 三、赋分标准 赋分标准以上四项评审内容，满足一项得1.5分，每一子项有瑕疵扣0.5分，不得负分，缺项不得分。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供应商提交售后服务相关承诺，内容包含： ①基础质保期及延长质保年限承诺； ②质保期内屋面渗漏故障报修、上门维修响应机制； ③定期巡检、防水系统日常养护服务安排； ④售后技术支持、防水备品备件保障措施。 二、评审标准 ①完整性：承诺全面覆盖评审内容，服务内容、流程、时限要素齐全； ②可实施性：服务流程清晰，响应机制明确，具备长期服务落地条件； ③针对性：匹配大厦屋面防水后期运维、防渗漏保障需求； ④先进性：符合防水工程售后维保规范，服务全面、保障力度强。 三、赋分标准 赋分标准以上四项评审内容，满足一项得1.5分，每一子项有瑕疵扣0.5分，不得负分，缺项不得分。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工期</w:t>
            </w:r>
          </w:p>
        </w:tc>
        <w:tc>
          <w:tcPr>
            <w:tcW w:type="dxa" w:w="2492"/>
          </w:tcPr>
          <w:p>
            <w:pPr>
              <w:pStyle w:val="null3"/>
            </w:pPr>
            <w:r>
              <w:rPr>
                <w:rFonts w:ascii="仿宋_GB2312" w:hAnsi="仿宋_GB2312" w:cs="仿宋_GB2312" w:eastAsia="仿宋_GB2312"/>
              </w:rPr>
              <w:t>供应商承诺的工期在满足磋商文件要求的基础上，每提前1个日历日计1分，满分6分。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供应商提供2022年1月1日（以合同签订日期为准）至今承担过的类似项目的业绩合同，每提供一份计3分，满分9分。 注：（1）响应文件须提供合同复印件并加盖供应商公章。（2）证明材料须字迹清晰，如无法辨认或有歧义等情况带来的不利后果由供应商承担。 （3）供应商提供虚假材料的，则响应文件无效。已经签订合同的，采购人有权解除合同。由此造成的所有损失，全部由供应商承担。</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详见附件：资格证明文件其他格式.docx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