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CCED96">
      <w:pPr>
        <w:rPr>
          <w:rFonts w:hint="eastAsia" w:ascii="仿宋" w:hAnsi="仿宋" w:eastAsia="仿宋" w:cs="仿宋"/>
          <w:b/>
          <w:color w:val="auto"/>
          <w:sz w:val="36"/>
          <w:szCs w:val="36"/>
          <w:highlight w:val="none"/>
        </w:rPr>
      </w:pPr>
      <w:bookmarkStart w:id="0" w:name="_Toc100219612"/>
    </w:p>
    <w:p w14:paraId="7AA57336">
      <w:pPr>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rPr>
        <w:t>项目编号：</w:t>
      </w:r>
      <w:r>
        <w:rPr>
          <w:rFonts w:hint="eastAsia" w:ascii="仿宋" w:hAnsi="仿宋" w:eastAsia="仿宋" w:cs="仿宋"/>
          <w:b/>
          <w:color w:val="auto"/>
          <w:sz w:val="36"/>
          <w:szCs w:val="36"/>
          <w:highlight w:val="none"/>
          <w:lang w:eastAsia="zh-CN"/>
        </w:rPr>
        <w:t>HXGJXM2026-ZC-GK1036</w:t>
      </w:r>
    </w:p>
    <w:p w14:paraId="297533AC">
      <w:pPr>
        <w:rPr>
          <w:rFonts w:hint="eastAsia" w:ascii="仿宋" w:hAnsi="仿宋" w:eastAsia="仿宋" w:cs="仿宋"/>
          <w:b/>
          <w:color w:val="auto"/>
          <w:sz w:val="28"/>
          <w:szCs w:val="28"/>
          <w:highlight w:val="none"/>
          <w:lang w:val="en-US" w:eastAsia="zh-CN"/>
        </w:rPr>
      </w:pPr>
    </w:p>
    <w:p w14:paraId="038BF3C6">
      <w:pPr>
        <w:rPr>
          <w:rFonts w:hint="eastAsia" w:ascii="仿宋" w:hAnsi="仿宋" w:eastAsia="仿宋" w:cs="仿宋"/>
          <w:b/>
          <w:color w:val="auto"/>
          <w:sz w:val="28"/>
          <w:szCs w:val="28"/>
          <w:highlight w:val="none"/>
        </w:rPr>
      </w:pPr>
    </w:p>
    <w:p w14:paraId="248F2FFD">
      <w:pPr>
        <w:pStyle w:val="15"/>
        <w:rPr>
          <w:rFonts w:hint="eastAsia" w:ascii="仿宋" w:hAnsi="仿宋" w:eastAsia="仿宋" w:cs="仿宋"/>
          <w:color w:val="auto"/>
          <w:highlight w:val="none"/>
        </w:rPr>
      </w:pPr>
    </w:p>
    <w:p w14:paraId="05570816">
      <w:pPr>
        <w:rPr>
          <w:rFonts w:hint="eastAsia" w:ascii="仿宋" w:hAnsi="仿宋" w:eastAsia="仿宋" w:cs="仿宋"/>
          <w:b/>
          <w:color w:val="auto"/>
          <w:sz w:val="28"/>
          <w:szCs w:val="28"/>
          <w:highlight w:val="none"/>
        </w:rPr>
      </w:pPr>
    </w:p>
    <w:p w14:paraId="6DB72DA1">
      <w:pPr>
        <w:pStyle w:val="114"/>
        <w:jc w:val="center"/>
        <w:rPr>
          <w:rFonts w:hint="eastAsia" w:ascii="仿宋" w:hAnsi="仿宋" w:eastAsia="仿宋" w:cs="仿宋"/>
          <w:b/>
          <w:bCs w:val="0"/>
          <w:color w:val="auto"/>
          <w:spacing w:val="-6"/>
          <w:sz w:val="52"/>
          <w:szCs w:val="52"/>
          <w:highlight w:val="none"/>
          <w:lang w:eastAsia="zh-CN"/>
        </w:rPr>
      </w:pPr>
      <w:r>
        <w:rPr>
          <w:rFonts w:hint="eastAsia" w:ascii="仿宋" w:hAnsi="仿宋" w:eastAsia="仿宋" w:cs="仿宋"/>
          <w:b/>
          <w:bCs w:val="0"/>
          <w:color w:val="auto"/>
          <w:spacing w:val="-6"/>
          <w:sz w:val="52"/>
          <w:szCs w:val="52"/>
          <w:highlight w:val="none"/>
          <w:lang w:eastAsia="zh-CN"/>
        </w:rPr>
        <w:t>非集采中药饮片招标采购项目（2包）二次</w:t>
      </w:r>
    </w:p>
    <w:p w14:paraId="097CD604">
      <w:pPr>
        <w:pStyle w:val="114"/>
        <w:jc w:val="center"/>
        <w:rPr>
          <w:rFonts w:hint="eastAsia" w:ascii="仿宋" w:hAnsi="仿宋" w:eastAsia="仿宋" w:cs="仿宋"/>
          <w:b/>
          <w:bCs w:val="0"/>
          <w:color w:val="auto"/>
          <w:spacing w:val="-6"/>
          <w:sz w:val="52"/>
          <w:szCs w:val="52"/>
          <w:highlight w:val="none"/>
          <w:lang w:eastAsia="zh-CN"/>
        </w:rPr>
      </w:pPr>
    </w:p>
    <w:p w14:paraId="22D03130">
      <w:pPr>
        <w:pStyle w:val="114"/>
        <w:jc w:val="center"/>
        <w:rPr>
          <w:rFonts w:hint="eastAsia" w:ascii="仿宋" w:hAnsi="仿宋" w:eastAsia="仿宋" w:cs="仿宋"/>
          <w:b/>
          <w:bCs w:val="0"/>
          <w:color w:val="auto"/>
          <w:spacing w:val="-6"/>
          <w:sz w:val="52"/>
          <w:szCs w:val="52"/>
          <w:highlight w:val="none"/>
          <w:lang w:eastAsia="zh-CN"/>
        </w:rPr>
      </w:pPr>
    </w:p>
    <w:p w14:paraId="66989A3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val="0"/>
          <w:color w:val="auto"/>
          <w:sz w:val="72"/>
          <w:szCs w:val="72"/>
          <w:highlight w:val="none"/>
        </w:rPr>
      </w:pPr>
      <w:r>
        <w:rPr>
          <w:rFonts w:hint="eastAsia" w:ascii="仿宋" w:hAnsi="仿宋" w:eastAsia="仿宋" w:cs="仿宋"/>
          <w:b/>
          <w:bCs w:val="0"/>
          <w:color w:val="auto"/>
          <w:sz w:val="72"/>
          <w:szCs w:val="72"/>
          <w:highlight w:val="none"/>
        </w:rPr>
        <w:t>招标文件</w:t>
      </w:r>
    </w:p>
    <w:p w14:paraId="5B507B83">
      <w:pPr>
        <w:pStyle w:val="15"/>
        <w:jc w:val="center"/>
        <w:rPr>
          <w:rFonts w:hint="eastAsia" w:ascii="仿宋" w:hAnsi="仿宋" w:eastAsia="仿宋" w:cs="仿宋"/>
          <w:color w:val="auto"/>
          <w:sz w:val="20"/>
          <w:szCs w:val="22"/>
          <w:highlight w:val="none"/>
          <w:lang w:eastAsia="zh-CN"/>
        </w:rPr>
      </w:pPr>
    </w:p>
    <w:p w14:paraId="7A249F2E">
      <w:pPr>
        <w:rPr>
          <w:rFonts w:hint="eastAsia" w:ascii="仿宋" w:hAnsi="仿宋" w:eastAsia="仿宋" w:cs="仿宋"/>
          <w:color w:val="auto"/>
          <w:sz w:val="20"/>
          <w:szCs w:val="22"/>
          <w:highlight w:val="none"/>
          <w:lang w:eastAsia="zh-CN"/>
        </w:rPr>
      </w:pPr>
    </w:p>
    <w:p w14:paraId="0B5047A7">
      <w:pPr>
        <w:pStyle w:val="15"/>
        <w:rPr>
          <w:rFonts w:hint="eastAsia" w:ascii="仿宋" w:hAnsi="仿宋" w:eastAsia="仿宋" w:cs="仿宋"/>
          <w:color w:val="auto"/>
          <w:highlight w:val="none"/>
          <w:lang w:eastAsia="zh-CN"/>
        </w:rPr>
      </w:pPr>
    </w:p>
    <w:p w14:paraId="3BCA7AE8">
      <w:pPr>
        <w:pStyle w:val="15"/>
        <w:rPr>
          <w:rFonts w:hint="eastAsia" w:ascii="仿宋" w:hAnsi="仿宋" w:eastAsia="仿宋" w:cs="仿宋"/>
          <w:color w:val="auto"/>
          <w:highlight w:val="none"/>
          <w:lang w:eastAsia="zh-CN"/>
        </w:rPr>
      </w:pPr>
    </w:p>
    <w:p w14:paraId="4073A964">
      <w:pPr>
        <w:spacing w:line="360" w:lineRule="auto"/>
        <w:rPr>
          <w:rFonts w:hint="eastAsia" w:ascii="仿宋" w:hAnsi="仿宋" w:eastAsia="仿宋" w:cs="仿宋"/>
          <w:b/>
          <w:color w:val="auto"/>
          <w:sz w:val="28"/>
          <w:szCs w:val="28"/>
          <w:highlight w:val="none"/>
        </w:rPr>
      </w:pPr>
    </w:p>
    <w:p w14:paraId="05F979E6">
      <w:pPr>
        <w:spacing w:line="360" w:lineRule="auto"/>
        <w:rPr>
          <w:rFonts w:hint="eastAsia" w:ascii="仿宋" w:hAnsi="仿宋" w:eastAsia="仿宋" w:cs="仿宋"/>
          <w:b/>
          <w:color w:val="auto"/>
          <w:sz w:val="28"/>
          <w:szCs w:val="28"/>
          <w:highlight w:val="none"/>
        </w:rPr>
      </w:pPr>
    </w:p>
    <w:p w14:paraId="2DA66F8F">
      <w:pPr>
        <w:spacing w:line="360" w:lineRule="auto"/>
        <w:jc w:val="center"/>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t>华夏国际项目管理（西安）有限公司</w:t>
      </w:r>
    </w:p>
    <w:p w14:paraId="613C04C3">
      <w:pPr>
        <w:jc w:val="center"/>
        <w:rPr>
          <w:rFonts w:hint="eastAsia" w:ascii="仿宋" w:hAnsi="仿宋" w:eastAsia="仿宋" w:cs="仿宋"/>
          <w:color w:val="auto"/>
          <w:sz w:val="32"/>
          <w:szCs w:val="32"/>
          <w:highlight w:val="none"/>
        </w:rPr>
        <w:sectPr>
          <w:headerReference r:id="rId3" w:type="default"/>
          <w:headerReference r:id="rId4" w:type="even"/>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仿宋" w:hAnsi="仿宋" w:eastAsia="仿宋" w:cs="仿宋"/>
          <w:b/>
          <w:color w:val="auto"/>
          <w:kern w:val="0"/>
          <w:sz w:val="32"/>
          <w:szCs w:val="32"/>
          <w:highlight w:val="none"/>
          <w:lang w:val="en-US" w:eastAsia="zh-CN" w:bidi="ar-SA"/>
        </w:rPr>
        <w:t>二零二六年八月</w:t>
      </w:r>
    </w:p>
    <w:p w14:paraId="4DCE9C37">
      <w:pPr>
        <w:pStyle w:val="15"/>
        <w:rPr>
          <w:rFonts w:hint="eastAsia" w:ascii="仿宋" w:hAnsi="仿宋" w:eastAsia="仿宋" w:cs="仿宋"/>
          <w:color w:val="auto"/>
          <w:highlight w:val="none"/>
        </w:rPr>
      </w:pPr>
    </w:p>
    <w:sdt>
      <w:sdtPr>
        <w:rPr>
          <w:rFonts w:hint="eastAsia" w:ascii="仿宋" w:hAnsi="仿宋" w:eastAsia="仿宋" w:cs="仿宋"/>
          <w:b/>
          <w:bCs/>
          <w:color w:val="auto"/>
          <w:sz w:val="32"/>
          <w:szCs w:val="32"/>
          <w:highlight w:val="none"/>
          <w:lang w:val="en-US" w:eastAsia="zh-CN" w:bidi="ar-SA"/>
        </w:rPr>
        <w:id w:val="147472301"/>
        <w15:color w:val="DBDBDB"/>
        <w:docPartObj>
          <w:docPartGallery w:val="Table of Contents"/>
          <w:docPartUnique/>
        </w:docPartObj>
      </w:sdtPr>
      <w:sdtEndPr>
        <w:rPr>
          <w:rFonts w:hint="eastAsia" w:ascii="仿宋" w:hAnsi="仿宋" w:eastAsia="仿宋" w:cs="仿宋"/>
          <w:b/>
          <w:bCs/>
          <w:color w:val="auto"/>
          <w:sz w:val="32"/>
          <w:szCs w:val="32"/>
          <w:highlight w:val="none"/>
          <w:lang w:val="en-US" w:eastAsia="zh-CN" w:bidi="ar-SA"/>
        </w:rPr>
      </w:sdtEndPr>
      <w:sdtContent>
        <w:p w14:paraId="283E1B3A">
          <w:pPr>
            <w:spacing w:before="0" w:beforeLines="0" w:after="0" w:afterLines="0" w:line="240" w:lineRule="auto"/>
            <w:ind w:left="0" w:leftChars="0" w:right="0" w:rightChars="0" w:firstLine="0" w:firstLineChars="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44"/>
              <w:szCs w:val="44"/>
              <w:highlight w:val="none"/>
            </w:rPr>
            <w:t>目</w:t>
          </w:r>
          <w:r>
            <w:rPr>
              <w:rFonts w:hint="eastAsia" w:ascii="仿宋" w:hAnsi="仿宋" w:eastAsia="仿宋" w:cs="仿宋"/>
              <w:b/>
              <w:bCs/>
              <w:color w:val="auto"/>
              <w:sz w:val="44"/>
              <w:szCs w:val="44"/>
              <w:highlight w:val="none"/>
              <w:lang w:val="en-US" w:eastAsia="zh-CN"/>
            </w:rPr>
            <w:t xml:space="preserve">  </w:t>
          </w:r>
          <w:r>
            <w:rPr>
              <w:rFonts w:hint="eastAsia" w:ascii="仿宋" w:hAnsi="仿宋" w:eastAsia="仿宋" w:cs="仿宋"/>
              <w:b/>
              <w:bCs/>
              <w:color w:val="auto"/>
              <w:sz w:val="44"/>
              <w:szCs w:val="44"/>
              <w:highlight w:val="none"/>
            </w:rPr>
            <w:t>录</w:t>
          </w:r>
        </w:p>
        <w:p w14:paraId="3F74E611">
          <w:pPr>
            <w:pStyle w:val="23"/>
            <w:tabs>
              <w:tab w:val="right" w:leader="dot" w:pos="9497"/>
            </w:tabs>
            <w:rPr>
              <w:rFonts w:hint="eastAsia" w:ascii="仿宋" w:hAnsi="仿宋" w:eastAsia="仿宋" w:cs="仿宋"/>
              <w:color w:val="auto"/>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TOC \o "1-2" \h \u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_Toc20649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 xml:space="preserve">第一章  </w:t>
          </w:r>
          <w:r>
            <w:rPr>
              <w:rFonts w:hint="eastAsia" w:ascii="仿宋" w:hAnsi="仿宋" w:eastAsia="仿宋" w:cs="仿宋"/>
              <w:color w:val="auto"/>
              <w:highlight w:val="none"/>
              <w:lang w:val="en-US" w:eastAsia="zh-CN"/>
            </w:rPr>
            <w:t>招标公告</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_Toc20649 \h </w:instrText>
          </w:r>
          <w:r>
            <w:rPr>
              <w:rFonts w:hint="eastAsia" w:ascii="仿宋" w:hAnsi="仿宋" w:eastAsia="仿宋" w:cs="仿宋"/>
              <w:color w:val="auto"/>
            </w:rPr>
            <w:fldChar w:fldCharType="separate"/>
          </w:r>
          <w:r>
            <w:rPr>
              <w:rFonts w:hint="eastAsia" w:ascii="仿宋" w:hAnsi="仿宋" w:eastAsia="仿宋" w:cs="仿宋"/>
              <w:color w:val="auto"/>
            </w:rPr>
            <w:t>1</w:t>
          </w:r>
          <w:r>
            <w:rPr>
              <w:rFonts w:hint="eastAsia" w:ascii="仿宋" w:hAnsi="仿宋" w:eastAsia="仿宋" w:cs="仿宋"/>
              <w:color w:val="auto"/>
            </w:rPr>
            <w:fldChar w:fldCharType="end"/>
          </w:r>
          <w:r>
            <w:rPr>
              <w:rFonts w:hint="eastAsia" w:ascii="仿宋" w:hAnsi="仿宋" w:eastAsia="仿宋" w:cs="仿宋"/>
              <w:color w:val="auto"/>
              <w:szCs w:val="28"/>
              <w:highlight w:val="none"/>
            </w:rPr>
            <w:fldChar w:fldCharType="end"/>
          </w:r>
        </w:p>
        <w:p w14:paraId="28968709">
          <w:pPr>
            <w:pStyle w:val="23"/>
            <w:tabs>
              <w:tab w:val="right" w:leader="dot" w:pos="9497"/>
            </w:tabs>
            <w:rPr>
              <w:rFonts w:hint="eastAsia" w:ascii="仿宋" w:hAnsi="仿宋" w:eastAsia="仿宋" w:cs="仿宋"/>
              <w:color w:val="auto"/>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_Toc30535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第二章  供应商须知</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_Toc30535 \h </w:instrText>
          </w:r>
          <w:r>
            <w:rPr>
              <w:rFonts w:hint="eastAsia" w:ascii="仿宋" w:hAnsi="仿宋" w:eastAsia="仿宋" w:cs="仿宋"/>
              <w:color w:val="auto"/>
            </w:rPr>
            <w:fldChar w:fldCharType="separate"/>
          </w:r>
          <w:r>
            <w:rPr>
              <w:rFonts w:hint="eastAsia" w:ascii="仿宋" w:hAnsi="仿宋" w:eastAsia="仿宋" w:cs="仿宋"/>
              <w:color w:val="auto"/>
            </w:rPr>
            <w:t>9</w:t>
          </w:r>
          <w:r>
            <w:rPr>
              <w:rFonts w:hint="eastAsia" w:ascii="仿宋" w:hAnsi="仿宋" w:eastAsia="仿宋" w:cs="仿宋"/>
              <w:color w:val="auto"/>
            </w:rPr>
            <w:fldChar w:fldCharType="end"/>
          </w:r>
          <w:r>
            <w:rPr>
              <w:rFonts w:hint="eastAsia" w:ascii="仿宋" w:hAnsi="仿宋" w:eastAsia="仿宋" w:cs="仿宋"/>
              <w:color w:val="auto"/>
              <w:szCs w:val="28"/>
              <w:highlight w:val="none"/>
            </w:rPr>
            <w:fldChar w:fldCharType="end"/>
          </w:r>
        </w:p>
        <w:p w14:paraId="4769C6A4">
          <w:pPr>
            <w:pStyle w:val="23"/>
            <w:tabs>
              <w:tab w:val="right" w:leader="dot" w:pos="9497"/>
            </w:tabs>
            <w:rPr>
              <w:rFonts w:hint="eastAsia" w:ascii="仿宋" w:hAnsi="仿宋" w:eastAsia="仿宋" w:cs="仿宋"/>
              <w:color w:val="auto"/>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_Toc1278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第三章  合同条款（参考格式）</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_Toc1278 \h </w:instrText>
          </w:r>
          <w:r>
            <w:rPr>
              <w:rFonts w:hint="eastAsia" w:ascii="仿宋" w:hAnsi="仿宋" w:eastAsia="仿宋" w:cs="仿宋"/>
              <w:color w:val="auto"/>
            </w:rPr>
            <w:fldChar w:fldCharType="separate"/>
          </w:r>
          <w:r>
            <w:rPr>
              <w:rFonts w:hint="eastAsia" w:ascii="仿宋" w:hAnsi="仿宋" w:eastAsia="仿宋" w:cs="仿宋"/>
              <w:color w:val="auto"/>
            </w:rPr>
            <w:t>32</w:t>
          </w:r>
          <w:r>
            <w:rPr>
              <w:rFonts w:hint="eastAsia" w:ascii="仿宋" w:hAnsi="仿宋" w:eastAsia="仿宋" w:cs="仿宋"/>
              <w:color w:val="auto"/>
            </w:rPr>
            <w:fldChar w:fldCharType="end"/>
          </w:r>
          <w:r>
            <w:rPr>
              <w:rFonts w:hint="eastAsia" w:ascii="仿宋" w:hAnsi="仿宋" w:eastAsia="仿宋" w:cs="仿宋"/>
              <w:color w:val="auto"/>
              <w:szCs w:val="28"/>
              <w:highlight w:val="none"/>
            </w:rPr>
            <w:fldChar w:fldCharType="end"/>
          </w:r>
        </w:p>
        <w:p w14:paraId="071AEBB5">
          <w:pPr>
            <w:pStyle w:val="23"/>
            <w:tabs>
              <w:tab w:val="right" w:leader="dot" w:pos="9497"/>
            </w:tabs>
            <w:rPr>
              <w:rFonts w:hint="eastAsia" w:ascii="仿宋" w:hAnsi="仿宋" w:eastAsia="仿宋" w:cs="仿宋"/>
              <w:color w:val="auto"/>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_Toc24248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 xml:space="preserve">第四章  </w:t>
          </w:r>
          <w:r>
            <w:rPr>
              <w:rFonts w:hint="eastAsia" w:ascii="仿宋" w:hAnsi="仿宋" w:eastAsia="仿宋" w:cs="仿宋"/>
              <w:color w:val="auto"/>
              <w:highlight w:val="none"/>
              <w:lang w:val="en-US" w:eastAsia="zh-CN"/>
            </w:rPr>
            <w:t>招标内容及要求</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_Toc24248 \h </w:instrText>
          </w:r>
          <w:r>
            <w:rPr>
              <w:rFonts w:hint="eastAsia" w:ascii="仿宋" w:hAnsi="仿宋" w:eastAsia="仿宋" w:cs="仿宋"/>
              <w:color w:val="auto"/>
            </w:rPr>
            <w:fldChar w:fldCharType="separate"/>
          </w:r>
          <w:r>
            <w:rPr>
              <w:rFonts w:hint="eastAsia" w:ascii="仿宋" w:hAnsi="仿宋" w:eastAsia="仿宋" w:cs="仿宋"/>
              <w:color w:val="auto"/>
            </w:rPr>
            <w:t>40</w:t>
          </w:r>
          <w:r>
            <w:rPr>
              <w:rFonts w:hint="eastAsia" w:ascii="仿宋" w:hAnsi="仿宋" w:eastAsia="仿宋" w:cs="仿宋"/>
              <w:color w:val="auto"/>
            </w:rPr>
            <w:fldChar w:fldCharType="end"/>
          </w:r>
          <w:r>
            <w:rPr>
              <w:rFonts w:hint="eastAsia" w:ascii="仿宋" w:hAnsi="仿宋" w:eastAsia="仿宋" w:cs="仿宋"/>
              <w:color w:val="auto"/>
              <w:szCs w:val="28"/>
              <w:highlight w:val="none"/>
            </w:rPr>
            <w:fldChar w:fldCharType="end"/>
          </w:r>
        </w:p>
        <w:p w14:paraId="53AF2190">
          <w:pPr>
            <w:pStyle w:val="23"/>
            <w:tabs>
              <w:tab w:val="right" w:leader="dot" w:pos="9497"/>
            </w:tabs>
            <w:rPr>
              <w:rFonts w:hint="eastAsia" w:ascii="仿宋" w:hAnsi="仿宋" w:eastAsia="仿宋" w:cs="仿宋"/>
              <w:color w:val="auto"/>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_Toc6227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kern w:val="0"/>
              <w:szCs w:val="44"/>
              <w:highlight w:val="none"/>
              <w:lang w:val="en-US" w:eastAsia="zh-CN" w:bidi="ar-SA"/>
            </w:rPr>
            <w:t>第五章  评标办法</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_Toc6227 \h </w:instrText>
          </w:r>
          <w:r>
            <w:rPr>
              <w:rFonts w:hint="eastAsia" w:ascii="仿宋" w:hAnsi="仿宋" w:eastAsia="仿宋" w:cs="仿宋"/>
              <w:color w:val="auto"/>
            </w:rPr>
            <w:fldChar w:fldCharType="separate"/>
          </w:r>
          <w:r>
            <w:rPr>
              <w:rFonts w:hint="eastAsia" w:ascii="仿宋" w:hAnsi="仿宋" w:eastAsia="仿宋" w:cs="仿宋"/>
              <w:color w:val="auto"/>
            </w:rPr>
            <w:t>70</w:t>
          </w:r>
          <w:r>
            <w:rPr>
              <w:rFonts w:hint="eastAsia" w:ascii="仿宋" w:hAnsi="仿宋" w:eastAsia="仿宋" w:cs="仿宋"/>
              <w:color w:val="auto"/>
            </w:rPr>
            <w:fldChar w:fldCharType="end"/>
          </w:r>
          <w:r>
            <w:rPr>
              <w:rFonts w:hint="eastAsia" w:ascii="仿宋" w:hAnsi="仿宋" w:eastAsia="仿宋" w:cs="仿宋"/>
              <w:color w:val="auto"/>
              <w:szCs w:val="28"/>
              <w:highlight w:val="none"/>
            </w:rPr>
            <w:fldChar w:fldCharType="end"/>
          </w:r>
        </w:p>
        <w:p w14:paraId="14CD5886">
          <w:pPr>
            <w:pStyle w:val="23"/>
            <w:tabs>
              <w:tab w:val="right" w:leader="dot" w:pos="9497"/>
            </w:tabs>
            <w:rPr>
              <w:color w:val="auto"/>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_Toc13256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第</w:t>
          </w:r>
          <w:r>
            <w:rPr>
              <w:rFonts w:hint="eastAsia" w:ascii="仿宋" w:hAnsi="仿宋" w:eastAsia="仿宋" w:cs="仿宋"/>
              <w:color w:val="auto"/>
              <w:highlight w:val="none"/>
              <w:lang w:val="en-US" w:eastAsia="zh-CN"/>
            </w:rPr>
            <w:t>六</w:t>
          </w:r>
          <w:r>
            <w:rPr>
              <w:rFonts w:hint="eastAsia" w:ascii="仿宋" w:hAnsi="仿宋" w:eastAsia="仿宋" w:cs="仿宋"/>
              <w:color w:val="auto"/>
              <w:highlight w:val="none"/>
            </w:rPr>
            <w:t>章  投标文件构成及格式</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_Toc13256 \h </w:instrText>
          </w:r>
          <w:r>
            <w:rPr>
              <w:rFonts w:hint="eastAsia" w:ascii="仿宋" w:hAnsi="仿宋" w:eastAsia="仿宋" w:cs="仿宋"/>
              <w:color w:val="auto"/>
            </w:rPr>
            <w:fldChar w:fldCharType="separate"/>
          </w:r>
          <w:r>
            <w:rPr>
              <w:rFonts w:hint="eastAsia" w:ascii="仿宋" w:hAnsi="仿宋" w:eastAsia="仿宋" w:cs="仿宋"/>
              <w:color w:val="auto"/>
            </w:rPr>
            <w:t>83</w:t>
          </w:r>
          <w:r>
            <w:rPr>
              <w:rFonts w:hint="eastAsia" w:ascii="仿宋" w:hAnsi="仿宋" w:eastAsia="仿宋" w:cs="仿宋"/>
              <w:color w:val="auto"/>
            </w:rPr>
            <w:fldChar w:fldCharType="end"/>
          </w:r>
          <w:r>
            <w:rPr>
              <w:rFonts w:hint="eastAsia" w:ascii="仿宋" w:hAnsi="仿宋" w:eastAsia="仿宋" w:cs="仿宋"/>
              <w:color w:val="auto"/>
              <w:szCs w:val="28"/>
              <w:highlight w:val="none"/>
            </w:rPr>
            <w:fldChar w:fldCharType="end"/>
          </w:r>
        </w:p>
        <w:p w14:paraId="007FDC79">
          <w:pPr>
            <w:pStyle w:val="15"/>
            <w:keepNext w:val="0"/>
            <w:keepLines w:val="0"/>
            <w:pageBreakBefore w:val="0"/>
            <w:widowControl/>
            <w:kinsoku/>
            <w:wordWrap/>
            <w:overflowPunct/>
            <w:topLinePunct w:val="0"/>
            <w:autoSpaceDE/>
            <w:autoSpaceDN/>
            <w:bidi w:val="0"/>
            <w:adjustRightInd/>
            <w:snapToGrid/>
            <w:spacing w:after="0" w:afterLines="0"/>
            <w:ind w:left="0" w:leftChars="0"/>
            <w:textAlignment w:val="auto"/>
            <w:rPr>
              <w:rFonts w:hint="eastAsia" w:ascii="仿宋" w:hAnsi="仿宋" w:eastAsia="仿宋" w:cs="仿宋"/>
              <w:color w:val="auto"/>
              <w:highlight w:val="none"/>
            </w:rPr>
          </w:pPr>
          <w:r>
            <w:rPr>
              <w:rFonts w:hint="eastAsia" w:ascii="仿宋" w:hAnsi="仿宋" w:eastAsia="仿宋" w:cs="仿宋"/>
              <w:color w:val="auto"/>
              <w:szCs w:val="28"/>
              <w:highlight w:val="none"/>
            </w:rPr>
            <w:fldChar w:fldCharType="end"/>
          </w:r>
        </w:p>
      </w:sdtContent>
    </w:sdt>
    <w:p w14:paraId="269B159C">
      <w:pPr>
        <w:pStyle w:val="2"/>
        <w:rPr>
          <w:rFonts w:hint="eastAsia" w:ascii="仿宋" w:eastAsia="仿宋" w:cs="仿宋"/>
          <w:color w:val="auto"/>
          <w:highlight w:val="none"/>
        </w:rPr>
        <w:sectPr>
          <w:footerReference r:id="rId5" w:type="default"/>
          <w:footerReference r:id="rId6" w:type="even"/>
          <w:pgSz w:w="11906" w:h="16838"/>
          <w:pgMar w:top="1417" w:right="992" w:bottom="1417" w:left="1417" w:header="851" w:footer="992" w:gutter="0"/>
          <w:pgBorders>
            <w:top w:val="none" w:sz="0" w:space="0"/>
            <w:left w:val="none" w:sz="0" w:space="0"/>
            <w:bottom w:val="none" w:sz="0" w:space="0"/>
            <w:right w:val="none" w:sz="0" w:space="0"/>
          </w:pgBorders>
          <w:pgNumType w:fmt="decimal" w:start="1"/>
          <w:cols w:space="720" w:num="1"/>
          <w:rtlGutter w:val="0"/>
          <w:docGrid w:type="lines" w:linePitch="312" w:charSpace="0"/>
        </w:sectPr>
      </w:pPr>
    </w:p>
    <w:p w14:paraId="1D0528BA">
      <w:pPr>
        <w:pStyle w:val="2"/>
        <w:rPr>
          <w:rFonts w:hint="eastAsia" w:ascii="仿宋" w:eastAsia="仿宋" w:cs="仿宋"/>
          <w:color w:val="auto"/>
          <w:highlight w:val="none"/>
          <w:lang w:eastAsia="zh-CN"/>
        </w:rPr>
      </w:pPr>
      <w:bookmarkStart w:id="1" w:name="_Toc20649"/>
      <w:r>
        <w:rPr>
          <w:rFonts w:hint="eastAsia" w:ascii="仿宋" w:eastAsia="仿宋" w:cs="仿宋"/>
          <w:color w:val="auto"/>
          <w:highlight w:val="none"/>
        </w:rPr>
        <w:t xml:space="preserve">第一章  </w:t>
      </w:r>
      <w:bookmarkEnd w:id="0"/>
      <w:r>
        <w:rPr>
          <w:rFonts w:hint="eastAsia" w:ascii="仿宋" w:eastAsia="仿宋" w:cs="仿宋"/>
          <w:color w:val="auto"/>
          <w:highlight w:val="none"/>
          <w:lang w:val="en-US" w:eastAsia="zh-CN"/>
        </w:rPr>
        <w:t>招标公告</w:t>
      </w:r>
      <w:bookmarkEnd w:id="1"/>
    </w:p>
    <w:p w14:paraId="23A066C8">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480"/>
        </w:tabs>
        <w:kinsoku/>
        <w:wordWrap/>
        <w:overflowPunct/>
        <w:topLinePunct w:val="0"/>
        <w:autoSpaceDE/>
        <w:autoSpaceDN/>
        <w:bidi w:val="0"/>
        <w:adjustRightInd/>
        <w:snapToGrid/>
        <w:spacing w:before="0" w:beforeAutospacing="0" w:after="0" w:afterAutospacing="0" w:line="360" w:lineRule="auto"/>
        <w:ind w:right="0"/>
        <w:textAlignment w:val="auto"/>
        <w:outlineLvl w:val="9"/>
        <w:rPr>
          <w:rFonts w:hint="eastAsia" w:ascii="仿宋" w:hAnsi="仿宋" w:eastAsia="仿宋" w:cs="仿宋"/>
          <w:b/>
          <w:bCs w:val="0"/>
          <w:i w:val="0"/>
          <w:caps w:val="0"/>
          <w:color w:val="auto"/>
          <w:spacing w:val="0"/>
          <w:sz w:val="24"/>
          <w:szCs w:val="24"/>
          <w:highlight w:val="none"/>
          <w:shd w:val="clear" w:color="auto" w:fill="FFFFFF"/>
        </w:rPr>
      </w:pPr>
      <w:r>
        <w:rPr>
          <w:rFonts w:hint="eastAsia" w:ascii="仿宋" w:hAnsi="仿宋" w:eastAsia="仿宋" w:cs="仿宋"/>
          <w:b/>
          <w:bCs w:val="0"/>
          <w:i w:val="0"/>
          <w:caps w:val="0"/>
          <w:color w:val="auto"/>
          <w:spacing w:val="0"/>
          <w:sz w:val="24"/>
          <w:szCs w:val="24"/>
          <w:highlight w:val="none"/>
          <w:shd w:val="clear" w:color="auto" w:fill="FFFFFF"/>
        </w:rPr>
        <w:t>项目概况</w:t>
      </w:r>
    </w:p>
    <w:p w14:paraId="4DC29E62">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480"/>
        </w:tabs>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outlineLvl w:val="9"/>
        <w:rPr>
          <w:rFonts w:hint="eastAsia" w:ascii="仿宋" w:hAnsi="仿宋" w:eastAsia="仿宋" w:cs="仿宋"/>
          <w:b/>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eastAsia="zh-CN"/>
        </w:rPr>
        <w:t>非集采中药饮片招标采购项目（2包）二次</w:t>
      </w:r>
      <w:r>
        <w:rPr>
          <w:rFonts w:hint="eastAsia" w:ascii="仿宋" w:hAnsi="仿宋" w:eastAsia="仿宋" w:cs="仿宋"/>
          <w:b w:val="0"/>
          <w:bCs/>
          <w:i w:val="0"/>
          <w:caps w:val="0"/>
          <w:color w:val="auto"/>
          <w:spacing w:val="0"/>
          <w:sz w:val="24"/>
          <w:szCs w:val="24"/>
          <w:highlight w:val="none"/>
          <w:shd w:val="clear" w:color="auto" w:fill="FFFFFF"/>
        </w:rPr>
        <w:t>的潜在供应商应在全国公共资源交易平台（陕西省·西安市）】网站获取采购文件，并于202</w:t>
      </w:r>
      <w:r>
        <w:rPr>
          <w:rFonts w:hint="eastAsia" w:ascii="仿宋" w:hAnsi="仿宋" w:eastAsia="仿宋" w:cs="仿宋"/>
          <w:b w:val="0"/>
          <w:bCs/>
          <w:i w:val="0"/>
          <w:caps w:val="0"/>
          <w:color w:val="auto"/>
          <w:spacing w:val="0"/>
          <w:sz w:val="24"/>
          <w:szCs w:val="24"/>
          <w:highlight w:val="none"/>
          <w:shd w:val="clear" w:color="auto" w:fill="FFFFFF"/>
          <w:lang w:val="en-US" w:eastAsia="zh-CN"/>
        </w:rPr>
        <w:t>6</w:t>
      </w:r>
      <w:r>
        <w:rPr>
          <w:rFonts w:hint="eastAsia" w:ascii="仿宋" w:hAnsi="仿宋" w:eastAsia="仿宋" w:cs="仿宋"/>
          <w:b w:val="0"/>
          <w:bCs/>
          <w:i w:val="0"/>
          <w:caps w:val="0"/>
          <w:color w:val="auto"/>
          <w:spacing w:val="0"/>
          <w:sz w:val="24"/>
          <w:szCs w:val="24"/>
          <w:highlight w:val="none"/>
          <w:shd w:val="clear" w:color="auto" w:fill="FFFFFF"/>
        </w:rPr>
        <w:t>年</w:t>
      </w:r>
      <w:r>
        <w:rPr>
          <w:rFonts w:hint="eastAsia" w:ascii="仿宋" w:hAnsi="仿宋" w:eastAsia="仿宋" w:cs="仿宋"/>
          <w:b w:val="0"/>
          <w:bCs/>
          <w:i w:val="0"/>
          <w:caps w:val="0"/>
          <w:color w:val="auto"/>
          <w:spacing w:val="0"/>
          <w:sz w:val="24"/>
          <w:szCs w:val="24"/>
          <w:highlight w:val="none"/>
          <w:shd w:val="clear" w:color="auto" w:fill="FFFFFF"/>
          <w:lang w:val="en-US" w:eastAsia="zh-CN"/>
        </w:rPr>
        <w:t>08</w:t>
      </w:r>
      <w:r>
        <w:rPr>
          <w:rFonts w:hint="eastAsia" w:ascii="仿宋" w:hAnsi="仿宋" w:eastAsia="仿宋" w:cs="仿宋"/>
          <w:b w:val="0"/>
          <w:bCs/>
          <w:i w:val="0"/>
          <w:caps w:val="0"/>
          <w:color w:val="auto"/>
          <w:spacing w:val="0"/>
          <w:sz w:val="24"/>
          <w:szCs w:val="24"/>
          <w:highlight w:val="none"/>
          <w:shd w:val="clear" w:color="auto" w:fill="FFFFFF"/>
        </w:rPr>
        <w:t>月</w:t>
      </w:r>
      <w:r>
        <w:rPr>
          <w:rFonts w:hint="eastAsia" w:ascii="仿宋" w:hAnsi="仿宋" w:eastAsia="仿宋" w:cs="仿宋"/>
          <w:b w:val="0"/>
          <w:bCs/>
          <w:i w:val="0"/>
          <w:caps w:val="0"/>
          <w:color w:val="auto"/>
          <w:spacing w:val="0"/>
          <w:sz w:val="24"/>
          <w:szCs w:val="24"/>
          <w:highlight w:val="none"/>
          <w:shd w:val="clear" w:color="auto" w:fill="FFFFFF"/>
          <w:lang w:val="en-US" w:eastAsia="zh-CN"/>
        </w:rPr>
        <w:t>26</w:t>
      </w:r>
      <w:r>
        <w:rPr>
          <w:rFonts w:hint="eastAsia" w:ascii="仿宋" w:hAnsi="仿宋" w:eastAsia="仿宋" w:cs="仿宋"/>
          <w:b w:val="0"/>
          <w:bCs/>
          <w:i w:val="0"/>
          <w:caps w:val="0"/>
          <w:color w:val="auto"/>
          <w:spacing w:val="0"/>
          <w:sz w:val="24"/>
          <w:szCs w:val="24"/>
          <w:highlight w:val="none"/>
          <w:shd w:val="clear" w:color="auto" w:fill="FFFFFF"/>
        </w:rPr>
        <w:t>日09时</w:t>
      </w:r>
      <w:r>
        <w:rPr>
          <w:rFonts w:hint="eastAsia" w:ascii="仿宋" w:hAnsi="仿宋" w:eastAsia="仿宋" w:cs="仿宋"/>
          <w:b w:val="0"/>
          <w:bCs/>
          <w:i w:val="0"/>
          <w:caps w:val="0"/>
          <w:color w:val="auto"/>
          <w:spacing w:val="0"/>
          <w:sz w:val="24"/>
          <w:szCs w:val="24"/>
          <w:highlight w:val="none"/>
          <w:shd w:val="clear" w:color="auto" w:fill="FFFFFF"/>
          <w:lang w:val="en-US" w:eastAsia="zh-CN"/>
        </w:rPr>
        <w:t>3</w:t>
      </w:r>
      <w:r>
        <w:rPr>
          <w:rFonts w:hint="eastAsia" w:ascii="仿宋" w:hAnsi="仿宋" w:eastAsia="仿宋" w:cs="仿宋"/>
          <w:b w:val="0"/>
          <w:bCs/>
          <w:i w:val="0"/>
          <w:caps w:val="0"/>
          <w:color w:val="auto"/>
          <w:spacing w:val="0"/>
          <w:sz w:val="24"/>
          <w:szCs w:val="24"/>
          <w:highlight w:val="none"/>
          <w:shd w:val="clear" w:color="auto" w:fill="FFFFFF"/>
        </w:rPr>
        <w:t>0分（北京时间）前提交</w:t>
      </w:r>
      <w:r>
        <w:rPr>
          <w:rFonts w:hint="eastAsia" w:ascii="仿宋" w:hAnsi="仿宋" w:eastAsia="仿宋" w:cs="仿宋"/>
          <w:b w:val="0"/>
          <w:bCs/>
          <w:i w:val="0"/>
          <w:caps w:val="0"/>
          <w:color w:val="auto"/>
          <w:spacing w:val="0"/>
          <w:sz w:val="24"/>
          <w:szCs w:val="24"/>
          <w:highlight w:val="none"/>
          <w:shd w:val="clear" w:color="auto" w:fill="FFFFFF"/>
          <w:lang w:val="en-US" w:eastAsia="zh-CN"/>
        </w:rPr>
        <w:t>投标</w:t>
      </w:r>
      <w:r>
        <w:rPr>
          <w:rFonts w:hint="eastAsia" w:ascii="仿宋" w:hAnsi="仿宋" w:eastAsia="仿宋" w:cs="仿宋"/>
          <w:b w:val="0"/>
          <w:bCs/>
          <w:i w:val="0"/>
          <w:caps w:val="0"/>
          <w:color w:val="auto"/>
          <w:spacing w:val="0"/>
          <w:sz w:val="24"/>
          <w:szCs w:val="24"/>
          <w:highlight w:val="none"/>
          <w:shd w:val="clear" w:color="auto" w:fill="FFFFFF"/>
        </w:rPr>
        <w:t>文件。</w:t>
      </w:r>
    </w:p>
    <w:p w14:paraId="6E66A6F0">
      <w:pPr>
        <w:pStyle w:val="27"/>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i w:val="0"/>
          <w:caps w:val="0"/>
          <w:color w:val="auto"/>
          <w:spacing w:val="0"/>
          <w:sz w:val="24"/>
          <w:szCs w:val="24"/>
          <w:highlight w:val="none"/>
          <w:shd w:val="clear" w:color="auto" w:fill="FFFFFF"/>
        </w:rPr>
      </w:pPr>
      <w:r>
        <w:rPr>
          <w:rFonts w:hint="eastAsia" w:ascii="仿宋" w:hAnsi="仿宋" w:eastAsia="仿宋" w:cs="仿宋"/>
          <w:b/>
          <w:i w:val="0"/>
          <w:caps w:val="0"/>
          <w:color w:val="auto"/>
          <w:spacing w:val="0"/>
          <w:sz w:val="24"/>
          <w:szCs w:val="24"/>
          <w:highlight w:val="none"/>
          <w:shd w:val="clear" w:color="auto" w:fill="FFFFFF"/>
        </w:rPr>
        <w:t>项目基本情况</w:t>
      </w:r>
    </w:p>
    <w:p w14:paraId="611FAF9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rPr>
        <w:t>项目编号：</w:t>
      </w:r>
      <w:r>
        <w:rPr>
          <w:rFonts w:hint="eastAsia" w:ascii="仿宋" w:hAnsi="仿宋" w:eastAsia="仿宋" w:cs="仿宋"/>
          <w:b w:val="0"/>
          <w:bCs/>
          <w:i w:val="0"/>
          <w:caps w:val="0"/>
          <w:color w:val="auto"/>
          <w:spacing w:val="0"/>
          <w:sz w:val="24"/>
          <w:szCs w:val="24"/>
          <w:highlight w:val="none"/>
          <w:shd w:val="clear" w:color="auto" w:fill="FFFFFF"/>
          <w:lang w:eastAsia="zh-CN"/>
        </w:rPr>
        <w:t>HXGJXM2026-ZC-GK1036</w:t>
      </w:r>
    </w:p>
    <w:p w14:paraId="0A2D100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rPr>
        <w:t>项目名称：</w:t>
      </w:r>
      <w:r>
        <w:rPr>
          <w:rFonts w:hint="eastAsia" w:ascii="仿宋" w:hAnsi="仿宋" w:eastAsia="仿宋" w:cs="仿宋"/>
          <w:b w:val="0"/>
          <w:bCs/>
          <w:i w:val="0"/>
          <w:caps w:val="0"/>
          <w:color w:val="auto"/>
          <w:spacing w:val="0"/>
          <w:sz w:val="24"/>
          <w:szCs w:val="24"/>
          <w:highlight w:val="none"/>
          <w:shd w:val="clear" w:color="auto" w:fill="FFFFFF"/>
          <w:lang w:eastAsia="zh-CN"/>
        </w:rPr>
        <w:t>非集采中药饮片招标采购项目（2包）二次</w:t>
      </w:r>
    </w:p>
    <w:p w14:paraId="036968F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采购方式：公开招标</w:t>
      </w:r>
    </w:p>
    <w:p w14:paraId="2A2154E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预算金额：1626530.10元</w:t>
      </w:r>
    </w:p>
    <w:p w14:paraId="1FB1A42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采购需求：</w:t>
      </w:r>
    </w:p>
    <w:p w14:paraId="1532817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w:t>
      </w:r>
      <w:r>
        <w:rPr>
          <w:rFonts w:hint="eastAsia" w:ascii="仿宋" w:hAnsi="仿宋" w:eastAsia="仿宋" w:cs="仿宋"/>
          <w:b w:val="0"/>
          <w:bCs/>
          <w:i w:val="0"/>
          <w:caps w:val="0"/>
          <w:color w:val="auto"/>
          <w:spacing w:val="0"/>
          <w:sz w:val="24"/>
          <w:szCs w:val="24"/>
          <w:highlight w:val="none"/>
          <w:shd w:val="clear" w:color="auto" w:fill="FFFFFF"/>
          <w:lang w:val="en-US" w:eastAsia="zh-CN"/>
        </w:rPr>
        <w:t>1</w:t>
      </w:r>
      <w:r>
        <w:rPr>
          <w:rFonts w:hint="eastAsia" w:ascii="仿宋" w:hAnsi="仿宋" w:eastAsia="仿宋" w:cs="仿宋"/>
          <w:b w:val="0"/>
          <w:bCs/>
          <w:i w:val="0"/>
          <w:caps w:val="0"/>
          <w:color w:val="auto"/>
          <w:spacing w:val="0"/>
          <w:sz w:val="24"/>
          <w:szCs w:val="24"/>
          <w:highlight w:val="none"/>
          <w:shd w:val="clear" w:color="auto" w:fill="FFFFFF"/>
        </w:rPr>
        <w:t>(</w:t>
      </w:r>
      <w:r>
        <w:rPr>
          <w:rFonts w:hint="eastAsia" w:ascii="仿宋" w:hAnsi="仿宋" w:eastAsia="仿宋" w:cs="仿宋"/>
          <w:b w:val="0"/>
          <w:bCs/>
          <w:i w:val="0"/>
          <w:caps w:val="0"/>
          <w:color w:val="auto"/>
          <w:spacing w:val="0"/>
          <w:sz w:val="24"/>
          <w:szCs w:val="24"/>
          <w:highlight w:val="none"/>
          <w:shd w:val="clear" w:color="auto" w:fill="FFFFFF"/>
          <w:lang w:eastAsia="zh-CN"/>
        </w:rPr>
        <w:t>非集采中药饮片招标采购项目（2包）二次</w:t>
      </w:r>
      <w:r>
        <w:rPr>
          <w:rFonts w:hint="eastAsia" w:ascii="仿宋" w:hAnsi="仿宋" w:eastAsia="仿宋" w:cs="仿宋"/>
          <w:b w:val="0"/>
          <w:bCs/>
          <w:i w:val="0"/>
          <w:caps w:val="0"/>
          <w:color w:val="auto"/>
          <w:spacing w:val="0"/>
          <w:sz w:val="24"/>
          <w:szCs w:val="24"/>
          <w:highlight w:val="none"/>
          <w:shd w:val="clear" w:color="auto" w:fill="FFFFFF"/>
        </w:rPr>
        <w:t>):</w:t>
      </w:r>
    </w:p>
    <w:p w14:paraId="12739C0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合同包预算金额：</w:t>
      </w:r>
      <w:r>
        <w:rPr>
          <w:rFonts w:hint="eastAsia" w:ascii="仿宋" w:hAnsi="仿宋" w:eastAsia="仿宋" w:cs="仿宋"/>
          <w:b w:val="0"/>
          <w:bCs/>
          <w:i w:val="0"/>
          <w:caps w:val="0"/>
          <w:color w:val="auto"/>
          <w:spacing w:val="0"/>
          <w:sz w:val="24"/>
          <w:szCs w:val="24"/>
          <w:highlight w:val="none"/>
          <w:shd w:val="clear" w:color="auto" w:fill="FFFFFF"/>
          <w:lang w:eastAsia="zh-CN"/>
        </w:rPr>
        <w:t>1626530.10</w:t>
      </w:r>
      <w:r>
        <w:rPr>
          <w:rFonts w:hint="eastAsia" w:ascii="仿宋" w:hAnsi="仿宋" w:eastAsia="仿宋" w:cs="仿宋"/>
          <w:b w:val="0"/>
          <w:bCs/>
          <w:i w:val="0"/>
          <w:caps w:val="0"/>
          <w:color w:val="auto"/>
          <w:spacing w:val="0"/>
          <w:sz w:val="24"/>
          <w:szCs w:val="24"/>
          <w:highlight w:val="none"/>
          <w:shd w:val="clear" w:color="auto" w:fill="FFFFFF"/>
        </w:rPr>
        <w:t>元</w:t>
      </w:r>
    </w:p>
    <w:p w14:paraId="3D2D166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合同包最高限价：</w:t>
      </w:r>
      <w:r>
        <w:rPr>
          <w:rFonts w:hint="eastAsia" w:ascii="仿宋" w:hAnsi="仿宋" w:eastAsia="仿宋" w:cs="仿宋"/>
          <w:b w:val="0"/>
          <w:bCs/>
          <w:i w:val="0"/>
          <w:caps w:val="0"/>
          <w:color w:val="auto"/>
          <w:spacing w:val="0"/>
          <w:sz w:val="24"/>
          <w:szCs w:val="24"/>
          <w:highlight w:val="none"/>
          <w:shd w:val="clear" w:color="auto" w:fill="FFFFFF"/>
          <w:lang w:eastAsia="zh-CN"/>
        </w:rPr>
        <w:t>1626530.10</w:t>
      </w:r>
      <w:r>
        <w:rPr>
          <w:rFonts w:hint="eastAsia" w:ascii="仿宋" w:hAnsi="仿宋" w:eastAsia="仿宋" w:cs="仿宋"/>
          <w:b w:val="0"/>
          <w:bCs/>
          <w:i w:val="0"/>
          <w:caps w:val="0"/>
          <w:color w:val="auto"/>
          <w:spacing w:val="0"/>
          <w:sz w:val="24"/>
          <w:szCs w:val="24"/>
          <w:highlight w:val="none"/>
          <w:shd w:val="clear" w:color="auto" w:fill="FFFFFF"/>
        </w:rPr>
        <w:t>元</w:t>
      </w:r>
    </w:p>
    <w:tbl>
      <w:tblPr>
        <w:tblStyle w:val="32"/>
        <w:tblW w:w="9949" w:type="dxa"/>
        <w:tblInd w:w="-33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20"/>
        <w:gridCol w:w="1176"/>
        <w:gridCol w:w="1647"/>
        <w:gridCol w:w="1375"/>
        <w:gridCol w:w="1550"/>
        <w:gridCol w:w="1640"/>
        <w:gridCol w:w="1641"/>
      </w:tblGrid>
      <w:tr w14:paraId="16D61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9" w:hRule="atLeast"/>
          <w:tblHeader/>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99B596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品目号</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4C9B1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品目名称</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F51A0B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采购标的</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C6B926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数量</w:t>
            </w:r>
          </w:p>
          <w:p w14:paraId="27189C5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（单位）</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B4DC5F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技术规格、参数及要求</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3D6CAF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品目预算(元)</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BA65BE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最高限价(元)</w:t>
            </w:r>
          </w:p>
        </w:tc>
      </w:tr>
      <w:tr w14:paraId="46611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6" w:hRule="atLeast"/>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7161E6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1-1</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34445E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根及根茎类饮片</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866DE5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lang w:eastAsia="zh-CN"/>
              </w:rPr>
              <w:t>非集采中药饮片招标采购项目（2包）二次</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08F0FF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1项</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082176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详见采购文件</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77098C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1626530.10</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9765EB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1626530.10</w:t>
            </w:r>
          </w:p>
        </w:tc>
      </w:tr>
    </w:tbl>
    <w:p w14:paraId="2BA7A3C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本合同包不接受联合体投标</w:t>
      </w:r>
    </w:p>
    <w:p w14:paraId="1DADE03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合同履行期限：</w:t>
      </w:r>
      <w:r>
        <w:rPr>
          <w:rFonts w:hint="eastAsia" w:ascii="仿宋" w:hAnsi="仿宋" w:eastAsia="仿宋" w:cs="仿宋"/>
          <w:b w:val="0"/>
          <w:bCs/>
          <w:i w:val="0"/>
          <w:caps w:val="0"/>
          <w:color w:val="auto"/>
          <w:spacing w:val="0"/>
          <w:sz w:val="24"/>
          <w:szCs w:val="24"/>
          <w:highlight w:val="none"/>
          <w:shd w:val="clear" w:color="auto" w:fill="FFFFFF"/>
          <w:lang w:eastAsia="zh-CN"/>
        </w:rPr>
        <w:t>服务期限：1年，供货周期：接到采购计划后3个工作日内送达。</w:t>
      </w:r>
    </w:p>
    <w:p w14:paraId="1D0894F3">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i w:val="0"/>
          <w:caps w:val="0"/>
          <w:color w:val="auto"/>
          <w:spacing w:val="0"/>
          <w:sz w:val="24"/>
          <w:szCs w:val="24"/>
          <w:highlight w:val="none"/>
          <w:shd w:val="clear" w:color="auto" w:fill="FFFFFF"/>
        </w:rPr>
        <w:t>二、</w:t>
      </w:r>
      <w:r>
        <w:rPr>
          <w:rFonts w:hint="eastAsia" w:ascii="仿宋" w:hAnsi="仿宋" w:eastAsia="仿宋" w:cs="仿宋"/>
          <w:b/>
          <w:i w:val="0"/>
          <w:caps w:val="0"/>
          <w:color w:val="auto"/>
          <w:spacing w:val="0"/>
          <w:sz w:val="24"/>
          <w:szCs w:val="24"/>
          <w:highlight w:val="none"/>
          <w:shd w:val="clear" w:color="auto" w:fill="FFFFFF"/>
          <w:lang w:eastAsia="zh-CN"/>
        </w:rPr>
        <w:t>投标人</w:t>
      </w:r>
      <w:r>
        <w:rPr>
          <w:rFonts w:hint="eastAsia" w:ascii="仿宋" w:hAnsi="仿宋" w:eastAsia="仿宋" w:cs="仿宋"/>
          <w:b/>
          <w:i w:val="0"/>
          <w:caps w:val="0"/>
          <w:color w:val="auto"/>
          <w:spacing w:val="0"/>
          <w:sz w:val="24"/>
          <w:szCs w:val="24"/>
          <w:highlight w:val="none"/>
          <w:shd w:val="clear" w:color="auto" w:fill="FFFFFF"/>
        </w:rPr>
        <w:t>的资格要求</w:t>
      </w:r>
    </w:p>
    <w:p w14:paraId="6AFEE2FE">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1</w:t>
      </w:r>
      <w:r>
        <w:rPr>
          <w:rFonts w:hint="eastAsia" w:ascii="仿宋" w:hAnsi="仿宋" w:eastAsia="仿宋" w:cs="仿宋"/>
          <w:i w:val="0"/>
          <w:caps w:val="0"/>
          <w:color w:val="auto"/>
          <w:spacing w:val="0"/>
          <w:sz w:val="24"/>
          <w:szCs w:val="24"/>
          <w:highlight w:val="none"/>
          <w:shd w:val="clear" w:color="auto" w:fill="FFFFFF"/>
          <w:lang w:val="en-US" w:eastAsia="zh-CN"/>
        </w:rPr>
        <w:t>.</w:t>
      </w:r>
      <w:r>
        <w:rPr>
          <w:rFonts w:hint="eastAsia" w:ascii="仿宋" w:hAnsi="仿宋" w:eastAsia="仿宋" w:cs="仿宋"/>
          <w:i w:val="0"/>
          <w:caps w:val="0"/>
          <w:color w:val="auto"/>
          <w:spacing w:val="0"/>
          <w:sz w:val="24"/>
          <w:szCs w:val="24"/>
          <w:highlight w:val="none"/>
          <w:shd w:val="clear" w:color="auto" w:fill="FFFFFF"/>
        </w:rPr>
        <w:t>满足《中华人民共和国政府采购法》第二十二条规定</w:t>
      </w:r>
    </w:p>
    <w:p w14:paraId="3E4CAA68">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rPr>
        <w:t>2</w:t>
      </w:r>
      <w:r>
        <w:rPr>
          <w:rFonts w:hint="eastAsia" w:ascii="仿宋" w:hAnsi="仿宋" w:eastAsia="仿宋" w:cs="仿宋"/>
          <w:i w:val="0"/>
          <w:caps w:val="0"/>
          <w:color w:val="auto"/>
          <w:spacing w:val="0"/>
          <w:sz w:val="24"/>
          <w:szCs w:val="24"/>
          <w:highlight w:val="none"/>
          <w:shd w:val="clear" w:color="auto" w:fill="FFFFFF"/>
          <w:lang w:val="en-US" w:eastAsia="zh-CN"/>
        </w:rPr>
        <w:t>.</w:t>
      </w:r>
      <w:r>
        <w:rPr>
          <w:rFonts w:hint="eastAsia" w:ascii="仿宋" w:hAnsi="仿宋" w:eastAsia="仿宋" w:cs="仿宋"/>
          <w:i w:val="0"/>
          <w:caps w:val="0"/>
          <w:color w:val="auto"/>
          <w:spacing w:val="0"/>
          <w:sz w:val="24"/>
          <w:szCs w:val="24"/>
          <w:highlight w:val="none"/>
          <w:shd w:val="clear" w:color="auto" w:fill="FFFFFF"/>
        </w:rPr>
        <w:t>落实政府采购政策需满足的资格要求：</w:t>
      </w:r>
    </w:p>
    <w:p w14:paraId="41E61F6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合同包1(非集采中药饮片招标采购项目（2包）二次)落实政府采购政策需满足的资格要求如下:本合同包非专门面向中小企业采购。</w:t>
      </w:r>
    </w:p>
    <w:p w14:paraId="59C3C1A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420" w:leftChars="0" w:right="0" w:rightChars="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val="en-US" w:eastAsia="zh-CN"/>
        </w:rPr>
        <w:t>3.</w:t>
      </w:r>
      <w:r>
        <w:rPr>
          <w:rFonts w:hint="eastAsia" w:ascii="仿宋" w:hAnsi="仿宋" w:eastAsia="仿宋" w:cs="仿宋"/>
          <w:i w:val="0"/>
          <w:caps w:val="0"/>
          <w:color w:val="auto"/>
          <w:spacing w:val="0"/>
          <w:sz w:val="24"/>
          <w:szCs w:val="24"/>
          <w:highlight w:val="none"/>
          <w:shd w:val="clear" w:color="auto" w:fill="FFFFFF"/>
        </w:rPr>
        <w:t>本项目的特定资格要求：</w:t>
      </w:r>
    </w:p>
    <w:p w14:paraId="49B89FE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合同包1</w:t>
      </w:r>
      <w:r>
        <w:rPr>
          <w:rFonts w:hint="eastAsia" w:ascii="仿宋" w:hAnsi="仿宋" w:eastAsia="仿宋" w:cs="仿宋"/>
          <w:i w:val="0"/>
          <w:caps w:val="0"/>
          <w:color w:val="auto"/>
          <w:spacing w:val="0"/>
          <w:sz w:val="24"/>
          <w:szCs w:val="24"/>
          <w:highlight w:val="none"/>
          <w:shd w:val="clear" w:color="auto" w:fill="FFFFFF"/>
          <w:lang w:val="en-US" w:eastAsia="zh-CN"/>
        </w:rPr>
        <w:t>(非集采中药饮片招标采购项目（2包）二次)</w:t>
      </w:r>
      <w:r>
        <w:rPr>
          <w:rFonts w:hint="eastAsia" w:ascii="仿宋" w:hAnsi="仿宋" w:eastAsia="仿宋" w:cs="仿宋"/>
          <w:i w:val="0"/>
          <w:caps w:val="0"/>
          <w:color w:val="auto"/>
          <w:spacing w:val="0"/>
          <w:sz w:val="24"/>
          <w:szCs w:val="24"/>
          <w:highlight w:val="none"/>
          <w:shd w:val="clear" w:color="auto" w:fill="FFFFFF"/>
          <w:lang w:eastAsia="zh-CN"/>
        </w:rPr>
        <w:t>特定资格要求如下:</w:t>
      </w:r>
    </w:p>
    <w:p w14:paraId="34E2E27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1</w:t>
      </w:r>
      <w:r>
        <w:rPr>
          <w:rFonts w:hint="eastAsia" w:ascii="仿宋" w:hAnsi="仿宋" w:eastAsia="仿宋" w:cs="仿宋"/>
          <w:i w:val="0"/>
          <w:caps w:val="0"/>
          <w:color w:val="auto"/>
          <w:spacing w:val="0"/>
          <w:sz w:val="24"/>
          <w:szCs w:val="24"/>
          <w:highlight w:val="none"/>
          <w:shd w:val="clear" w:color="auto" w:fill="FFFFFF"/>
          <w:lang w:eastAsia="zh-CN"/>
        </w:rPr>
        <w:t>）①投标人为经营企业的须提供合法有效的《药品经营许可证》（经营范围须包括中药饮片）并提供所投产品的《药品生产许可证》（其生产范围应包含中药饮片），如为毒性饮片，其药品生产许可证的生产范围和经销商药品经营许可证的经营范围须包括中药饮片（含毒性饮片），如为实施批准文号管理的中药饮片须提供该品种的注册批件；</w:t>
      </w:r>
    </w:p>
    <w:p w14:paraId="569F357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②投标人为生产企业的须具有合法有效的《药品生产许可证》（其生产范围应包含中药饮片）如为毒性饮片，其药品生产许可证中的生产范围须包括中药饮片（含毒性饮片），如为实施批准文号管理的中药饮片须提供该品种的注册批件。</w:t>
      </w:r>
    </w:p>
    <w:p w14:paraId="3AECD6A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若投标产品（或其任何组成部分）属于《国家重点保护野生动物名录》或相关法律法规规定的野生动物物种制成的饮片，投标人必须提供该物种对应的、有效的林业主管部门核发的相关行政许可文件。如为实施批准文号管理的中药饮片须提供该品种的注册批件。</w:t>
      </w:r>
    </w:p>
    <w:p w14:paraId="00CAB59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i w:val="0"/>
          <w:caps w:val="0"/>
          <w:color w:val="auto"/>
          <w:spacing w:val="0"/>
          <w:sz w:val="24"/>
          <w:szCs w:val="24"/>
          <w:highlight w:val="none"/>
          <w:shd w:val="clear" w:color="auto" w:fill="FFFFFF"/>
        </w:rPr>
        <w:t>；</w:t>
      </w:r>
    </w:p>
    <w:p w14:paraId="70D2071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3</w:t>
      </w: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rPr>
        <w:t>供应商</w:t>
      </w:r>
      <w:r>
        <w:rPr>
          <w:rFonts w:hint="eastAsia" w:ascii="仿宋" w:hAnsi="仿宋" w:eastAsia="仿宋" w:cs="仿宋"/>
          <w:i w:val="0"/>
          <w:caps w:val="0"/>
          <w:color w:val="auto"/>
          <w:spacing w:val="0"/>
          <w:sz w:val="24"/>
          <w:szCs w:val="24"/>
          <w:highlight w:val="none"/>
          <w:shd w:val="clear" w:color="auto" w:fill="FFFFFF"/>
          <w:lang w:val="en-US" w:eastAsia="zh-CN"/>
        </w:rPr>
        <w:t>未被</w:t>
      </w:r>
      <w:r>
        <w:rPr>
          <w:rFonts w:hint="eastAsia" w:ascii="仿宋" w:hAnsi="仿宋" w:eastAsia="仿宋" w:cs="仿宋"/>
          <w:i w:val="0"/>
          <w:caps w:val="0"/>
          <w:color w:val="auto"/>
          <w:spacing w:val="0"/>
          <w:sz w:val="24"/>
          <w:szCs w:val="24"/>
          <w:highlight w:val="none"/>
          <w:shd w:val="clear" w:color="auto" w:fill="FFFFFF"/>
        </w:rPr>
        <w:t>“信用中国”网站（www.creditchina.gov.cn）列入失信被执行人</w:t>
      </w:r>
      <w:r>
        <w:rPr>
          <w:rFonts w:hint="eastAsia" w:ascii="仿宋" w:hAnsi="仿宋" w:eastAsia="仿宋" w:cs="仿宋"/>
          <w:i w:val="0"/>
          <w:caps w:val="0"/>
          <w:color w:val="auto"/>
          <w:spacing w:val="0"/>
          <w:sz w:val="24"/>
          <w:szCs w:val="24"/>
          <w:highlight w:val="none"/>
          <w:shd w:val="clear" w:color="auto" w:fill="FFFFFF"/>
          <w:lang w:val="en-US" w:eastAsia="zh-CN"/>
        </w:rPr>
        <w:t>和重大税收违法失信主体，未被</w:t>
      </w:r>
      <w:r>
        <w:rPr>
          <w:rFonts w:hint="eastAsia" w:ascii="仿宋" w:hAnsi="仿宋" w:eastAsia="仿宋" w:cs="仿宋"/>
          <w:i w:val="0"/>
          <w:caps w:val="0"/>
          <w:color w:val="auto"/>
          <w:spacing w:val="0"/>
          <w:sz w:val="24"/>
          <w:szCs w:val="24"/>
          <w:highlight w:val="none"/>
          <w:shd w:val="clear" w:color="auto" w:fill="FFFFFF"/>
        </w:rPr>
        <w:t>中国政府采购网（www.ccgp.gov.cn）</w:t>
      </w:r>
      <w:r>
        <w:rPr>
          <w:rFonts w:hint="eastAsia" w:ascii="仿宋" w:hAnsi="仿宋" w:eastAsia="仿宋" w:cs="仿宋"/>
          <w:i w:val="0"/>
          <w:caps w:val="0"/>
          <w:color w:val="auto"/>
          <w:spacing w:val="0"/>
          <w:sz w:val="24"/>
          <w:szCs w:val="24"/>
          <w:highlight w:val="none"/>
          <w:shd w:val="clear" w:color="auto" w:fill="FFFFFF"/>
          <w:lang w:val="en-US" w:eastAsia="zh-CN"/>
        </w:rPr>
        <w:t>列入</w:t>
      </w:r>
      <w:r>
        <w:rPr>
          <w:rFonts w:hint="eastAsia" w:ascii="仿宋" w:hAnsi="仿宋" w:eastAsia="仿宋" w:cs="仿宋"/>
          <w:i w:val="0"/>
          <w:caps w:val="0"/>
          <w:color w:val="auto"/>
          <w:spacing w:val="0"/>
          <w:sz w:val="24"/>
          <w:szCs w:val="24"/>
          <w:highlight w:val="none"/>
          <w:shd w:val="clear" w:color="auto" w:fill="FFFFFF"/>
        </w:rPr>
        <w:t>政府采购严重违法失信行为记录名单。</w:t>
      </w:r>
    </w:p>
    <w:p w14:paraId="5E462582">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lang w:val="en-US"/>
        </w:rPr>
      </w:pPr>
      <w:r>
        <w:rPr>
          <w:rFonts w:hint="eastAsia" w:ascii="仿宋" w:hAnsi="仿宋" w:eastAsia="仿宋" w:cs="仿宋"/>
          <w:b/>
          <w:i w:val="0"/>
          <w:caps w:val="0"/>
          <w:color w:val="auto"/>
          <w:spacing w:val="0"/>
          <w:sz w:val="24"/>
          <w:szCs w:val="24"/>
          <w:highlight w:val="none"/>
          <w:shd w:val="clear" w:color="auto" w:fill="FFFFFF"/>
        </w:rPr>
        <w:t>三、</w:t>
      </w:r>
      <w:r>
        <w:rPr>
          <w:rFonts w:hint="eastAsia" w:ascii="仿宋" w:hAnsi="仿宋" w:eastAsia="仿宋" w:cs="仿宋"/>
          <w:b/>
          <w:i w:val="0"/>
          <w:caps w:val="0"/>
          <w:color w:val="auto"/>
          <w:spacing w:val="0"/>
          <w:sz w:val="24"/>
          <w:szCs w:val="24"/>
          <w:highlight w:val="none"/>
          <w:shd w:val="clear" w:color="auto" w:fill="FFFFFF"/>
          <w:lang w:val="en-US" w:eastAsia="zh-CN"/>
        </w:rPr>
        <w:t>获取招标文件</w:t>
      </w:r>
    </w:p>
    <w:p w14:paraId="08FB89C4">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rPr>
        <w:t>时间：202</w:t>
      </w:r>
      <w:r>
        <w:rPr>
          <w:rFonts w:hint="eastAsia" w:ascii="仿宋" w:hAnsi="仿宋" w:eastAsia="仿宋" w:cs="仿宋"/>
          <w:i w:val="0"/>
          <w:caps w:val="0"/>
          <w:color w:val="auto"/>
          <w:spacing w:val="0"/>
          <w:sz w:val="24"/>
          <w:szCs w:val="24"/>
          <w:highlight w:val="none"/>
          <w:shd w:val="clear" w:color="auto" w:fill="FFFFFF"/>
          <w:lang w:val="en-US" w:eastAsia="zh-CN"/>
        </w:rPr>
        <w:t>6</w:t>
      </w:r>
      <w:r>
        <w:rPr>
          <w:rFonts w:hint="eastAsia" w:ascii="仿宋" w:hAnsi="仿宋" w:eastAsia="仿宋" w:cs="仿宋"/>
          <w:i w:val="0"/>
          <w:caps w:val="0"/>
          <w:color w:val="auto"/>
          <w:spacing w:val="0"/>
          <w:sz w:val="24"/>
          <w:szCs w:val="24"/>
          <w:highlight w:val="none"/>
          <w:shd w:val="clear" w:color="auto" w:fill="FFFFFF"/>
        </w:rPr>
        <w:t>年</w:t>
      </w:r>
      <w:r>
        <w:rPr>
          <w:rFonts w:hint="eastAsia" w:ascii="仿宋" w:hAnsi="仿宋" w:eastAsia="仿宋" w:cs="仿宋"/>
          <w:i w:val="0"/>
          <w:caps w:val="0"/>
          <w:color w:val="auto"/>
          <w:spacing w:val="0"/>
          <w:sz w:val="24"/>
          <w:szCs w:val="24"/>
          <w:highlight w:val="none"/>
          <w:shd w:val="clear" w:color="auto" w:fill="FFFFFF"/>
          <w:lang w:val="en-US" w:eastAsia="zh-CN"/>
        </w:rPr>
        <w:t>08</w:t>
      </w:r>
      <w:r>
        <w:rPr>
          <w:rFonts w:hint="eastAsia" w:ascii="仿宋" w:hAnsi="仿宋" w:eastAsia="仿宋" w:cs="仿宋"/>
          <w:i w:val="0"/>
          <w:caps w:val="0"/>
          <w:color w:val="auto"/>
          <w:spacing w:val="0"/>
          <w:sz w:val="24"/>
          <w:szCs w:val="24"/>
          <w:highlight w:val="none"/>
          <w:shd w:val="clear" w:color="auto" w:fill="FFFFFF"/>
        </w:rPr>
        <w:t>月</w:t>
      </w:r>
      <w:r>
        <w:rPr>
          <w:rFonts w:hint="eastAsia" w:ascii="仿宋" w:hAnsi="仿宋" w:eastAsia="仿宋" w:cs="仿宋"/>
          <w:i w:val="0"/>
          <w:caps w:val="0"/>
          <w:color w:val="auto"/>
          <w:spacing w:val="0"/>
          <w:sz w:val="24"/>
          <w:szCs w:val="24"/>
          <w:highlight w:val="none"/>
          <w:shd w:val="clear" w:color="auto" w:fill="FFFFFF"/>
          <w:lang w:val="en-US" w:eastAsia="zh-CN"/>
        </w:rPr>
        <w:t>06</w:t>
      </w:r>
      <w:r>
        <w:rPr>
          <w:rFonts w:hint="eastAsia" w:ascii="仿宋" w:hAnsi="仿宋" w:eastAsia="仿宋" w:cs="仿宋"/>
          <w:i w:val="0"/>
          <w:caps w:val="0"/>
          <w:color w:val="auto"/>
          <w:spacing w:val="0"/>
          <w:sz w:val="24"/>
          <w:szCs w:val="24"/>
          <w:highlight w:val="none"/>
          <w:shd w:val="clear" w:color="auto" w:fill="FFFFFF"/>
        </w:rPr>
        <w:t>日至</w:t>
      </w:r>
      <w:r>
        <w:rPr>
          <w:rFonts w:hint="eastAsia" w:ascii="仿宋" w:hAnsi="仿宋" w:eastAsia="仿宋" w:cs="仿宋"/>
          <w:i w:val="0"/>
          <w:caps w:val="0"/>
          <w:color w:val="auto"/>
          <w:spacing w:val="0"/>
          <w:sz w:val="24"/>
          <w:szCs w:val="24"/>
          <w:highlight w:val="none"/>
          <w:shd w:val="clear" w:color="auto" w:fill="FFFFFF"/>
          <w:lang w:eastAsia="zh-CN"/>
        </w:rPr>
        <w:t>202</w:t>
      </w:r>
      <w:r>
        <w:rPr>
          <w:rFonts w:hint="eastAsia" w:ascii="仿宋" w:hAnsi="仿宋" w:eastAsia="仿宋" w:cs="仿宋"/>
          <w:i w:val="0"/>
          <w:caps w:val="0"/>
          <w:color w:val="auto"/>
          <w:spacing w:val="0"/>
          <w:sz w:val="24"/>
          <w:szCs w:val="24"/>
          <w:highlight w:val="none"/>
          <w:shd w:val="clear" w:color="auto" w:fill="FFFFFF"/>
          <w:lang w:val="en-US" w:eastAsia="zh-CN"/>
        </w:rPr>
        <w:t>6</w:t>
      </w:r>
      <w:r>
        <w:rPr>
          <w:rFonts w:hint="eastAsia" w:ascii="仿宋" w:hAnsi="仿宋" w:eastAsia="仿宋" w:cs="仿宋"/>
          <w:i w:val="0"/>
          <w:caps w:val="0"/>
          <w:color w:val="auto"/>
          <w:spacing w:val="0"/>
          <w:sz w:val="24"/>
          <w:szCs w:val="24"/>
          <w:highlight w:val="none"/>
          <w:shd w:val="clear" w:color="auto" w:fill="FFFFFF"/>
          <w:lang w:eastAsia="zh-CN"/>
        </w:rPr>
        <w:t>年</w:t>
      </w:r>
      <w:r>
        <w:rPr>
          <w:rFonts w:hint="eastAsia" w:ascii="仿宋" w:hAnsi="仿宋" w:eastAsia="仿宋" w:cs="仿宋"/>
          <w:i w:val="0"/>
          <w:caps w:val="0"/>
          <w:color w:val="auto"/>
          <w:spacing w:val="0"/>
          <w:sz w:val="24"/>
          <w:szCs w:val="24"/>
          <w:highlight w:val="none"/>
          <w:shd w:val="clear" w:color="auto" w:fill="FFFFFF"/>
          <w:lang w:val="en-US" w:eastAsia="zh-CN"/>
        </w:rPr>
        <w:t>08</w:t>
      </w:r>
      <w:r>
        <w:rPr>
          <w:rFonts w:hint="eastAsia" w:ascii="仿宋" w:hAnsi="仿宋" w:eastAsia="仿宋" w:cs="仿宋"/>
          <w:i w:val="0"/>
          <w:caps w:val="0"/>
          <w:color w:val="auto"/>
          <w:spacing w:val="0"/>
          <w:sz w:val="24"/>
          <w:szCs w:val="24"/>
          <w:highlight w:val="none"/>
          <w:shd w:val="clear" w:color="auto" w:fill="FFFFFF"/>
          <w:lang w:eastAsia="zh-CN"/>
        </w:rPr>
        <w:t>月</w:t>
      </w:r>
      <w:r>
        <w:rPr>
          <w:rFonts w:hint="eastAsia" w:ascii="仿宋" w:hAnsi="仿宋" w:eastAsia="仿宋" w:cs="仿宋"/>
          <w:i w:val="0"/>
          <w:caps w:val="0"/>
          <w:color w:val="auto"/>
          <w:spacing w:val="0"/>
          <w:sz w:val="24"/>
          <w:szCs w:val="24"/>
          <w:highlight w:val="none"/>
          <w:shd w:val="clear" w:color="auto" w:fill="FFFFFF"/>
          <w:lang w:val="en-US" w:eastAsia="zh-CN"/>
        </w:rPr>
        <w:t>12</w:t>
      </w:r>
      <w:r>
        <w:rPr>
          <w:rFonts w:hint="eastAsia" w:ascii="仿宋" w:hAnsi="仿宋" w:eastAsia="仿宋" w:cs="仿宋"/>
          <w:i w:val="0"/>
          <w:caps w:val="0"/>
          <w:color w:val="auto"/>
          <w:spacing w:val="0"/>
          <w:sz w:val="24"/>
          <w:szCs w:val="24"/>
          <w:highlight w:val="none"/>
          <w:shd w:val="clear" w:color="auto" w:fill="FFFFFF"/>
        </w:rPr>
        <w:t>日，每天上午0</w:t>
      </w:r>
      <w:r>
        <w:rPr>
          <w:rFonts w:hint="eastAsia" w:ascii="仿宋" w:hAnsi="仿宋" w:eastAsia="仿宋" w:cs="仿宋"/>
          <w:i w:val="0"/>
          <w:caps w:val="0"/>
          <w:color w:val="auto"/>
          <w:spacing w:val="0"/>
          <w:sz w:val="24"/>
          <w:szCs w:val="24"/>
          <w:highlight w:val="none"/>
          <w:shd w:val="clear" w:color="auto" w:fill="FFFFFF"/>
          <w:lang w:val="en-US" w:eastAsia="zh-CN"/>
        </w:rPr>
        <w:t>0</w:t>
      </w:r>
      <w:r>
        <w:rPr>
          <w:rFonts w:hint="eastAsia" w:ascii="仿宋" w:hAnsi="仿宋" w:eastAsia="仿宋" w:cs="仿宋"/>
          <w:i w:val="0"/>
          <w:caps w:val="0"/>
          <w:color w:val="auto"/>
          <w:spacing w:val="0"/>
          <w:sz w:val="24"/>
          <w:szCs w:val="24"/>
          <w:highlight w:val="none"/>
          <w:shd w:val="clear" w:color="auto" w:fill="FFFFFF"/>
        </w:rPr>
        <w:t>:00:00至1</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sz w:val="24"/>
          <w:szCs w:val="24"/>
          <w:highlight w:val="none"/>
          <w:shd w:val="clear" w:color="auto" w:fill="FFFFFF"/>
          <w:lang w:val="en-US" w:eastAsia="zh-CN"/>
        </w:rPr>
        <w:t>0</w:t>
      </w:r>
      <w:r>
        <w:rPr>
          <w:rFonts w:hint="eastAsia" w:ascii="仿宋" w:hAnsi="仿宋" w:eastAsia="仿宋" w:cs="仿宋"/>
          <w:i w:val="0"/>
          <w:caps w:val="0"/>
          <w:color w:val="auto"/>
          <w:spacing w:val="0"/>
          <w:sz w:val="24"/>
          <w:szCs w:val="24"/>
          <w:highlight w:val="none"/>
          <w:shd w:val="clear" w:color="auto" w:fill="FFFFFF"/>
        </w:rPr>
        <w:t>0:00，下午1</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sz w:val="24"/>
          <w:szCs w:val="24"/>
          <w:highlight w:val="none"/>
          <w:shd w:val="clear" w:color="auto" w:fill="FFFFFF"/>
          <w:lang w:val="en-US" w:eastAsia="zh-CN"/>
        </w:rPr>
        <w:t>0</w:t>
      </w:r>
      <w:r>
        <w:rPr>
          <w:rFonts w:hint="eastAsia" w:ascii="仿宋" w:hAnsi="仿宋" w:eastAsia="仿宋" w:cs="仿宋"/>
          <w:i w:val="0"/>
          <w:caps w:val="0"/>
          <w:color w:val="auto"/>
          <w:spacing w:val="0"/>
          <w:sz w:val="24"/>
          <w:szCs w:val="24"/>
          <w:highlight w:val="none"/>
          <w:shd w:val="clear" w:color="auto" w:fill="FFFFFF"/>
        </w:rPr>
        <w:t>0:00至</w:t>
      </w:r>
      <w:r>
        <w:rPr>
          <w:rFonts w:hint="eastAsia" w:ascii="仿宋" w:hAnsi="仿宋" w:eastAsia="仿宋" w:cs="仿宋"/>
          <w:i w:val="0"/>
          <w:caps w:val="0"/>
          <w:color w:val="auto"/>
          <w:spacing w:val="0"/>
          <w:sz w:val="24"/>
          <w:szCs w:val="24"/>
          <w:highlight w:val="none"/>
          <w:shd w:val="clear" w:color="auto" w:fill="FFFFFF"/>
          <w:lang w:val="en-US" w:eastAsia="zh-CN"/>
        </w:rPr>
        <w:t>23</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sz w:val="24"/>
          <w:szCs w:val="24"/>
          <w:highlight w:val="none"/>
          <w:shd w:val="clear" w:color="auto" w:fill="FFFFFF"/>
          <w:lang w:val="en-US" w:eastAsia="zh-CN"/>
        </w:rPr>
        <w:t>59</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sz w:val="24"/>
          <w:szCs w:val="24"/>
          <w:highlight w:val="none"/>
          <w:shd w:val="clear" w:color="auto" w:fill="FFFFFF"/>
          <w:lang w:val="en-US" w:eastAsia="zh-CN"/>
        </w:rPr>
        <w:t>59</w:t>
      </w:r>
      <w:r>
        <w:rPr>
          <w:rFonts w:hint="eastAsia" w:ascii="仿宋" w:hAnsi="仿宋" w:eastAsia="仿宋" w:cs="仿宋"/>
          <w:i w:val="0"/>
          <w:caps w:val="0"/>
          <w:color w:val="auto"/>
          <w:spacing w:val="0"/>
          <w:sz w:val="24"/>
          <w:szCs w:val="24"/>
          <w:highlight w:val="none"/>
          <w:shd w:val="clear" w:color="auto" w:fill="FFFFFF"/>
        </w:rPr>
        <w:t>（北京时间,法定节假日除外）</w:t>
      </w:r>
    </w:p>
    <w:p w14:paraId="41EB9402">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地点：全国公共资源交易平台（陕西省·西安市）网站</w:t>
      </w:r>
    </w:p>
    <w:p w14:paraId="0EB9E1ED">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i w:val="0"/>
          <w:caps w:val="0"/>
          <w:color w:val="auto"/>
          <w:spacing w:val="0"/>
          <w:sz w:val="24"/>
          <w:szCs w:val="24"/>
          <w:highlight w:val="none"/>
          <w:shd w:val="clear" w:color="auto" w:fill="FFFFFF"/>
        </w:rPr>
        <w:t>方式：在线</w:t>
      </w:r>
      <w:r>
        <w:rPr>
          <w:rFonts w:hint="eastAsia" w:ascii="仿宋" w:hAnsi="仿宋" w:eastAsia="仿宋" w:cs="仿宋"/>
          <w:i w:val="0"/>
          <w:caps w:val="0"/>
          <w:color w:val="auto"/>
          <w:spacing w:val="0"/>
          <w:sz w:val="24"/>
          <w:szCs w:val="24"/>
          <w:highlight w:val="none"/>
          <w:shd w:val="clear" w:color="auto" w:fill="FFFFFF"/>
          <w:lang w:val="en-US" w:eastAsia="zh-CN"/>
        </w:rPr>
        <w:t>获取</w:t>
      </w:r>
    </w:p>
    <w:p w14:paraId="3CE2FF9F">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售价：免费获取</w:t>
      </w:r>
    </w:p>
    <w:p w14:paraId="469939E8">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lang w:val="en-US" w:eastAsia="zh-CN"/>
        </w:rPr>
      </w:pPr>
      <w:r>
        <w:rPr>
          <w:rFonts w:hint="eastAsia" w:ascii="仿宋" w:hAnsi="仿宋" w:eastAsia="仿宋" w:cs="仿宋"/>
          <w:b/>
          <w:i w:val="0"/>
          <w:caps w:val="0"/>
          <w:color w:val="auto"/>
          <w:spacing w:val="0"/>
          <w:sz w:val="24"/>
          <w:szCs w:val="24"/>
          <w:highlight w:val="none"/>
          <w:shd w:val="clear" w:color="auto" w:fill="FFFFFF"/>
        </w:rPr>
        <w:t>四、</w:t>
      </w:r>
      <w:r>
        <w:rPr>
          <w:rFonts w:hint="eastAsia" w:ascii="仿宋" w:hAnsi="仿宋" w:eastAsia="仿宋" w:cs="仿宋"/>
          <w:b/>
          <w:i w:val="0"/>
          <w:caps w:val="0"/>
          <w:color w:val="auto"/>
          <w:spacing w:val="0"/>
          <w:sz w:val="24"/>
          <w:szCs w:val="24"/>
          <w:highlight w:val="none"/>
          <w:shd w:val="clear" w:color="auto" w:fill="FFFFFF"/>
          <w:lang w:val="en-US" w:eastAsia="zh-CN"/>
        </w:rPr>
        <w:t>提交</w:t>
      </w:r>
      <w:r>
        <w:rPr>
          <w:rFonts w:hint="eastAsia" w:ascii="仿宋" w:hAnsi="仿宋" w:eastAsia="仿宋" w:cs="仿宋"/>
          <w:b/>
          <w:i w:val="0"/>
          <w:caps w:val="0"/>
          <w:color w:val="auto"/>
          <w:spacing w:val="0"/>
          <w:sz w:val="24"/>
          <w:szCs w:val="24"/>
          <w:highlight w:val="none"/>
          <w:shd w:val="clear" w:color="auto" w:fill="FFFFFF"/>
          <w:lang w:eastAsia="zh-CN"/>
        </w:rPr>
        <w:t>投标</w:t>
      </w:r>
      <w:r>
        <w:rPr>
          <w:rFonts w:hint="eastAsia" w:ascii="仿宋" w:hAnsi="仿宋" w:eastAsia="仿宋" w:cs="仿宋"/>
          <w:b/>
          <w:i w:val="0"/>
          <w:caps w:val="0"/>
          <w:color w:val="auto"/>
          <w:spacing w:val="0"/>
          <w:sz w:val="24"/>
          <w:szCs w:val="24"/>
          <w:highlight w:val="none"/>
          <w:shd w:val="clear" w:color="auto" w:fill="FFFFFF"/>
        </w:rPr>
        <w:t>文件</w:t>
      </w:r>
      <w:r>
        <w:rPr>
          <w:rFonts w:hint="eastAsia" w:ascii="仿宋" w:hAnsi="仿宋" w:eastAsia="仿宋" w:cs="仿宋"/>
          <w:b/>
          <w:i w:val="0"/>
          <w:caps w:val="0"/>
          <w:color w:val="auto"/>
          <w:spacing w:val="0"/>
          <w:sz w:val="24"/>
          <w:szCs w:val="24"/>
          <w:highlight w:val="none"/>
          <w:shd w:val="clear" w:color="auto" w:fill="FFFFFF"/>
          <w:lang w:val="en-US" w:eastAsia="zh-CN"/>
        </w:rPr>
        <w:t>截止时间、开标时间和地点</w:t>
      </w:r>
    </w:p>
    <w:p w14:paraId="3C334086">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val="en-US" w:eastAsia="zh-CN"/>
        </w:rPr>
        <w:t>时间：2026</w:t>
      </w:r>
      <w:r>
        <w:rPr>
          <w:rFonts w:hint="eastAsia" w:ascii="仿宋" w:hAnsi="仿宋" w:eastAsia="仿宋" w:cs="仿宋"/>
          <w:i w:val="0"/>
          <w:caps w:val="0"/>
          <w:color w:val="auto"/>
          <w:spacing w:val="0"/>
          <w:sz w:val="24"/>
          <w:szCs w:val="24"/>
          <w:highlight w:val="none"/>
          <w:shd w:val="clear" w:color="auto" w:fill="FFFFFF"/>
        </w:rPr>
        <w:t>年</w:t>
      </w:r>
      <w:r>
        <w:rPr>
          <w:rFonts w:hint="eastAsia" w:ascii="仿宋" w:hAnsi="仿宋" w:eastAsia="仿宋" w:cs="仿宋"/>
          <w:i w:val="0"/>
          <w:caps w:val="0"/>
          <w:color w:val="auto"/>
          <w:spacing w:val="0"/>
          <w:sz w:val="24"/>
          <w:szCs w:val="24"/>
          <w:highlight w:val="none"/>
          <w:shd w:val="clear" w:color="auto" w:fill="FFFFFF"/>
          <w:lang w:val="en-US" w:eastAsia="zh-CN"/>
        </w:rPr>
        <w:t>08</w:t>
      </w:r>
      <w:r>
        <w:rPr>
          <w:rFonts w:hint="eastAsia" w:ascii="仿宋" w:hAnsi="仿宋" w:eastAsia="仿宋" w:cs="仿宋"/>
          <w:i w:val="0"/>
          <w:caps w:val="0"/>
          <w:color w:val="auto"/>
          <w:spacing w:val="0"/>
          <w:sz w:val="24"/>
          <w:szCs w:val="24"/>
          <w:highlight w:val="none"/>
          <w:shd w:val="clear" w:color="auto" w:fill="FFFFFF"/>
        </w:rPr>
        <w:t>月</w:t>
      </w:r>
      <w:r>
        <w:rPr>
          <w:rFonts w:hint="eastAsia" w:ascii="仿宋" w:hAnsi="仿宋" w:eastAsia="仿宋" w:cs="仿宋"/>
          <w:i w:val="0"/>
          <w:caps w:val="0"/>
          <w:color w:val="auto"/>
          <w:spacing w:val="0"/>
          <w:sz w:val="24"/>
          <w:szCs w:val="24"/>
          <w:highlight w:val="none"/>
          <w:shd w:val="clear" w:color="auto" w:fill="FFFFFF"/>
          <w:lang w:val="en-US" w:eastAsia="zh-CN"/>
        </w:rPr>
        <w:t>26</w:t>
      </w:r>
      <w:r>
        <w:rPr>
          <w:rFonts w:hint="eastAsia" w:ascii="仿宋" w:hAnsi="仿宋" w:eastAsia="仿宋" w:cs="仿宋"/>
          <w:i w:val="0"/>
          <w:caps w:val="0"/>
          <w:color w:val="auto"/>
          <w:spacing w:val="0"/>
          <w:sz w:val="24"/>
          <w:szCs w:val="24"/>
          <w:highlight w:val="none"/>
          <w:shd w:val="clear" w:color="auto" w:fill="FFFFFF"/>
        </w:rPr>
        <w:t>日</w:t>
      </w:r>
      <w:r>
        <w:rPr>
          <w:rFonts w:hint="eastAsia" w:ascii="仿宋" w:hAnsi="仿宋" w:eastAsia="仿宋" w:cs="仿宋"/>
          <w:i w:val="0"/>
          <w:caps w:val="0"/>
          <w:color w:val="auto"/>
          <w:spacing w:val="0"/>
          <w:sz w:val="24"/>
          <w:szCs w:val="24"/>
          <w:highlight w:val="none"/>
          <w:shd w:val="clear" w:color="auto" w:fill="FFFFFF"/>
          <w:lang w:val="en-US" w:eastAsia="zh-CN"/>
        </w:rPr>
        <w:t>09</w:t>
      </w:r>
      <w:r>
        <w:rPr>
          <w:rFonts w:hint="eastAsia" w:ascii="仿宋" w:hAnsi="仿宋" w:eastAsia="仿宋" w:cs="仿宋"/>
          <w:i w:val="0"/>
          <w:caps w:val="0"/>
          <w:color w:val="auto"/>
          <w:spacing w:val="0"/>
          <w:sz w:val="24"/>
          <w:szCs w:val="24"/>
          <w:highlight w:val="none"/>
          <w:shd w:val="clear" w:color="auto" w:fill="FFFFFF"/>
        </w:rPr>
        <w:t>时</w:t>
      </w:r>
      <w:r>
        <w:rPr>
          <w:rFonts w:hint="eastAsia" w:ascii="仿宋" w:hAnsi="仿宋" w:eastAsia="仿宋" w:cs="仿宋"/>
          <w:i w:val="0"/>
          <w:caps w:val="0"/>
          <w:color w:val="auto"/>
          <w:spacing w:val="0"/>
          <w:sz w:val="24"/>
          <w:szCs w:val="24"/>
          <w:highlight w:val="none"/>
          <w:shd w:val="clear" w:color="auto" w:fill="FFFFFF"/>
          <w:lang w:val="en-US" w:eastAsia="zh-CN"/>
        </w:rPr>
        <w:t>3</w:t>
      </w:r>
      <w:r>
        <w:rPr>
          <w:rFonts w:hint="eastAsia" w:ascii="仿宋" w:hAnsi="仿宋" w:eastAsia="仿宋" w:cs="仿宋"/>
          <w:i w:val="0"/>
          <w:caps w:val="0"/>
          <w:color w:val="auto"/>
          <w:spacing w:val="0"/>
          <w:sz w:val="24"/>
          <w:szCs w:val="24"/>
          <w:highlight w:val="none"/>
          <w:shd w:val="clear" w:color="auto" w:fill="FFFFFF"/>
        </w:rPr>
        <w:t>0分00秒（北京时间）</w:t>
      </w:r>
    </w:p>
    <w:p w14:paraId="5F83EB93">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地点：全国公共资源交易平台（陕西省·西安市）网站〖首页〉电子交易平台〉陕西政府采购交易系统〉企业端〗，在线提交。</w:t>
      </w:r>
    </w:p>
    <w:p w14:paraId="58F0EACE">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i w:val="0"/>
          <w:caps w:val="0"/>
          <w:color w:val="auto"/>
          <w:spacing w:val="0"/>
          <w:sz w:val="24"/>
          <w:szCs w:val="24"/>
          <w:highlight w:val="none"/>
          <w:shd w:val="clear" w:color="auto" w:fill="FFFFFF"/>
        </w:rPr>
        <w:t>五、公告期限</w:t>
      </w:r>
    </w:p>
    <w:p w14:paraId="2A702D3E">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自本公告发布之日起</w:t>
      </w:r>
      <w:r>
        <w:rPr>
          <w:rFonts w:hint="eastAsia" w:ascii="仿宋" w:hAnsi="仿宋" w:eastAsia="仿宋" w:cs="仿宋"/>
          <w:i w:val="0"/>
          <w:caps w:val="0"/>
          <w:color w:val="auto"/>
          <w:spacing w:val="0"/>
          <w:sz w:val="24"/>
          <w:szCs w:val="24"/>
          <w:highlight w:val="none"/>
          <w:shd w:val="clear" w:color="auto" w:fill="FFFFFF"/>
          <w:lang w:val="en-US" w:eastAsia="zh-CN"/>
        </w:rPr>
        <w:t>5</w:t>
      </w:r>
      <w:r>
        <w:rPr>
          <w:rFonts w:hint="eastAsia" w:ascii="仿宋" w:hAnsi="仿宋" w:eastAsia="仿宋" w:cs="仿宋"/>
          <w:i w:val="0"/>
          <w:caps w:val="0"/>
          <w:color w:val="auto"/>
          <w:spacing w:val="0"/>
          <w:sz w:val="24"/>
          <w:szCs w:val="24"/>
          <w:highlight w:val="none"/>
          <w:shd w:val="clear" w:color="auto" w:fill="FFFFFF"/>
        </w:rPr>
        <w:t>个工作日。</w:t>
      </w:r>
    </w:p>
    <w:p w14:paraId="0AF8B212">
      <w:pPr>
        <w:pStyle w:val="27"/>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i w:val="0"/>
          <w:caps w:val="0"/>
          <w:color w:val="auto"/>
          <w:spacing w:val="0"/>
          <w:sz w:val="24"/>
          <w:szCs w:val="24"/>
          <w:highlight w:val="none"/>
          <w:shd w:val="clear" w:color="auto" w:fill="FFFFFF"/>
          <w:lang w:val="en-US" w:eastAsia="zh-CN"/>
        </w:rPr>
      </w:pPr>
      <w:r>
        <w:rPr>
          <w:rFonts w:hint="eastAsia" w:ascii="仿宋" w:hAnsi="仿宋" w:eastAsia="仿宋" w:cs="仿宋"/>
          <w:b/>
          <w:i w:val="0"/>
          <w:caps w:val="0"/>
          <w:color w:val="auto"/>
          <w:spacing w:val="0"/>
          <w:sz w:val="24"/>
          <w:szCs w:val="24"/>
          <w:highlight w:val="none"/>
          <w:shd w:val="clear" w:color="auto" w:fill="FFFFFF"/>
        </w:rPr>
        <w:t>其他补充事宜</w:t>
      </w:r>
    </w:p>
    <w:p w14:paraId="5352B25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本项目开标地点：全国公共资源交易平台（陕西省·西安市）。</w:t>
      </w:r>
    </w:p>
    <w:p w14:paraId="0A4A17C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1．获取方式：</w:t>
      </w:r>
    </w:p>
    <w:p w14:paraId="592A6B8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打开【全国公共资源交易平台（陕西省·西安市）】网站（简称西安市公共资源交易平台，官网地址：http://sxggzyjy.xa.gov.cn/），从〖首页·〉电子交易平台·〉陕西政府采购交易系统·〉企业端〗登录后，首先在〖招标公告/出让公告〗模块中预览全部可供参与的项目，然后选择有意向的项目点击〖我要投标〗，成功后切换到〖我的项目〗模块，依次点选〖项目流程·〉项目管理·〉交易文件下载〗免费获取本项目电子招标文件（*.SXSZF）。</w:t>
      </w:r>
    </w:p>
    <w:p w14:paraId="128B145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2.友情提示：</w:t>
      </w:r>
    </w:p>
    <w:p w14:paraId="7850485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本项目为电子化政府采购项目，投标人初次使用电子交易平台时，请先阅读【全国公共资源交易平台（陕西省.西安市）】（http://sxggzyjy.xa.gov,cn/）网站【首页&gt;服务指南&gt;下载专区】中的《西安市市级单位电子化政府采购项目投标指南》，并按要求完成诚信入库登记、CA认证及企业信息绑定。</w:t>
      </w:r>
    </w:p>
    <w:p w14:paraId="4E01A0C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2）办理CA认证：电子交易平台已接入陕西CA、深圳CA、西部CA、北京CA四家数字认证公司，各供应商在交易过程中登录系统、加密/解密投标文件、文件签章等均可使用上述四家CA公司签发的数字。办理须知及所需资料详见：http://www.sxggzyjy.cn/fwzn/004003/20220701/6972fe02-f996-4928-951e-545dab02e53c.html</w:t>
      </w:r>
    </w:p>
    <w:p w14:paraId="424817A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（3）请供应商务必及时下载项目招标文件并做好备份，否则会影响投标文件编制及后续投标活动。</w:t>
      </w:r>
    </w:p>
    <w:p w14:paraId="4A19720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（4）本项目采用“不见面开标”形式，供应商可登录全国公共资源交易平台（陕西省·西安市）网站</w:t>
      </w:r>
    </w:p>
    <w:p w14:paraId="6AAE062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【首页&gt;不见面开标】系统，在线参加开标过程。操作手册详见【首页&gt;服务指南&gt;下载专区】中的《西安公共资源交易不见面开标大厅供应商操作手册》</w:t>
      </w:r>
    </w:p>
    <w:p w14:paraId="6B19C35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（5）按照陕西省财政厅《关于政府采购供应商注册登记有关事项的通知》中的要求，供应商通过陕西省政府采购网（http://www.ccgp-shannxi.gov.cn/）注册登记，加入陕西省政府采购供应商库。</w:t>
      </w:r>
    </w:p>
    <w:p w14:paraId="2ED51E1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（6）制作电子投标文件（*.SXSTF）需要使用专用制作工具。软件下载及操作说明详见西安市公共资源交易平台〖首页·〉服务指南·〉下载专区〗中的《政府采购项目投标文件制作软件及操作手册》。</w:t>
      </w:r>
    </w:p>
    <w:p w14:paraId="7CFDA01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7）提交投标文件截止时间前，供应商应随时留意【陕西省政府采购网】、【全国公共资源交易平台（陕西省·西安市）】上可能发布的变更公告。若变更公告中明确注明本项目提供有变更文件的，供应商应登录企业端后，从〖项目流程·〉项目管理·〉答疑文件下载〗获取更新后的电子招标文件（*.SXSCF），使用旧版电子招标文件制作的电子投标文件（*.SXSTF），系统将拒绝接收。</w:t>
      </w:r>
    </w:p>
    <w:p w14:paraId="7F7D48A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3．开标形式：本项目将采用“不见面开标”形式。操作说明详见平台〖首页·〉服务指南·〉下载专区〗中的《西安公共资源交易不见面开标大厅供应商操作手册》。</w:t>
      </w:r>
    </w:p>
    <w:p w14:paraId="2616A26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4.落实的政府采购政策：（1）《政府采购促进中小企业发展管理办法》（财库〔2020〕46号）；（2）《财政部 司法部关于政府采购支持监狱企业发展有关问题的通知》（财库〔2014〕68号）；（3）《国务院办公厅关于建立政府强制采购节能产品制度的通知》（国发办〔2007〕51号）；（4）《关于印发节能产品政府采购品目清单的通知》（财库〔2019〕19号）；（5）《关于印发环境标志产品政府采购品目清单的通知》（财库〔2019〕18号）；（6）《三部门联合发布关于促进残疾人就业政府采购政策的通知》（财库〔2017〕141号）；（7）《财政部 发展改革委 生态环境部 市场监管总局关于调整优化节能产品、环境标志产品政府采购执行机制的通知》（财库〔2019〕9号）；（8）陕西省财政厅关于印发《陕西省中小企业政府采购信用融资办法》（陕财办采〔2018〕23号）；（9）《财政部 农业农村部 国家乡村振兴局关于运用政府采购政策支持乡村产业振兴的通知》（财库〔2021〕19 号）；（10）《财政部 农业农村部 国家乡村振兴局 中华全国供销合作总社关于印发&lt;关于深入开展政府采购脱贫地区农副产品工作推进乡村产业振兴的实施意见&gt;的通知》（财库〔2021〕20号）；（11）《陕西省财政厅关于加快推进我省中小企业政府采购信用融资工作的通知》（陕财办采〔2020〕15号）；（12）《关于进一步加强政府绿色采购有关问题的通知》（陕财办采〔2021〕29号）；（13）《陕西省财政厅、中国人民银行西安分行关于深入推进政府采购信用融资业务的通知》（陕财办采〔2023〕5号）；（14）《国务院办公厅关于在政府采购中实施本国产品标准及相关政策的通知》（国办发〔2025〕34号）（15）《关于推动解决政府采购异常低价问题的通知》（财库〔2026〕2号）（16）其他需要落实的政府采购政策，详见招标文件。</w:t>
      </w:r>
    </w:p>
    <w:p w14:paraId="7781898A">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i w:val="0"/>
          <w:caps w:val="0"/>
          <w:color w:val="auto"/>
          <w:spacing w:val="0"/>
          <w:sz w:val="24"/>
          <w:szCs w:val="24"/>
          <w:highlight w:val="none"/>
          <w:shd w:val="clear" w:color="auto" w:fill="FFFFFF"/>
        </w:rPr>
        <w:t>七、对本次</w:t>
      </w:r>
      <w:r>
        <w:rPr>
          <w:rFonts w:hint="eastAsia" w:ascii="仿宋" w:hAnsi="仿宋" w:eastAsia="仿宋" w:cs="仿宋"/>
          <w:b/>
          <w:i w:val="0"/>
          <w:caps w:val="0"/>
          <w:color w:val="auto"/>
          <w:spacing w:val="0"/>
          <w:sz w:val="24"/>
          <w:szCs w:val="24"/>
          <w:highlight w:val="none"/>
          <w:shd w:val="clear" w:color="auto" w:fill="FFFFFF"/>
          <w:lang w:val="en-US" w:eastAsia="zh-CN"/>
        </w:rPr>
        <w:t>招标</w:t>
      </w:r>
      <w:r>
        <w:rPr>
          <w:rFonts w:hint="eastAsia" w:ascii="仿宋" w:hAnsi="仿宋" w:eastAsia="仿宋" w:cs="仿宋"/>
          <w:b/>
          <w:i w:val="0"/>
          <w:caps w:val="0"/>
          <w:color w:val="auto"/>
          <w:spacing w:val="0"/>
          <w:sz w:val="24"/>
          <w:szCs w:val="24"/>
          <w:highlight w:val="none"/>
          <w:shd w:val="clear" w:color="auto" w:fill="FFFFFF"/>
        </w:rPr>
        <w:t>提出询问，请按以下方式联系。</w:t>
      </w:r>
    </w:p>
    <w:p w14:paraId="34649A8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rPr>
        <w:t>1</w:t>
      </w:r>
      <w:r>
        <w:rPr>
          <w:rFonts w:hint="eastAsia" w:ascii="仿宋" w:hAnsi="仿宋" w:eastAsia="仿宋" w:cs="仿宋"/>
          <w:i w:val="0"/>
          <w:caps w:val="0"/>
          <w:color w:val="auto"/>
          <w:spacing w:val="0"/>
          <w:sz w:val="24"/>
          <w:szCs w:val="24"/>
          <w:highlight w:val="none"/>
          <w:shd w:val="clear" w:color="auto" w:fill="FFFFFF"/>
          <w:lang w:val="en-US" w:eastAsia="zh-CN"/>
        </w:rPr>
        <w:t>.</w:t>
      </w:r>
      <w:r>
        <w:rPr>
          <w:rFonts w:hint="eastAsia" w:ascii="仿宋" w:hAnsi="仿宋" w:eastAsia="仿宋" w:cs="仿宋"/>
          <w:i w:val="0"/>
          <w:caps w:val="0"/>
          <w:color w:val="auto"/>
          <w:spacing w:val="0"/>
          <w:sz w:val="24"/>
          <w:szCs w:val="24"/>
          <w:highlight w:val="none"/>
          <w:shd w:val="clear" w:color="auto" w:fill="FFFFFF"/>
        </w:rPr>
        <w:t>采购人信息</w:t>
      </w:r>
    </w:p>
    <w:p w14:paraId="1F81800F">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名称：西安市鄠邑区中医医院</w:t>
      </w:r>
    </w:p>
    <w:p w14:paraId="01FC293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i w:val="0"/>
          <w:caps w:val="0"/>
          <w:color w:val="auto"/>
          <w:spacing w:val="0"/>
          <w:sz w:val="24"/>
          <w:szCs w:val="24"/>
          <w:highlight w:val="none"/>
          <w:shd w:val="clear" w:color="auto" w:fill="FFFFFF"/>
        </w:rPr>
        <w:t>地址：</w:t>
      </w:r>
      <w:r>
        <w:rPr>
          <w:rFonts w:hint="eastAsia" w:ascii="仿宋" w:hAnsi="仿宋" w:eastAsia="仿宋" w:cs="仿宋"/>
          <w:i w:val="0"/>
          <w:caps w:val="0"/>
          <w:color w:val="auto"/>
          <w:spacing w:val="0"/>
          <w:sz w:val="24"/>
          <w:szCs w:val="24"/>
          <w:highlight w:val="none"/>
          <w:shd w:val="clear" w:color="auto" w:fill="FFFFFF"/>
          <w:lang w:eastAsia="zh-CN"/>
        </w:rPr>
        <w:t>鄠邑区吕公东路5189号</w:t>
      </w:r>
    </w:p>
    <w:p w14:paraId="4C0B1FB4">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lang w:val="en-US" w:eastAsia="zh-CN"/>
        </w:rPr>
        <w:t>联系方式</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kern w:val="0"/>
          <w:sz w:val="24"/>
          <w:szCs w:val="24"/>
          <w:highlight w:val="none"/>
          <w:shd w:val="clear" w:color="auto" w:fill="FFFFFF"/>
          <w:lang w:val="en-US" w:eastAsia="zh-CN" w:bidi="ar-SA"/>
        </w:rPr>
        <w:t>029-84826453</w:t>
      </w:r>
    </w:p>
    <w:p w14:paraId="19498BEB">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rPr>
        <w:t>采购代理机构信息</w:t>
      </w:r>
    </w:p>
    <w:p w14:paraId="38797B7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i w:val="0"/>
          <w:caps w:val="0"/>
          <w:color w:val="auto"/>
          <w:spacing w:val="0"/>
          <w:sz w:val="24"/>
          <w:szCs w:val="24"/>
          <w:highlight w:val="none"/>
          <w:shd w:val="clear" w:color="auto" w:fill="FFFFFF"/>
        </w:rPr>
        <w:t>名称：</w:t>
      </w:r>
      <w:r>
        <w:rPr>
          <w:rFonts w:hint="eastAsia" w:ascii="仿宋" w:hAnsi="仿宋" w:eastAsia="仿宋" w:cs="仿宋"/>
          <w:i w:val="0"/>
          <w:caps w:val="0"/>
          <w:color w:val="auto"/>
          <w:spacing w:val="0"/>
          <w:sz w:val="24"/>
          <w:szCs w:val="24"/>
          <w:highlight w:val="none"/>
          <w:shd w:val="clear" w:color="auto" w:fill="FFFFFF"/>
          <w:lang w:eastAsia="zh-CN"/>
        </w:rPr>
        <w:t>华夏国际项目管理（西安）有限公司</w:t>
      </w:r>
    </w:p>
    <w:p w14:paraId="08E18015">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i w:val="0"/>
          <w:caps w:val="0"/>
          <w:color w:val="auto"/>
          <w:spacing w:val="0"/>
          <w:sz w:val="24"/>
          <w:szCs w:val="24"/>
          <w:highlight w:val="none"/>
          <w:shd w:val="clear" w:color="auto" w:fill="FFFFFF"/>
        </w:rPr>
        <w:t>地址：</w:t>
      </w:r>
      <w:r>
        <w:rPr>
          <w:rFonts w:hint="eastAsia" w:ascii="仿宋" w:hAnsi="仿宋" w:eastAsia="仿宋" w:cs="仿宋"/>
          <w:i w:val="0"/>
          <w:caps w:val="0"/>
          <w:color w:val="auto"/>
          <w:spacing w:val="0"/>
          <w:sz w:val="24"/>
          <w:szCs w:val="24"/>
          <w:highlight w:val="none"/>
          <w:shd w:val="clear" w:color="auto" w:fill="FFFFFF"/>
          <w:lang w:eastAsia="zh-CN"/>
        </w:rPr>
        <w:t>西安市莲湖区二环南路西段202号九座花园16楼1605室</w:t>
      </w:r>
    </w:p>
    <w:p w14:paraId="02BF918F">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rPr>
        <w:t>联系方式：</w:t>
      </w:r>
      <w:r>
        <w:rPr>
          <w:rFonts w:hint="eastAsia" w:ascii="仿宋" w:hAnsi="仿宋" w:eastAsia="仿宋" w:cs="仿宋"/>
          <w:i w:val="0"/>
          <w:caps w:val="0"/>
          <w:color w:val="auto"/>
          <w:spacing w:val="0"/>
          <w:sz w:val="24"/>
          <w:szCs w:val="24"/>
          <w:highlight w:val="none"/>
          <w:shd w:val="clear" w:color="auto" w:fill="FFFFFF"/>
          <w:lang w:eastAsia="zh-CN"/>
        </w:rPr>
        <w:t>029-88899970-805</w:t>
      </w:r>
    </w:p>
    <w:p w14:paraId="1C089C9F">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3.项目联系方式</w:t>
      </w:r>
    </w:p>
    <w:p w14:paraId="7DF82BA4">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i w:val="0"/>
          <w:caps w:val="0"/>
          <w:color w:val="auto"/>
          <w:spacing w:val="0"/>
          <w:sz w:val="24"/>
          <w:szCs w:val="24"/>
          <w:highlight w:val="none"/>
          <w:shd w:val="clear" w:color="auto" w:fill="FFFFFF"/>
        </w:rPr>
        <w:t>项目联系人：</w:t>
      </w:r>
      <w:r>
        <w:rPr>
          <w:rFonts w:hint="eastAsia" w:ascii="仿宋" w:hAnsi="仿宋" w:eastAsia="仿宋" w:cs="仿宋"/>
          <w:i w:val="0"/>
          <w:caps w:val="0"/>
          <w:color w:val="auto"/>
          <w:spacing w:val="0"/>
          <w:sz w:val="24"/>
          <w:szCs w:val="24"/>
          <w:highlight w:val="none"/>
          <w:shd w:val="clear" w:color="auto" w:fill="FFFFFF"/>
          <w:lang w:eastAsia="zh-CN"/>
        </w:rPr>
        <w:t>魏依依、康敏茹、李小峰</w:t>
      </w:r>
    </w:p>
    <w:p w14:paraId="13FD3D34">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rPr>
        <w:t>联系方式：</w:t>
      </w:r>
      <w:r>
        <w:rPr>
          <w:rFonts w:hint="eastAsia" w:ascii="仿宋" w:hAnsi="仿宋" w:eastAsia="仿宋" w:cs="仿宋"/>
          <w:i w:val="0"/>
          <w:caps w:val="0"/>
          <w:color w:val="auto"/>
          <w:spacing w:val="0"/>
          <w:sz w:val="24"/>
          <w:szCs w:val="24"/>
          <w:highlight w:val="none"/>
          <w:shd w:val="clear" w:color="auto" w:fill="FFFFFF"/>
          <w:lang w:eastAsia="zh-CN"/>
        </w:rPr>
        <w:t>029-88899970-805</w:t>
      </w:r>
    </w:p>
    <w:p w14:paraId="016B6696">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rPr>
      </w:pPr>
    </w:p>
    <w:p w14:paraId="559D4A53">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right"/>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i w:val="0"/>
          <w:caps w:val="0"/>
          <w:color w:val="auto"/>
          <w:spacing w:val="0"/>
          <w:sz w:val="24"/>
          <w:szCs w:val="24"/>
          <w:highlight w:val="none"/>
          <w:shd w:val="clear" w:color="auto" w:fill="FFFFFF"/>
          <w:lang w:eastAsia="zh-CN"/>
        </w:rPr>
        <w:t>华夏国际项目管理（西安）有限公司</w:t>
      </w:r>
    </w:p>
    <w:p w14:paraId="6F58620E">
      <w:pPr>
        <w:keepNext w:val="0"/>
        <w:keepLines w:val="0"/>
        <w:pageBreakBefore w:val="0"/>
        <w:widowControl/>
        <w:kinsoku/>
        <w:wordWrap/>
        <w:overflowPunct/>
        <w:topLinePunct w:val="0"/>
        <w:autoSpaceDE/>
        <w:autoSpaceDN/>
        <w:bidi w:val="0"/>
        <w:adjustRightInd/>
        <w:snapToGrid/>
        <w:spacing w:line="360" w:lineRule="auto"/>
        <w:ind w:firstLine="480" w:firstLineChars="200"/>
        <w:jc w:val="righ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i w:val="0"/>
          <w:caps w:val="0"/>
          <w:color w:val="auto"/>
          <w:spacing w:val="0"/>
          <w:sz w:val="24"/>
          <w:szCs w:val="24"/>
          <w:highlight w:val="none"/>
          <w:shd w:val="clear" w:color="auto" w:fill="FFFFFF"/>
          <w:lang w:eastAsia="zh-CN"/>
        </w:rPr>
        <w:t>202</w:t>
      </w:r>
      <w:r>
        <w:rPr>
          <w:rFonts w:hint="eastAsia" w:ascii="仿宋" w:hAnsi="仿宋" w:eastAsia="仿宋" w:cs="仿宋"/>
          <w:i w:val="0"/>
          <w:caps w:val="0"/>
          <w:color w:val="auto"/>
          <w:spacing w:val="0"/>
          <w:sz w:val="24"/>
          <w:szCs w:val="24"/>
          <w:highlight w:val="none"/>
          <w:shd w:val="clear" w:color="auto" w:fill="FFFFFF"/>
          <w:lang w:val="en-US" w:eastAsia="zh-CN"/>
        </w:rPr>
        <w:t>6</w:t>
      </w:r>
      <w:r>
        <w:rPr>
          <w:rFonts w:hint="eastAsia" w:ascii="仿宋" w:hAnsi="仿宋" w:eastAsia="仿宋" w:cs="仿宋"/>
          <w:i w:val="0"/>
          <w:caps w:val="0"/>
          <w:color w:val="auto"/>
          <w:spacing w:val="0"/>
          <w:sz w:val="24"/>
          <w:szCs w:val="24"/>
          <w:highlight w:val="none"/>
          <w:shd w:val="clear" w:color="auto" w:fill="FFFFFF"/>
        </w:rPr>
        <w:t>年</w:t>
      </w:r>
      <w:r>
        <w:rPr>
          <w:rFonts w:hint="eastAsia" w:ascii="仿宋" w:hAnsi="仿宋" w:eastAsia="仿宋" w:cs="仿宋"/>
          <w:i w:val="0"/>
          <w:caps w:val="0"/>
          <w:color w:val="auto"/>
          <w:spacing w:val="0"/>
          <w:sz w:val="24"/>
          <w:szCs w:val="24"/>
          <w:highlight w:val="none"/>
          <w:shd w:val="clear" w:color="auto" w:fill="FFFFFF"/>
          <w:lang w:val="en-US" w:eastAsia="zh-CN"/>
        </w:rPr>
        <w:t>08</w:t>
      </w:r>
      <w:r>
        <w:rPr>
          <w:rFonts w:hint="eastAsia" w:ascii="仿宋" w:hAnsi="仿宋" w:eastAsia="仿宋" w:cs="仿宋"/>
          <w:i w:val="0"/>
          <w:caps w:val="0"/>
          <w:color w:val="auto"/>
          <w:spacing w:val="0"/>
          <w:sz w:val="24"/>
          <w:szCs w:val="24"/>
          <w:highlight w:val="none"/>
          <w:shd w:val="clear" w:color="auto" w:fill="FFFFFF"/>
        </w:rPr>
        <w:t>月</w:t>
      </w:r>
      <w:r>
        <w:rPr>
          <w:rFonts w:hint="eastAsia" w:ascii="仿宋" w:hAnsi="仿宋" w:eastAsia="仿宋" w:cs="仿宋"/>
          <w:i w:val="0"/>
          <w:caps w:val="0"/>
          <w:color w:val="auto"/>
          <w:spacing w:val="0"/>
          <w:sz w:val="24"/>
          <w:szCs w:val="24"/>
          <w:highlight w:val="none"/>
          <w:shd w:val="clear" w:color="auto" w:fill="FFFFFF"/>
          <w:lang w:val="en-US" w:eastAsia="zh-CN"/>
        </w:rPr>
        <w:t>05</w:t>
      </w:r>
      <w:bookmarkStart w:id="235" w:name="_GoBack"/>
      <w:bookmarkEnd w:id="235"/>
      <w:r>
        <w:rPr>
          <w:rFonts w:hint="eastAsia" w:ascii="仿宋" w:hAnsi="仿宋" w:eastAsia="仿宋" w:cs="仿宋"/>
          <w:i w:val="0"/>
          <w:caps w:val="0"/>
          <w:color w:val="auto"/>
          <w:spacing w:val="0"/>
          <w:sz w:val="24"/>
          <w:szCs w:val="24"/>
          <w:highlight w:val="none"/>
          <w:shd w:val="clear" w:color="auto" w:fill="FFFFFF"/>
        </w:rPr>
        <w:t>日</w:t>
      </w:r>
    </w:p>
    <w:p w14:paraId="03D4AE4E">
      <w:pPr>
        <w:spacing w:line="560" w:lineRule="exact"/>
        <w:ind w:firstLine="560" w:firstLineChars="200"/>
        <w:jc w:val="both"/>
        <w:rPr>
          <w:rFonts w:hint="eastAsia" w:ascii="仿宋" w:hAnsi="仿宋" w:eastAsia="仿宋" w:cs="仿宋"/>
          <w:color w:val="auto"/>
          <w:sz w:val="28"/>
          <w:szCs w:val="28"/>
          <w:highlight w:val="none"/>
        </w:rPr>
      </w:pPr>
    </w:p>
    <w:p w14:paraId="0D8EE8E1">
      <w:pPr>
        <w:spacing w:line="560" w:lineRule="exact"/>
        <w:ind w:firstLine="640" w:firstLineChars="200"/>
        <w:jc w:val="both"/>
        <w:rPr>
          <w:rFonts w:hint="eastAsia" w:ascii="仿宋" w:hAnsi="仿宋" w:eastAsia="仿宋" w:cs="仿宋"/>
          <w:color w:val="auto"/>
          <w:sz w:val="32"/>
          <w:szCs w:val="32"/>
          <w:highlight w:val="none"/>
        </w:rPr>
      </w:pPr>
      <w:bookmarkStart w:id="2" w:name="_Toc533363235"/>
      <w:bookmarkStart w:id="3" w:name="_Toc100219613"/>
      <w:bookmarkStart w:id="4" w:name="_Toc498349068"/>
      <w:bookmarkStart w:id="5" w:name="_Toc97563329"/>
      <w:bookmarkStart w:id="6" w:name="_Toc533363262"/>
      <w:bookmarkStart w:id="7" w:name="_Toc534656414"/>
      <w:bookmarkStart w:id="8" w:name="_Toc534656409"/>
      <w:bookmarkStart w:id="9" w:name="_Toc445407251"/>
      <w:r>
        <w:rPr>
          <w:rFonts w:hint="eastAsia" w:ascii="仿宋" w:hAnsi="仿宋" w:eastAsia="仿宋" w:cs="仿宋"/>
          <w:color w:val="auto"/>
          <w:sz w:val="32"/>
          <w:szCs w:val="32"/>
          <w:highlight w:val="none"/>
        </w:rPr>
        <w:br w:type="page"/>
      </w:r>
    </w:p>
    <w:p w14:paraId="32A1EAB3">
      <w:pPr>
        <w:pStyle w:val="2"/>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eastAsia="仿宋" w:cs="仿宋"/>
          <w:color w:val="auto"/>
          <w:highlight w:val="none"/>
        </w:rPr>
      </w:pPr>
      <w:bookmarkStart w:id="10" w:name="_Toc30535"/>
      <w:r>
        <w:rPr>
          <w:rFonts w:hint="eastAsia" w:ascii="仿宋" w:eastAsia="仿宋" w:cs="仿宋"/>
          <w:color w:val="auto"/>
          <w:highlight w:val="none"/>
        </w:rPr>
        <w:t>第二章  供应商须知</w:t>
      </w:r>
      <w:bookmarkEnd w:id="2"/>
      <w:bookmarkEnd w:id="3"/>
      <w:bookmarkEnd w:id="4"/>
      <w:bookmarkEnd w:id="5"/>
      <w:bookmarkEnd w:id="6"/>
      <w:bookmarkEnd w:id="7"/>
      <w:bookmarkEnd w:id="8"/>
      <w:bookmarkEnd w:id="9"/>
      <w:bookmarkEnd w:id="10"/>
    </w:p>
    <w:p w14:paraId="2E06F141">
      <w:pPr>
        <w:pStyle w:val="3"/>
        <w:spacing w:before="0" w:after="0" w:line="500" w:lineRule="exact"/>
        <w:jc w:val="center"/>
        <w:rPr>
          <w:rFonts w:hint="eastAsia" w:ascii="仿宋" w:hAnsi="仿宋" w:eastAsia="仿宋" w:cs="仿宋"/>
          <w:color w:val="auto"/>
          <w:sz w:val="28"/>
          <w:szCs w:val="28"/>
          <w:highlight w:val="none"/>
        </w:rPr>
      </w:pPr>
      <w:bookmarkStart w:id="11" w:name="_Toc25004"/>
      <w:bookmarkStart w:id="12" w:name="_Toc217446032"/>
      <w:bookmarkStart w:id="13" w:name="_Toc9994"/>
      <w:bookmarkStart w:id="14" w:name="_Toc31477"/>
      <w:bookmarkStart w:id="15" w:name="_Toc213396946"/>
      <w:bookmarkStart w:id="16" w:name="_Toc213396760"/>
      <w:bookmarkStart w:id="17" w:name="_Toc20426"/>
      <w:bookmarkStart w:id="18" w:name="_Toc213397010"/>
      <w:bookmarkStart w:id="19" w:name="_Toc189727030"/>
      <w:bookmarkStart w:id="20" w:name="_Toc213496268"/>
      <w:bookmarkStart w:id="21" w:name="_Toc8772"/>
      <w:r>
        <w:rPr>
          <w:rFonts w:hint="eastAsia" w:ascii="仿宋" w:hAnsi="仿宋" w:eastAsia="仿宋" w:cs="仿宋"/>
          <w:b/>
          <w:bCs/>
          <w:color w:val="auto"/>
          <w:sz w:val="32"/>
          <w:szCs w:val="32"/>
          <w:highlight w:val="none"/>
        </w:rPr>
        <w:t>一、</w:t>
      </w:r>
      <w:r>
        <w:rPr>
          <w:rFonts w:hint="eastAsia" w:ascii="仿宋" w:hAnsi="仿宋" w:eastAsia="仿宋" w:cs="仿宋"/>
          <w:b/>
          <w:bCs/>
          <w:color w:val="auto"/>
          <w:sz w:val="32"/>
          <w:szCs w:val="32"/>
          <w:highlight w:val="none"/>
          <w:lang w:val="en-US" w:eastAsia="zh-CN"/>
        </w:rPr>
        <w:t>供应商</w:t>
      </w:r>
      <w:r>
        <w:rPr>
          <w:rFonts w:hint="eastAsia" w:ascii="仿宋" w:hAnsi="仿宋" w:eastAsia="仿宋" w:cs="仿宋"/>
          <w:b/>
          <w:bCs/>
          <w:color w:val="auto"/>
          <w:sz w:val="32"/>
          <w:szCs w:val="32"/>
          <w:highlight w:val="none"/>
        </w:rPr>
        <w:t>须知</w:t>
      </w:r>
      <w:r>
        <w:rPr>
          <w:rFonts w:hint="eastAsia" w:ascii="仿宋" w:hAnsi="仿宋" w:eastAsia="仿宋" w:cs="仿宋"/>
          <w:b/>
          <w:bCs/>
          <w:color w:val="auto"/>
          <w:sz w:val="32"/>
          <w:szCs w:val="32"/>
          <w:highlight w:val="none"/>
          <w:lang w:eastAsia="zh-CN"/>
        </w:rPr>
        <w:t>前</w:t>
      </w:r>
      <w:r>
        <w:rPr>
          <w:rFonts w:hint="eastAsia" w:ascii="仿宋" w:hAnsi="仿宋" w:eastAsia="仿宋" w:cs="仿宋"/>
          <w:b/>
          <w:bCs/>
          <w:color w:val="auto"/>
          <w:sz w:val="32"/>
          <w:szCs w:val="32"/>
          <w:highlight w:val="none"/>
        </w:rPr>
        <w:t>附表</w:t>
      </w:r>
      <w:bookmarkEnd w:id="11"/>
      <w:bookmarkEnd w:id="12"/>
      <w:bookmarkEnd w:id="13"/>
      <w:bookmarkEnd w:id="14"/>
      <w:bookmarkEnd w:id="15"/>
      <w:bookmarkEnd w:id="16"/>
      <w:bookmarkEnd w:id="17"/>
      <w:bookmarkEnd w:id="18"/>
      <w:bookmarkEnd w:id="19"/>
      <w:bookmarkEnd w:id="20"/>
      <w:bookmarkEnd w:id="21"/>
    </w:p>
    <w:tbl>
      <w:tblPr>
        <w:tblStyle w:val="32"/>
        <w:tblW w:w="93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2043"/>
        <w:gridCol w:w="6673"/>
      </w:tblGrid>
      <w:tr w14:paraId="5CA91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642" w:type="dxa"/>
            <w:noWrap w:val="0"/>
            <w:vAlign w:val="center"/>
          </w:tcPr>
          <w:p w14:paraId="5D4EF26E">
            <w:pPr>
              <w:keepNext w:val="0"/>
              <w:keepLines w:val="0"/>
              <w:pageBreakBefore w:val="0"/>
              <w:widowControl w:val="0"/>
              <w:kinsoku/>
              <w:wordWrap/>
              <w:overflowPunct/>
              <w:topLinePunct w:val="0"/>
              <w:bidi w:val="0"/>
              <w:spacing w:line="400" w:lineRule="exact"/>
              <w:ind w:right="-358"/>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2043" w:type="dxa"/>
            <w:noWrap w:val="0"/>
            <w:vAlign w:val="center"/>
          </w:tcPr>
          <w:p w14:paraId="18A14E8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条款名称</w:t>
            </w:r>
          </w:p>
        </w:tc>
        <w:tc>
          <w:tcPr>
            <w:tcW w:w="6673" w:type="dxa"/>
            <w:noWrap w:val="0"/>
            <w:vAlign w:val="center"/>
          </w:tcPr>
          <w:p w14:paraId="62CA513F">
            <w:pPr>
              <w:keepNext w:val="0"/>
              <w:keepLines w:val="0"/>
              <w:pageBreakBefore w:val="0"/>
              <w:widowControl w:val="0"/>
              <w:tabs>
                <w:tab w:val="left" w:pos="1180"/>
              </w:tabs>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编列内容</w:t>
            </w:r>
          </w:p>
        </w:tc>
      </w:tr>
      <w:tr w14:paraId="2C72E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0" w:hRule="atLeast"/>
          <w:jc w:val="center"/>
        </w:trPr>
        <w:tc>
          <w:tcPr>
            <w:tcW w:w="642" w:type="dxa"/>
            <w:noWrap w:val="0"/>
            <w:vAlign w:val="center"/>
          </w:tcPr>
          <w:p w14:paraId="76FF4AD4">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043" w:type="dxa"/>
            <w:noWrap w:val="0"/>
            <w:vAlign w:val="center"/>
          </w:tcPr>
          <w:p w14:paraId="22BD8D8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w:t>
            </w:r>
          </w:p>
        </w:tc>
        <w:tc>
          <w:tcPr>
            <w:tcW w:w="6673" w:type="dxa"/>
            <w:noWrap w:val="0"/>
            <w:vAlign w:val="center"/>
          </w:tcPr>
          <w:p w14:paraId="068CBF1B">
            <w:pPr>
              <w:widowControl w:val="0"/>
              <w:tabs>
                <w:tab w:val="left" w:pos="1180"/>
              </w:tabs>
              <w:wordWrap/>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lang w:val="en-US" w:eastAsia="zh-CN"/>
              </w:rPr>
              <w:t>西安市鄠邑区中医医院</w:t>
            </w:r>
          </w:p>
          <w:p w14:paraId="4B0C8B7A">
            <w:pPr>
              <w:widowControl w:val="0"/>
              <w:tabs>
                <w:tab w:val="left" w:pos="1180"/>
              </w:tabs>
              <w:wordWrap/>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lang w:eastAsia="zh-CN"/>
              </w:rPr>
              <w:t>鄠邑区吕公东路5189号</w:t>
            </w:r>
          </w:p>
          <w:p w14:paraId="7896EE6F">
            <w:pPr>
              <w:widowControl w:val="0"/>
              <w:tabs>
                <w:tab w:val="left" w:pos="1180"/>
              </w:tabs>
              <w:wordWrap/>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联系人：</w:t>
            </w:r>
            <w:r>
              <w:rPr>
                <w:rFonts w:hint="eastAsia" w:ascii="仿宋" w:hAnsi="仿宋" w:eastAsia="仿宋" w:cs="仿宋"/>
                <w:color w:val="auto"/>
                <w:sz w:val="24"/>
                <w:szCs w:val="24"/>
                <w:highlight w:val="none"/>
                <w:lang w:val="en-US" w:eastAsia="zh-CN"/>
              </w:rPr>
              <w:t>仝老师</w:t>
            </w:r>
          </w:p>
          <w:p w14:paraId="44CB6455">
            <w:pPr>
              <w:widowControl w:val="0"/>
              <w:tabs>
                <w:tab w:val="left" w:pos="1180"/>
              </w:tabs>
              <w:wordWrap/>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color="auto" w:fill="auto"/>
                <w:vertAlign w:val="baseline"/>
              </w:rPr>
              <w:t>联系方式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029-84826453</w:t>
            </w:r>
          </w:p>
        </w:tc>
      </w:tr>
      <w:tr w14:paraId="53C33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1" w:hRule="atLeast"/>
          <w:jc w:val="center"/>
        </w:trPr>
        <w:tc>
          <w:tcPr>
            <w:tcW w:w="642" w:type="dxa"/>
            <w:noWrap w:val="0"/>
            <w:vAlign w:val="center"/>
          </w:tcPr>
          <w:p w14:paraId="3021E48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043" w:type="dxa"/>
            <w:noWrap w:val="0"/>
            <w:vAlign w:val="center"/>
          </w:tcPr>
          <w:p w14:paraId="4E9D0C3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采购代理机构</w:t>
            </w:r>
          </w:p>
        </w:tc>
        <w:tc>
          <w:tcPr>
            <w:tcW w:w="6673" w:type="dxa"/>
            <w:noWrap w:val="0"/>
            <w:vAlign w:val="center"/>
          </w:tcPr>
          <w:p w14:paraId="05634CCD">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名称：</w:t>
            </w:r>
            <w:r>
              <w:rPr>
                <w:rFonts w:hint="eastAsia" w:ascii="仿宋" w:hAnsi="仿宋" w:eastAsia="仿宋" w:cs="仿宋"/>
                <w:i w:val="0"/>
                <w:iCs w:val="0"/>
                <w:caps w:val="0"/>
                <w:color w:val="auto"/>
                <w:spacing w:val="0"/>
                <w:sz w:val="24"/>
                <w:szCs w:val="24"/>
                <w:highlight w:val="none"/>
                <w:shd w:val="clear" w:fill="FFFFFF"/>
                <w:lang w:eastAsia="zh-CN"/>
              </w:rPr>
              <w:t>华夏国际项目管理（西安）有限公司</w:t>
            </w:r>
          </w:p>
          <w:p w14:paraId="5DB5EC01">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地址：</w:t>
            </w:r>
            <w:r>
              <w:rPr>
                <w:rFonts w:hint="eastAsia" w:ascii="仿宋" w:hAnsi="仿宋" w:eastAsia="仿宋" w:cs="仿宋"/>
                <w:i w:val="0"/>
                <w:iCs w:val="0"/>
                <w:caps w:val="0"/>
                <w:color w:val="auto"/>
                <w:spacing w:val="0"/>
                <w:sz w:val="24"/>
                <w:szCs w:val="24"/>
                <w:highlight w:val="none"/>
                <w:shd w:val="clear" w:fill="FFFFFF"/>
                <w:lang w:eastAsia="zh-CN"/>
              </w:rPr>
              <w:t>西安市莲湖区二环南路西段202号九座花园16楼1605室</w:t>
            </w:r>
          </w:p>
          <w:p w14:paraId="19524480">
            <w:pPr>
              <w:keepNext w:val="0"/>
              <w:keepLines w:val="0"/>
              <w:pageBreakBefore w:val="0"/>
              <w:widowControl w:val="0"/>
              <w:tabs>
                <w:tab w:val="left" w:pos="1180"/>
              </w:tabs>
              <w:kinsoku/>
              <w:wordWrap/>
              <w:overflowPunct/>
              <w:topLinePunct w:val="0"/>
              <w:bidi w:val="0"/>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联系人：</w:t>
            </w:r>
            <w:r>
              <w:rPr>
                <w:rFonts w:hint="eastAsia" w:ascii="仿宋" w:hAnsi="仿宋" w:eastAsia="仿宋" w:cs="仿宋"/>
                <w:i w:val="0"/>
                <w:iCs w:val="0"/>
                <w:caps w:val="0"/>
                <w:color w:val="auto"/>
                <w:spacing w:val="0"/>
                <w:sz w:val="24"/>
                <w:szCs w:val="24"/>
                <w:highlight w:val="none"/>
                <w:shd w:val="clear" w:fill="FFFFFF"/>
                <w:lang w:eastAsia="zh-CN"/>
              </w:rPr>
              <w:t>魏依依、康敏茹、李小峰</w:t>
            </w:r>
          </w:p>
          <w:p w14:paraId="40317C2F">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电话：</w:t>
            </w:r>
            <w:r>
              <w:rPr>
                <w:rFonts w:hint="eastAsia" w:ascii="仿宋" w:hAnsi="仿宋" w:eastAsia="仿宋" w:cs="仿宋"/>
                <w:i w:val="0"/>
                <w:iCs w:val="0"/>
                <w:caps w:val="0"/>
                <w:color w:val="auto"/>
                <w:spacing w:val="0"/>
                <w:sz w:val="24"/>
                <w:szCs w:val="24"/>
                <w:highlight w:val="none"/>
                <w:shd w:val="clear" w:fill="FFFFFF"/>
                <w:lang w:eastAsia="zh-CN"/>
              </w:rPr>
              <w:t>029-88899970-805</w:t>
            </w:r>
          </w:p>
        </w:tc>
      </w:tr>
      <w:tr w14:paraId="7923F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642" w:type="dxa"/>
            <w:noWrap w:val="0"/>
            <w:vAlign w:val="center"/>
          </w:tcPr>
          <w:p w14:paraId="56CBE791">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2043" w:type="dxa"/>
            <w:noWrap w:val="0"/>
            <w:vAlign w:val="center"/>
          </w:tcPr>
          <w:p w14:paraId="632C91C5">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采购项目名称</w:t>
            </w:r>
          </w:p>
        </w:tc>
        <w:tc>
          <w:tcPr>
            <w:tcW w:w="6673" w:type="dxa"/>
            <w:noWrap w:val="0"/>
            <w:vAlign w:val="center"/>
          </w:tcPr>
          <w:p w14:paraId="5647A9B8">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非集采中药饮片招标采购项目（2包）二次</w:t>
            </w:r>
          </w:p>
        </w:tc>
      </w:tr>
      <w:tr w14:paraId="12637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642" w:type="dxa"/>
            <w:noWrap w:val="0"/>
            <w:vAlign w:val="center"/>
          </w:tcPr>
          <w:p w14:paraId="53B469D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4</w:t>
            </w:r>
          </w:p>
        </w:tc>
        <w:tc>
          <w:tcPr>
            <w:tcW w:w="2043" w:type="dxa"/>
            <w:noWrap w:val="0"/>
            <w:vAlign w:val="center"/>
          </w:tcPr>
          <w:p w14:paraId="1606374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p>
          <w:p w14:paraId="70F696F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及包号</w:t>
            </w:r>
          </w:p>
        </w:tc>
        <w:tc>
          <w:tcPr>
            <w:tcW w:w="6673" w:type="dxa"/>
            <w:noWrap w:val="0"/>
            <w:vAlign w:val="top"/>
          </w:tcPr>
          <w:p w14:paraId="1FD1ADB6">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项目编号：HXGJXM2026-ZC-GK1036</w:t>
            </w:r>
          </w:p>
          <w:p w14:paraId="24BE6100">
            <w:pPr>
              <w:keepNext w:val="0"/>
              <w:keepLines w:val="0"/>
              <w:pageBreakBefore w:val="0"/>
              <w:widowControl w:val="0"/>
              <w:kinsoku/>
              <w:wordWrap/>
              <w:overflowPunct/>
              <w:topLinePunct w:val="0"/>
              <w:bidi w:val="0"/>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包号：</w:t>
            </w:r>
            <w:r>
              <w:rPr>
                <w:rFonts w:hint="eastAsia" w:ascii="仿宋" w:hAnsi="仿宋" w:eastAsia="仿宋" w:cs="仿宋"/>
                <w:color w:val="auto"/>
                <w:sz w:val="24"/>
                <w:szCs w:val="24"/>
                <w:highlight w:val="none"/>
                <w:lang w:val="en-US" w:eastAsia="zh-CN"/>
              </w:rPr>
              <w:t>第1包</w:t>
            </w:r>
          </w:p>
        </w:tc>
      </w:tr>
      <w:tr w14:paraId="200FB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42" w:type="dxa"/>
            <w:noWrap w:val="0"/>
            <w:vAlign w:val="center"/>
          </w:tcPr>
          <w:p w14:paraId="0CA3994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5</w:t>
            </w:r>
          </w:p>
        </w:tc>
        <w:tc>
          <w:tcPr>
            <w:tcW w:w="2043" w:type="dxa"/>
            <w:noWrap w:val="0"/>
            <w:vAlign w:val="center"/>
          </w:tcPr>
          <w:p w14:paraId="776A03F4">
            <w:pPr>
              <w:pStyle w:val="108"/>
              <w:keepNext w:val="0"/>
              <w:keepLines w:val="0"/>
              <w:pageBreakBefore w:val="0"/>
              <w:widowControl w:val="0"/>
              <w:kinsoku/>
              <w:wordWrap/>
              <w:overflowPunct/>
              <w:topLinePunct w:val="0"/>
              <w:bidi w:val="0"/>
              <w:spacing w:line="400" w:lineRule="exact"/>
              <w:ind w:left="38" w:leftChars="0"/>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lang w:val="zh-CN"/>
              </w:rPr>
              <w:t>资金来源</w:t>
            </w:r>
          </w:p>
        </w:tc>
        <w:tc>
          <w:tcPr>
            <w:tcW w:w="6673" w:type="dxa"/>
            <w:noWrap w:val="0"/>
            <w:vAlign w:val="center"/>
          </w:tcPr>
          <w:p w14:paraId="5AF44A9C">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rPr>
              <w:t>财政</w:t>
            </w:r>
            <w:r>
              <w:rPr>
                <w:rFonts w:hint="eastAsia" w:ascii="仿宋" w:hAnsi="仿宋" w:eastAsia="仿宋" w:cs="仿宋"/>
                <w:color w:val="auto"/>
                <w:sz w:val="24"/>
                <w:szCs w:val="24"/>
                <w:highlight w:val="none"/>
                <w:lang w:eastAsia="zh-CN"/>
              </w:rPr>
              <w:t>资金</w:t>
            </w:r>
          </w:p>
        </w:tc>
      </w:tr>
      <w:tr w14:paraId="0623F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1A23EA8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6</w:t>
            </w:r>
          </w:p>
        </w:tc>
        <w:tc>
          <w:tcPr>
            <w:tcW w:w="2043" w:type="dxa"/>
            <w:noWrap w:val="0"/>
            <w:vAlign w:val="center"/>
          </w:tcPr>
          <w:p w14:paraId="5A410670">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rPr>
              <w:t>预算金额</w:t>
            </w:r>
          </w:p>
        </w:tc>
        <w:tc>
          <w:tcPr>
            <w:tcW w:w="6673" w:type="dxa"/>
            <w:noWrap w:val="0"/>
            <w:vAlign w:val="center"/>
          </w:tcPr>
          <w:p w14:paraId="09F6C034">
            <w:pPr>
              <w:keepNext w:val="0"/>
              <w:keepLines w:val="0"/>
              <w:pageBreakBefore w:val="0"/>
              <w:widowControl w:val="0"/>
              <w:kinsoku/>
              <w:wordWrap/>
              <w:overflowPunct/>
              <w:topLinePunct w:val="0"/>
              <w:bidi w:val="0"/>
              <w:spacing w:line="360" w:lineRule="auto"/>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b w:val="0"/>
                <w:bCs/>
                <w:i w:val="0"/>
                <w:caps w:val="0"/>
                <w:color w:val="auto"/>
                <w:spacing w:val="0"/>
                <w:sz w:val="24"/>
                <w:szCs w:val="24"/>
                <w:highlight w:val="none"/>
                <w:shd w:val="clear" w:color="auto" w:fill="FFFFFF"/>
                <w:lang w:eastAsia="zh-CN"/>
              </w:rPr>
              <w:t>1626530.10</w:t>
            </w:r>
            <w:r>
              <w:rPr>
                <w:rFonts w:hint="eastAsia" w:ascii="仿宋" w:hAnsi="仿宋" w:eastAsia="仿宋" w:cs="仿宋"/>
                <w:color w:val="auto"/>
                <w:sz w:val="24"/>
                <w:szCs w:val="24"/>
                <w:highlight w:val="none"/>
                <w:lang w:val="en-US" w:eastAsia="zh-CN"/>
              </w:rPr>
              <w:t>元</w:t>
            </w:r>
          </w:p>
        </w:tc>
      </w:tr>
      <w:tr w14:paraId="772B8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3B3F22AA">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2043" w:type="dxa"/>
            <w:noWrap w:val="0"/>
            <w:vAlign w:val="center"/>
          </w:tcPr>
          <w:p w14:paraId="6AAA1748">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最高限价</w:t>
            </w:r>
          </w:p>
        </w:tc>
        <w:tc>
          <w:tcPr>
            <w:tcW w:w="6673" w:type="dxa"/>
            <w:noWrap w:val="0"/>
            <w:vAlign w:val="center"/>
          </w:tcPr>
          <w:p w14:paraId="4C8C7F26">
            <w:pPr>
              <w:keepNext w:val="0"/>
              <w:keepLines w:val="0"/>
              <w:pageBreakBefore w:val="0"/>
              <w:widowControl w:val="0"/>
              <w:kinsoku/>
              <w:wordWrap/>
              <w:overflowPunct/>
              <w:topLinePunct w:val="0"/>
              <w:bidi w:val="0"/>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b w:val="0"/>
                <w:bCs/>
                <w:i w:val="0"/>
                <w:caps w:val="0"/>
                <w:color w:val="auto"/>
                <w:spacing w:val="0"/>
                <w:sz w:val="24"/>
                <w:szCs w:val="24"/>
                <w:highlight w:val="none"/>
                <w:shd w:val="clear" w:color="auto" w:fill="FFFFFF"/>
                <w:lang w:eastAsia="zh-CN"/>
              </w:rPr>
              <w:t>1626530.10</w:t>
            </w:r>
            <w:r>
              <w:rPr>
                <w:rFonts w:hint="eastAsia" w:ascii="仿宋" w:hAnsi="仿宋" w:eastAsia="仿宋" w:cs="仿宋"/>
                <w:color w:val="auto"/>
                <w:sz w:val="24"/>
                <w:szCs w:val="24"/>
                <w:highlight w:val="none"/>
                <w:lang w:val="en-US" w:eastAsia="zh-CN"/>
              </w:rPr>
              <w:t>元</w:t>
            </w:r>
          </w:p>
        </w:tc>
      </w:tr>
      <w:tr w14:paraId="7A0E3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2" w:type="dxa"/>
            <w:noWrap w:val="0"/>
            <w:vAlign w:val="center"/>
          </w:tcPr>
          <w:p w14:paraId="3E092FB6">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8</w:t>
            </w:r>
          </w:p>
        </w:tc>
        <w:tc>
          <w:tcPr>
            <w:tcW w:w="2043" w:type="dxa"/>
            <w:noWrap w:val="0"/>
            <w:vAlign w:val="center"/>
          </w:tcPr>
          <w:p w14:paraId="4A011E5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范围</w:t>
            </w:r>
          </w:p>
        </w:tc>
        <w:tc>
          <w:tcPr>
            <w:tcW w:w="6673" w:type="dxa"/>
            <w:noWrap w:val="0"/>
            <w:vAlign w:val="center"/>
          </w:tcPr>
          <w:p w14:paraId="3556B6E1">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详见“第</w:t>
            </w:r>
            <w:r>
              <w:rPr>
                <w:rFonts w:hint="eastAsia" w:ascii="仿宋" w:hAnsi="仿宋" w:eastAsia="仿宋" w:cs="仿宋"/>
                <w:color w:val="auto"/>
                <w:sz w:val="24"/>
                <w:szCs w:val="24"/>
                <w:highlight w:val="none"/>
                <w:lang w:eastAsia="zh-CN"/>
              </w:rPr>
              <w:t>四章  招标内容及要求</w:t>
            </w:r>
            <w:r>
              <w:rPr>
                <w:rFonts w:hint="eastAsia" w:ascii="仿宋" w:hAnsi="仿宋" w:eastAsia="仿宋" w:cs="仿宋"/>
                <w:color w:val="auto"/>
                <w:sz w:val="24"/>
                <w:szCs w:val="24"/>
                <w:highlight w:val="none"/>
              </w:rPr>
              <w:t>”</w:t>
            </w:r>
          </w:p>
        </w:tc>
      </w:tr>
      <w:tr w14:paraId="47D50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2" w:type="dxa"/>
            <w:noWrap w:val="0"/>
            <w:vAlign w:val="center"/>
          </w:tcPr>
          <w:p w14:paraId="366C4C74">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2043" w:type="dxa"/>
            <w:noWrap w:val="0"/>
            <w:vAlign w:val="center"/>
          </w:tcPr>
          <w:p w14:paraId="0DA756B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交货期</w:t>
            </w:r>
          </w:p>
        </w:tc>
        <w:tc>
          <w:tcPr>
            <w:tcW w:w="6673" w:type="dxa"/>
            <w:noWrap w:val="0"/>
            <w:vAlign w:val="center"/>
          </w:tcPr>
          <w:p w14:paraId="259BA91F">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服务期限：1年，供货周期：接到采购计划后3个工作日内送达。</w:t>
            </w:r>
          </w:p>
        </w:tc>
      </w:tr>
      <w:tr w14:paraId="538DC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642" w:type="dxa"/>
            <w:noWrap w:val="0"/>
            <w:vAlign w:val="center"/>
          </w:tcPr>
          <w:p w14:paraId="637BBAF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2043" w:type="dxa"/>
            <w:noWrap w:val="0"/>
            <w:vAlign w:val="center"/>
          </w:tcPr>
          <w:p w14:paraId="762FBF2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质量要求</w:t>
            </w:r>
          </w:p>
        </w:tc>
        <w:tc>
          <w:tcPr>
            <w:tcW w:w="6673" w:type="dxa"/>
            <w:noWrap w:val="0"/>
            <w:vAlign w:val="center"/>
          </w:tcPr>
          <w:p w14:paraId="5ADACDE2">
            <w:pPr>
              <w:keepNext w:val="0"/>
              <w:keepLines w:val="0"/>
              <w:pageBreakBefore w:val="0"/>
              <w:widowControl w:val="0"/>
              <w:kinsoku/>
              <w:wordWrap/>
              <w:overflowPunct/>
              <w:topLinePunct w:val="0"/>
              <w:autoSpaceDE/>
              <w:autoSpaceDN/>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详见“第</w:t>
            </w:r>
            <w:r>
              <w:rPr>
                <w:rFonts w:hint="eastAsia" w:ascii="仿宋" w:hAnsi="仿宋" w:eastAsia="仿宋" w:cs="仿宋"/>
                <w:color w:val="auto"/>
                <w:sz w:val="24"/>
                <w:szCs w:val="24"/>
                <w:highlight w:val="none"/>
                <w:lang w:eastAsia="zh-CN"/>
              </w:rPr>
              <w:t>三章  合同条款</w:t>
            </w:r>
            <w:r>
              <w:rPr>
                <w:rFonts w:hint="eastAsia" w:ascii="仿宋" w:hAnsi="仿宋" w:eastAsia="仿宋" w:cs="仿宋"/>
                <w:color w:val="auto"/>
                <w:sz w:val="24"/>
                <w:szCs w:val="24"/>
                <w:highlight w:val="none"/>
              </w:rPr>
              <w:t>”</w:t>
            </w:r>
          </w:p>
        </w:tc>
      </w:tr>
      <w:tr w14:paraId="24BCD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642" w:type="dxa"/>
            <w:noWrap w:val="0"/>
            <w:vAlign w:val="center"/>
          </w:tcPr>
          <w:p w14:paraId="4E78477C">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11</w:t>
            </w:r>
          </w:p>
        </w:tc>
        <w:tc>
          <w:tcPr>
            <w:tcW w:w="2043" w:type="dxa"/>
            <w:noWrap w:val="0"/>
            <w:vAlign w:val="center"/>
          </w:tcPr>
          <w:p w14:paraId="4BDAFC05">
            <w:pPr>
              <w:pStyle w:val="108"/>
              <w:keepNext w:val="0"/>
              <w:keepLines w:val="0"/>
              <w:pageBreakBefore w:val="0"/>
              <w:widowControl w:val="0"/>
              <w:kinsoku/>
              <w:wordWrap/>
              <w:overflowPunct/>
              <w:topLinePunct w:val="0"/>
              <w:bidi w:val="0"/>
              <w:spacing w:line="400" w:lineRule="exact"/>
              <w:ind w:left="38" w:leftChars="0"/>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rPr>
              <w:t>是否专门面向中小企业采购</w:t>
            </w:r>
          </w:p>
        </w:tc>
        <w:tc>
          <w:tcPr>
            <w:tcW w:w="6673" w:type="dxa"/>
            <w:noWrap w:val="0"/>
            <w:vAlign w:val="center"/>
          </w:tcPr>
          <w:p w14:paraId="3717780F">
            <w:pPr>
              <w:pStyle w:val="108"/>
              <w:keepNext w:val="0"/>
              <w:keepLines w:val="0"/>
              <w:pageBreakBefore w:val="0"/>
              <w:widowControl w:val="0"/>
              <w:numPr>
                <w:ilvl w:val="0"/>
                <w:numId w:val="0"/>
              </w:numPr>
              <w:kinsoku/>
              <w:wordWrap/>
              <w:overflowPunct/>
              <w:topLinePunct w:val="0"/>
              <w:bidi w:val="0"/>
              <w:spacing w:line="360" w:lineRule="auto"/>
              <w:ind w:left="0" w:leftChars="0" w:firstLine="0" w:firstLineChars="0"/>
              <w:jc w:val="both"/>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本项目非专门面向中小企业采购</w:t>
            </w:r>
            <w:r>
              <w:rPr>
                <w:rFonts w:hint="default" w:ascii="仿宋" w:hAnsi="仿宋" w:eastAsia="仿宋" w:cs="仿宋"/>
                <w:color w:val="auto"/>
                <w:kern w:val="2"/>
                <w:sz w:val="24"/>
                <w:szCs w:val="24"/>
                <w:highlight w:val="none"/>
                <w:lang w:val="en-US" w:eastAsia="zh-CN" w:bidi="ar-SA"/>
              </w:rPr>
              <w:t>。</w:t>
            </w:r>
          </w:p>
        </w:tc>
      </w:tr>
      <w:tr w14:paraId="7B520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60A63F9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12</w:t>
            </w:r>
          </w:p>
        </w:tc>
        <w:tc>
          <w:tcPr>
            <w:tcW w:w="2043" w:type="dxa"/>
            <w:noWrap w:val="0"/>
            <w:vAlign w:val="center"/>
          </w:tcPr>
          <w:p w14:paraId="5C490468">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eastAsia="zh-CN"/>
              </w:rPr>
              <w:t>关于中小企业划分标准</w:t>
            </w:r>
          </w:p>
        </w:tc>
        <w:tc>
          <w:tcPr>
            <w:tcW w:w="6673" w:type="dxa"/>
            <w:noWrap w:val="0"/>
            <w:vAlign w:val="center"/>
          </w:tcPr>
          <w:p w14:paraId="17BC141F">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根据《工业和信息化部、国家统计局、国家发展和改革委员会、财政部关于印发中小企业划型标准规定的通知》（工信部联企业〔2011〕300号）对中小企业的划分标准的规定，</w:t>
            </w:r>
            <w:r>
              <w:rPr>
                <w:rFonts w:hint="eastAsia" w:ascii="仿宋" w:hAnsi="仿宋" w:eastAsia="仿宋" w:cs="仿宋"/>
                <w:b/>
                <w:bCs/>
                <w:color w:val="auto"/>
                <w:sz w:val="24"/>
                <w:szCs w:val="24"/>
                <w:highlight w:val="none"/>
                <w:lang w:val="en-US" w:eastAsia="zh-CN" w:bidi="ar-SA"/>
              </w:rPr>
              <w:t>本项目采购标的对应的所属行业为：</w:t>
            </w:r>
            <w:r>
              <w:rPr>
                <w:rFonts w:hint="eastAsia" w:ascii="仿宋" w:hAnsi="仿宋" w:eastAsia="仿宋" w:cs="仿宋"/>
                <w:b/>
                <w:bCs/>
                <w:color w:val="auto"/>
                <w:sz w:val="24"/>
                <w:szCs w:val="24"/>
                <w:highlight w:val="none"/>
                <w:u w:val="single"/>
                <w:lang w:val="en-US" w:eastAsia="zh-CN" w:bidi="ar-SA"/>
              </w:rPr>
              <w:t xml:space="preserve"> 工业 </w:t>
            </w:r>
            <w:r>
              <w:rPr>
                <w:rFonts w:hint="eastAsia" w:ascii="仿宋" w:hAnsi="仿宋" w:eastAsia="仿宋" w:cs="仿宋"/>
                <w:color w:val="auto"/>
                <w:kern w:val="0"/>
                <w:sz w:val="24"/>
                <w:szCs w:val="24"/>
                <w:highlight w:val="none"/>
                <w:lang w:val="en-US" w:eastAsia="zh-CN" w:bidi="ar-SA"/>
              </w:rPr>
              <w:t>（按照《工信部 国家统计局 发改委 财政部 工信部联企业》中小企业划型标准（〔2011〕300号）规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3F419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4EFBE3E7">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13</w:t>
            </w:r>
          </w:p>
        </w:tc>
        <w:tc>
          <w:tcPr>
            <w:tcW w:w="2043" w:type="dxa"/>
            <w:noWrap w:val="0"/>
            <w:vAlign w:val="center"/>
          </w:tcPr>
          <w:p w14:paraId="2A6A064B">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rPr>
              <w:t>投标人应具备的资格条件</w:t>
            </w:r>
          </w:p>
        </w:tc>
        <w:tc>
          <w:tcPr>
            <w:tcW w:w="6673" w:type="dxa"/>
            <w:noWrap w:val="0"/>
            <w:vAlign w:val="center"/>
          </w:tcPr>
          <w:p w14:paraId="5399602C">
            <w:pPr>
              <w:keepNext w:val="0"/>
              <w:keepLines w:val="0"/>
              <w:pageBreakBefore w:val="0"/>
              <w:widowControl w:val="0"/>
              <w:tabs>
                <w:tab w:val="left" w:pos="1180"/>
              </w:tabs>
              <w:kinsoku/>
              <w:wordWrap/>
              <w:overflowPunct/>
              <w:topLinePunct w:val="0"/>
              <w:autoSpaceDE/>
              <w:autoSpaceDN/>
              <w:bidi w:val="0"/>
              <w:adjustRightInd/>
              <w:snapToGrid/>
              <w:spacing w:line="360" w:lineRule="auto"/>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lang w:eastAsia="zh-CN"/>
              </w:rPr>
              <w:t>满足</w:t>
            </w:r>
            <w:r>
              <w:rPr>
                <w:rFonts w:hint="eastAsia" w:ascii="仿宋" w:hAnsi="仿宋" w:eastAsia="仿宋" w:cs="仿宋"/>
                <w:color w:val="auto"/>
                <w:kern w:val="0"/>
                <w:sz w:val="24"/>
                <w:szCs w:val="24"/>
                <w:highlight w:val="none"/>
              </w:rPr>
              <w:t>《中华人民共和国政府采购法》第二十二条的规定：</w:t>
            </w:r>
          </w:p>
          <w:p w14:paraId="1F6510B2">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w:t>
            </w:r>
            <w:r>
              <w:rPr>
                <w:rFonts w:hint="eastAsia" w:ascii="仿宋" w:hAnsi="仿宋" w:eastAsia="仿宋" w:cs="仿宋"/>
                <w:color w:val="auto"/>
                <w:kern w:val="0"/>
                <w:sz w:val="24"/>
                <w:szCs w:val="24"/>
                <w:highlight w:val="none"/>
                <w:lang w:val="en-US" w:eastAsia="zh-CN"/>
              </w:rPr>
              <w:t>提供合格有效的法人或者其他组织的营业执照等证明文件，自然人的身份证明；供应商是法人或其他组织的应提供营业执照等证明文件，供应商是自然人的应提供有效的自然人身份证明</w:t>
            </w:r>
            <w:r>
              <w:rPr>
                <w:rFonts w:hint="eastAsia" w:ascii="仿宋" w:hAnsi="仿宋" w:eastAsia="仿宋" w:cs="仿宋"/>
                <w:color w:val="auto"/>
                <w:kern w:val="0"/>
                <w:sz w:val="24"/>
                <w:szCs w:val="24"/>
                <w:highlight w:val="none"/>
              </w:rPr>
              <w:t>；</w:t>
            </w:r>
          </w:p>
          <w:p w14:paraId="63066720">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w:t>
            </w:r>
            <w:r>
              <w:rPr>
                <w:rFonts w:hint="eastAsia" w:ascii="仿宋" w:hAnsi="仿宋" w:eastAsia="仿宋" w:cs="仿宋"/>
                <w:color w:val="auto"/>
                <w:kern w:val="0"/>
                <w:sz w:val="24"/>
                <w:szCs w:val="24"/>
                <w:highlight w:val="none"/>
                <w:lang w:val="en-US" w:eastAsia="zh-CN"/>
              </w:rPr>
              <w:t>提供2024或2025年度经审计的已赋码且完整的财务报告（依据财政部、国务院国资委、金融监管总局印发《关于加强审计报告查验工作的通知》(财会(2023〕15号)报告须在注册会计师行业统一监管平台备案并由该平台赋予二维码），包括“四表一注”即《资产负债表》《利润表》《现金流量表》《所有者权益变动表》及其附注、会计师事务所营业执照和2个注册会计师证书（成立时间至提交投标文件截止时间不足一年的可提供成立后任意时段的资产负债表）或财政部门认可的政府采购专业担保机构出具的担保函或在开标日期前三个月内其基本开户银行出具的资信证明（附开户许可证或开户备案证明或基本账户信息）,以上形式的证明资料提供任何一种即可；</w:t>
            </w:r>
          </w:p>
          <w:p w14:paraId="6FE33754">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w:t>
            </w:r>
            <w:r>
              <w:rPr>
                <w:rFonts w:hint="eastAsia" w:ascii="仿宋" w:hAnsi="仿宋" w:eastAsia="仿宋" w:cs="仿宋"/>
                <w:color w:val="auto"/>
                <w:kern w:val="0"/>
                <w:sz w:val="24"/>
                <w:szCs w:val="24"/>
                <w:highlight w:val="none"/>
                <w:lang w:val="en-US" w:eastAsia="zh-CN"/>
              </w:rPr>
              <w:t>提供递交投标文件截止之日前一年内任意一个月的依法缴纳税收的完税证明，完税证明应有税务机关或代收机关的公章或业务专用章。依法免税或无须缴纳税收的供应商，应提供相应证明文件</w:t>
            </w:r>
            <w:r>
              <w:rPr>
                <w:rFonts w:hint="eastAsia" w:ascii="仿宋" w:hAnsi="仿宋" w:eastAsia="仿宋" w:cs="仿宋"/>
                <w:color w:val="auto"/>
                <w:kern w:val="0"/>
                <w:sz w:val="24"/>
                <w:szCs w:val="24"/>
                <w:highlight w:val="none"/>
              </w:rPr>
              <w:t>；</w:t>
            </w:r>
          </w:p>
          <w:p w14:paraId="7F18DDF1">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1.4</w:t>
            </w:r>
            <w:r>
              <w:rPr>
                <w:rFonts w:hint="eastAsia" w:ascii="仿宋" w:hAnsi="仿宋" w:eastAsia="仿宋" w:cs="仿宋"/>
                <w:color w:val="auto"/>
                <w:kern w:val="0"/>
                <w:sz w:val="24"/>
                <w:szCs w:val="24"/>
                <w:highlight w:val="none"/>
                <w:lang w:val="en-US" w:eastAsia="zh-CN"/>
              </w:rPr>
              <w:t>提供投标截止日前一年内已缴存的至少一个月的社会保障资金缴存单据或社保机构开具的社会保险参保缴费情况证明，依法不需要缴纳社会保障资金的单位应提供相关证明材料；</w:t>
            </w:r>
          </w:p>
          <w:p w14:paraId="122CB169">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1.5</w:t>
            </w:r>
            <w:r>
              <w:rPr>
                <w:rFonts w:hint="eastAsia" w:ascii="仿宋" w:hAnsi="仿宋" w:eastAsia="仿宋" w:cs="仿宋"/>
                <w:color w:val="auto"/>
                <w:kern w:val="0"/>
                <w:sz w:val="24"/>
                <w:szCs w:val="24"/>
                <w:highlight w:val="none"/>
                <w:lang w:val="en-US" w:eastAsia="zh-CN"/>
              </w:rPr>
              <w:t>提供具有履行合同所必需的设备和专业技术能力的承诺；</w:t>
            </w:r>
          </w:p>
          <w:p w14:paraId="7D6DFBD5">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w:t>
            </w:r>
            <w:r>
              <w:rPr>
                <w:rFonts w:hint="eastAsia" w:ascii="仿宋" w:hAnsi="仿宋" w:eastAsia="仿宋" w:cs="仿宋"/>
                <w:color w:val="auto"/>
                <w:kern w:val="0"/>
                <w:sz w:val="24"/>
                <w:szCs w:val="24"/>
                <w:highlight w:val="none"/>
                <w:lang w:val="en-US" w:eastAsia="zh-CN"/>
              </w:rPr>
              <w:t>参加政府采购活动前3年内，在经营活动中没有重大违法记录的书面声明；</w:t>
            </w:r>
          </w:p>
          <w:p w14:paraId="3E19F0C2">
            <w:pPr>
              <w:keepNext w:val="0"/>
              <w:keepLines w:val="0"/>
              <w:pageBreakBefore w:val="0"/>
              <w:widowControl w:val="0"/>
              <w:tabs>
                <w:tab w:val="left" w:pos="1180"/>
              </w:tabs>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2.落实政府采购政策需满足的资格要求：本合同包非专门面向中小企业采购。</w:t>
            </w:r>
          </w:p>
          <w:p w14:paraId="4DA3D9C3">
            <w:pPr>
              <w:keepNext w:val="0"/>
              <w:keepLines w:val="0"/>
              <w:pageBreakBefore w:val="0"/>
              <w:widowControl w:val="0"/>
              <w:tabs>
                <w:tab w:val="left" w:pos="1180"/>
              </w:tabs>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特定资格条件：</w:t>
            </w:r>
          </w:p>
          <w:p w14:paraId="3316BD1D">
            <w:pPr>
              <w:keepNext w:val="0"/>
              <w:keepLines w:val="0"/>
              <w:pageBreakBefore w:val="0"/>
              <w:widowControl w:val="0"/>
              <w:tabs>
                <w:tab w:val="left" w:pos="1180"/>
              </w:tabs>
              <w:kinsoku/>
              <w:wordWrap w:val="0"/>
              <w:overflowPunct/>
              <w:topLinePunct w:val="0"/>
              <w:autoSpaceDE/>
              <w:autoSpaceDN/>
              <w:bidi w:val="0"/>
              <w:adjustRightInd/>
              <w:snapToGrid/>
              <w:spacing w:line="36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.1①</w:t>
            </w:r>
            <w:r>
              <w:rPr>
                <w:rFonts w:hint="eastAsia" w:ascii="仿宋" w:hAnsi="仿宋" w:eastAsia="仿宋" w:cs="仿宋"/>
                <w:color w:val="auto"/>
                <w:kern w:val="0"/>
                <w:sz w:val="24"/>
                <w:szCs w:val="24"/>
                <w:highlight w:val="none"/>
                <w:lang w:eastAsia="zh-CN"/>
              </w:rPr>
              <w:t>投标人为经营企业的须提供合法有效的</w:t>
            </w:r>
            <w:r>
              <w:rPr>
                <w:rFonts w:hint="eastAsia" w:ascii="仿宋" w:hAnsi="仿宋" w:eastAsia="仿宋" w:cs="仿宋"/>
                <w:color w:val="auto"/>
                <w:kern w:val="0"/>
                <w:sz w:val="24"/>
                <w:szCs w:val="24"/>
                <w:highlight w:val="none"/>
              </w:rPr>
              <w:t>《药品经营许可证》（经营范围须包括中药饮片）并提供所投产品的《药品生产许可证》（其生产范围应包含中药饮片），如为毒性饮片，其药品生产许可证的生产范围和经销商药品经营许可证的经营范围须包括中药饮片（含毒性饮片），如为实施批准文号管理的中药饮片须提供该品种的注册批件；</w:t>
            </w:r>
          </w:p>
          <w:p w14:paraId="581308A8">
            <w:pPr>
              <w:keepNext w:val="0"/>
              <w:keepLines w:val="0"/>
              <w:pageBreakBefore w:val="0"/>
              <w:widowControl w:val="0"/>
              <w:tabs>
                <w:tab w:val="left" w:pos="1180"/>
              </w:tabs>
              <w:kinsoku/>
              <w:wordWrap w:val="0"/>
              <w:overflowPunct/>
              <w:topLinePunct w:val="0"/>
              <w:autoSpaceDE/>
              <w:autoSpaceDN/>
              <w:bidi w:val="0"/>
              <w:adjustRightInd/>
              <w:snapToGrid/>
              <w:spacing w:line="36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②</w:t>
            </w:r>
            <w:r>
              <w:rPr>
                <w:rFonts w:hint="eastAsia" w:ascii="仿宋" w:hAnsi="仿宋" w:eastAsia="仿宋" w:cs="仿宋"/>
                <w:color w:val="auto"/>
                <w:kern w:val="0"/>
                <w:sz w:val="24"/>
                <w:szCs w:val="24"/>
                <w:highlight w:val="none"/>
                <w:lang w:eastAsia="zh-CN"/>
              </w:rPr>
              <w:t>投标人为生产企业的须具有合法有效的</w:t>
            </w:r>
            <w:r>
              <w:rPr>
                <w:rFonts w:hint="eastAsia" w:ascii="仿宋" w:hAnsi="仿宋" w:eastAsia="仿宋" w:cs="仿宋"/>
                <w:color w:val="auto"/>
                <w:kern w:val="0"/>
                <w:sz w:val="24"/>
                <w:szCs w:val="24"/>
                <w:highlight w:val="none"/>
              </w:rPr>
              <w:t>《药品生产许可证》（其生产范围应包含中药饮片）如为毒性饮片，其药品生产许可证中的生产范围须包括中药饮片（含毒性饮片），如为实施批准文号管理的中药饮片须提供该品种的注册批件。</w:t>
            </w:r>
          </w:p>
          <w:p w14:paraId="67E3715A">
            <w:pPr>
              <w:keepNext w:val="0"/>
              <w:keepLines w:val="0"/>
              <w:pageBreakBefore w:val="0"/>
              <w:widowControl w:val="0"/>
              <w:tabs>
                <w:tab w:val="left" w:pos="1180"/>
              </w:tabs>
              <w:kinsoku/>
              <w:wordWrap w:val="0"/>
              <w:overflowPunct/>
              <w:topLinePunct w:val="0"/>
              <w:autoSpaceDE/>
              <w:autoSpaceDN/>
              <w:bidi w:val="0"/>
              <w:adjustRightInd/>
              <w:snapToGrid/>
              <w:spacing w:line="36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若投标产品（或其任何组成部分）属于《国家重点保护野生动物名录》或相关法律法规规定的野生动物物种制成的饮片，投标人必须提供该物种对应的、有效的林业主管部门核发的相关行政许可文件。如为实施批准文号管理的中药饮片须提供该品种的注册批件。</w:t>
            </w:r>
          </w:p>
          <w:p w14:paraId="5FF1E48E">
            <w:pPr>
              <w:keepNext w:val="0"/>
              <w:keepLines w:val="0"/>
              <w:pageBreakBefore w:val="0"/>
              <w:widowControl w:val="0"/>
              <w:tabs>
                <w:tab w:val="left" w:pos="1180"/>
              </w:tabs>
              <w:kinsoku/>
              <w:wordWrap w:val="0"/>
              <w:overflowPunct/>
              <w:topLinePunct w:val="0"/>
              <w:autoSpaceDE/>
              <w:autoSpaceDN/>
              <w:bidi w:val="0"/>
              <w:adjustRightInd/>
              <w:snapToGrid/>
              <w:spacing w:line="360" w:lineRule="auto"/>
              <w:ind w:firstLine="0" w:firstLineChars="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3.2</w:t>
            </w:r>
            <w:r>
              <w:rPr>
                <w:rFonts w:hint="eastAsia" w:ascii="仿宋" w:hAnsi="仿宋" w:eastAsia="仿宋" w:cs="仿宋"/>
                <w:color w:val="auto"/>
                <w:kern w:val="0"/>
                <w:sz w:val="24"/>
                <w:szCs w:val="24"/>
                <w:highlight w:val="none"/>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color w:val="auto"/>
                <w:kern w:val="0"/>
                <w:sz w:val="24"/>
                <w:szCs w:val="24"/>
                <w:highlight w:val="none"/>
                <w:lang w:val="en-US" w:eastAsia="zh-CN"/>
              </w:rPr>
              <w:t>；</w:t>
            </w:r>
          </w:p>
          <w:p w14:paraId="61ED2D63">
            <w:pPr>
              <w:keepNext w:val="0"/>
              <w:keepLines w:val="0"/>
              <w:pageBreakBefore w:val="0"/>
              <w:widowControl w:val="0"/>
              <w:tabs>
                <w:tab w:val="left" w:pos="1180"/>
              </w:tabs>
              <w:kinsoku/>
              <w:wordWrap w:val="0"/>
              <w:overflowPunct/>
              <w:topLinePunct w:val="0"/>
              <w:autoSpaceDE/>
              <w:autoSpaceDN/>
              <w:bidi w:val="0"/>
              <w:adjustRightInd/>
              <w:snapToGrid/>
              <w:spacing w:line="360" w:lineRule="auto"/>
              <w:ind w:firstLine="0" w:firstLineChars="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3供应商未被“信用中国”网站（www.creditchina.gov.cn）列入失信被执行人和重大税收违法失信主体，未被中国政府采购网（www.ccgp.gov.cn）列入政府采购严重违法失信行为记录名单。</w:t>
            </w:r>
          </w:p>
        </w:tc>
      </w:tr>
      <w:tr w14:paraId="4EA4D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54551D1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14</w:t>
            </w:r>
          </w:p>
        </w:tc>
        <w:tc>
          <w:tcPr>
            <w:tcW w:w="2043" w:type="dxa"/>
            <w:noWrap w:val="0"/>
            <w:vAlign w:val="center"/>
          </w:tcPr>
          <w:p w14:paraId="6A0DD926">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是否接受</w:t>
            </w:r>
          </w:p>
          <w:p w14:paraId="6B191A0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rPr>
              <w:t>联合体</w:t>
            </w:r>
            <w:r>
              <w:rPr>
                <w:rFonts w:hint="eastAsia" w:ascii="仿宋" w:hAnsi="仿宋" w:eastAsia="仿宋" w:cs="仿宋"/>
                <w:color w:val="auto"/>
                <w:sz w:val="24"/>
                <w:szCs w:val="24"/>
                <w:highlight w:val="none"/>
                <w:lang w:eastAsia="zh-CN"/>
              </w:rPr>
              <w:t>投标</w:t>
            </w:r>
          </w:p>
        </w:tc>
        <w:tc>
          <w:tcPr>
            <w:tcW w:w="6673" w:type="dxa"/>
            <w:noWrap w:val="0"/>
            <w:vAlign w:val="center"/>
          </w:tcPr>
          <w:p w14:paraId="277D2CF8">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不接受</w:t>
            </w:r>
          </w:p>
        </w:tc>
      </w:tr>
      <w:tr w14:paraId="11D9F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642" w:type="dxa"/>
            <w:noWrap w:val="0"/>
            <w:vAlign w:val="center"/>
          </w:tcPr>
          <w:p w14:paraId="09C3023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15</w:t>
            </w:r>
          </w:p>
        </w:tc>
        <w:tc>
          <w:tcPr>
            <w:tcW w:w="2043" w:type="dxa"/>
            <w:noWrap w:val="0"/>
            <w:vAlign w:val="center"/>
          </w:tcPr>
          <w:p w14:paraId="779FF24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b w:val="0"/>
                <w:bCs w:val="0"/>
                <w:color w:val="auto"/>
                <w:kern w:val="2"/>
                <w:sz w:val="24"/>
                <w:szCs w:val="24"/>
                <w:highlight w:val="none"/>
                <w:lang w:val="zh-CN" w:eastAsia="zh-CN" w:bidi="ar-SA"/>
              </w:rPr>
            </w:pPr>
            <w:r>
              <w:rPr>
                <w:rFonts w:hint="eastAsia" w:ascii="仿宋" w:hAnsi="仿宋" w:eastAsia="仿宋" w:cs="仿宋"/>
                <w:b w:val="0"/>
                <w:bCs w:val="0"/>
                <w:color w:val="auto"/>
                <w:sz w:val="24"/>
                <w:szCs w:val="24"/>
                <w:highlight w:val="none"/>
                <w:lang w:eastAsia="zh-CN"/>
              </w:rPr>
              <w:t>投标</w:t>
            </w:r>
            <w:r>
              <w:rPr>
                <w:rFonts w:hint="eastAsia" w:ascii="仿宋" w:hAnsi="仿宋" w:eastAsia="仿宋" w:cs="仿宋"/>
                <w:b w:val="0"/>
                <w:bCs w:val="0"/>
                <w:color w:val="auto"/>
                <w:sz w:val="24"/>
                <w:szCs w:val="24"/>
                <w:highlight w:val="none"/>
              </w:rPr>
              <w:t>保证金</w:t>
            </w:r>
          </w:p>
        </w:tc>
        <w:tc>
          <w:tcPr>
            <w:tcW w:w="6673" w:type="dxa"/>
            <w:noWrap w:val="0"/>
            <w:vAlign w:val="center"/>
          </w:tcPr>
          <w:p w14:paraId="789C499E">
            <w:pPr>
              <w:keepNext w:val="0"/>
              <w:keepLines w:val="0"/>
              <w:pageBreakBefore w:val="0"/>
              <w:widowControl w:val="0"/>
              <w:tabs>
                <w:tab w:val="left" w:pos="1180"/>
              </w:tabs>
              <w:kinsoku/>
              <w:wordWrap w:val="0"/>
              <w:overflowPunct/>
              <w:topLinePunct w:val="0"/>
              <w:autoSpaceDE/>
              <w:autoSpaceDN/>
              <w:bidi w:val="0"/>
              <w:adjustRightInd/>
              <w:snapToGrid/>
              <w:spacing w:line="360" w:lineRule="auto"/>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bCs/>
                <w:color w:val="auto"/>
                <w:sz w:val="24"/>
                <w:szCs w:val="24"/>
                <w:highlight w:val="none"/>
                <w:lang w:eastAsia="zh-CN"/>
              </w:rPr>
              <w:t>本项目不收取投标保证金</w:t>
            </w:r>
          </w:p>
        </w:tc>
      </w:tr>
      <w:tr w14:paraId="11AA5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42" w:type="dxa"/>
            <w:noWrap w:val="0"/>
            <w:vAlign w:val="center"/>
          </w:tcPr>
          <w:p w14:paraId="001C2C7A">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16</w:t>
            </w:r>
          </w:p>
        </w:tc>
        <w:tc>
          <w:tcPr>
            <w:tcW w:w="2043" w:type="dxa"/>
            <w:noWrap w:val="0"/>
            <w:vAlign w:val="center"/>
          </w:tcPr>
          <w:p w14:paraId="66630D0A">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b/>
                <w:bCs/>
                <w:color w:val="auto"/>
                <w:kern w:val="2"/>
                <w:sz w:val="24"/>
                <w:szCs w:val="24"/>
                <w:highlight w:val="none"/>
                <w:lang w:val="zh-CN" w:eastAsia="zh-CN" w:bidi="ar-SA"/>
              </w:rPr>
            </w:pP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有效期</w:t>
            </w:r>
          </w:p>
        </w:tc>
        <w:tc>
          <w:tcPr>
            <w:tcW w:w="6673" w:type="dxa"/>
            <w:noWrap w:val="0"/>
            <w:vAlign w:val="center"/>
          </w:tcPr>
          <w:p w14:paraId="016D69AE">
            <w:pPr>
              <w:keepNext w:val="0"/>
              <w:keepLines w:val="0"/>
              <w:pageBreakBefore w:val="0"/>
              <w:widowControl w:val="0"/>
              <w:tabs>
                <w:tab w:val="left" w:pos="1180"/>
              </w:tabs>
              <w:kinsoku/>
              <w:wordWrap/>
              <w:overflowPunct/>
              <w:topLinePunct w:val="0"/>
              <w:bidi w:val="0"/>
              <w:spacing w:line="360" w:lineRule="auto"/>
              <w:textAlignment w:val="auto"/>
              <w:rPr>
                <w:rFonts w:hint="default" w:ascii="仿宋" w:hAnsi="仿宋" w:eastAsia="仿宋" w:cs="仿宋"/>
                <w:b/>
                <w:bCs/>
                <w:color w:val="auto"/>
                <w:kern w:val="2"/>
                <w:sz w:val="24"/>
                <w:szCs w:val="24"/>
                <w:highlight w:val="none"/>
                <w:lang w:val="en-US" w:eastAsia="zh-CN" w:bidi="ar-SA"/>
              </w:rPr>
            </w:pPr>
            <w:r>
              <w:rPr>
                <w:rFonts w:hint="eastAsia" w:ascii="仿宋" w:hAnsi="仿宋" w:eastAsia="仿宋" w:cs="仿宋"/>
                <w:color w:val="auto"/>
                <w:sz w:val="24"/>
                <w:szCs w:val="24"/>
                <w:highlight w:val="none"/>
                <w:lang w:eastAsia="zh-CN"/>
              </w:rPr>
              <w:t>自投标</w:t>
            </w:r>
            <w:r>
              <w:rPr>
                <w:rFonts w:hint="eastAsia" w:ascii="仿宋" w:hAnsi="仿宋" w:eastAsia="仿宋" w:cs="仿宋"/>
                <w:color w:val="auto"/>
                <w:sz w:val="24"/>
                <w:szCs w:val="24"/>
                <w:highlight w:val="none"/>
                <w:lang w:val="zh-CN"/>
              </w:rPr>
              <w:t>文件递交截止之日起90日历天</w:t>
            </w:r>
          </w:p>
        </w:tc>
      </w:tr>
      <w:tr w14:paraId="6CB4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618F17A5">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17</w:t>
            </w:r>
          </w:p>
        </w:tc>
        <w:tc>
          <w:tcPr>
            <w:tcW w:w="2043" w:type="dxa"/>
            <w:noWrap w:val="0"/>
            <w:vAlign w:val="center"/>
          </w:tcPr>
          <w:p w14:paraId="04844501">
            <w:pPr>
              <w:pStyle w:val="108"/>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是否组织</w:t>
            </w:r>
          </w:p>
          <w:p w14:paraId="5C4F486B">
            <w:pPr>
              <w:pStyle w:val="108"/>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rPr>
              <w:t>投标前答疑会</w:t>
            </w:r>
          </w:p>
        </w:tc>
        <w:tc>
          <w:tcPr>
            <w:tcW w:w="6673" w:type="dxa"/>
            <w:noWrap w:val="0"/>
            <w:vAlign w:val="center"/>
          </w:tcPr>
          <w:p w14:paraId="353DF997">
            <w:pPr>
              <w:pStyle w:val="108"/>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rPr>
              <w:t>不组织</w:t>
            </w:r>
          </w:p>
        </w:tc>
      </w:tr>
      <w:tr w14:paraId="01BCF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42" w:type="dxa"/>
            <w:noWrap w:val="0"/>
            <w:vAlign w:val="center"/>
          </w:tcPr>
          <w:p w14:paraId="2B4294D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18</w:t>
            </w:r>
          </w:p>
        </w:tc>
        <w:tc>
          <w:tcPr>
            <w:tcW w:w="2043" w:type="dxa"/>
            <w:noWrap w:val="0"/>
            <w:vAlign w:val="center"/>
          </w:tcPr>
          <w:p w14:paraId="7E1C747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eastAsia="zh-CN"/>
              </w:rPr>
              <w:t>是否允许</w:t>
            </w:r>
            <w:r>
              <w:rPr>
                <w:rFonts w:hint="eastAsia" w:ascii="仿宋" w:hAnsi="仿宋" w:eastAsia="仿宋" w:cs="仿宋"/>
                <w:color w:val="auto"/>
                <w:sz w:val="24"/>
                <w:szCs w:val="24"/>
                <w:highlight w:val="none"/>
              </w:rPr>
              <w:t>分包</w:t>
            </w:r>
          </w:p>
        </w:tc>
        <w:tc>
          <w:tcPr>
            <w:tcW w:w="6673" w:type="dxa"/>
            <w:noWrap w:val="0"/>
            <w:vAlign w:val="center"/>
          </w:tcPr>
          <w:p w14:paraId="1D14D499">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不允许</w:t>
            </w:r>
          </w:p>
        </w:tc>
      </w:tr>
      <w:tr w14:paraId="4A2BA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642" w:type="dxa"/>
            <w:noWrap w:val="0"/>
            <w:vAlign w:val="center"/>
          </w:tcPr>
          <w:p w14:paraId="6077120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19</w:t>
            </w:r>
          </w:p>
        </w:tc>
        <w:tc>
          <w:tcPr>
            <w:tcW w:w="2043" w:type="dxa"/>
            <w:noWrap w:val="0"/>
            <w:vAlign w:val="center"/>
          </w:tcPr>
          <w:p w14:paraId="1EB93EF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文件的</w:t>
            </w:r>
          </w:p>
          <w:p w14:paraId="4592507F">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rPr>
              <w:t>澄清和修改</w:t>
            </w:r>
          </w:p>
        </w:tc>
        <w:tc>
          <w:tcPr>
            <w:tcW w:w="6673" w:type="dxa"/>
            <w:noWrap w:val="0"/>
            <w:vAlign w:val="center"/>
          </w:tcPr>
          <w:p w14:paraId="48B86B84">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lang w:eastAsia="zh-CN"/>
              </w:rPr>
              <w:t>投标文件</w:t>
            </w:r>
            <w:r>
              <w:rPr>
                <w:rFonts w:hint="eastAsia" w:ascii="仿宋" w:hAnsi="仿宋" w:eastAsia="仿宋" w:cs="仿宋"/>
                <w:color w:val="auto"/>
                <w:sz w:val="24"/>
                <w:szCs w:val="24"/>
                <w:highlight w:val="none"/>
              </w:rPr>
              <w:t>递交截止时间</w:t>
            </w:r>
            <w:r>
              <w:rPr>
                <w:rFonts w:hint="eastAsia" w:ascii="仿宋" w:hAnsi="仿宋" w:eastAsia="仿宋" w:cs="仿宋"/>
                <w:color w:val="auto"/>
                <w:sz w:val="24"/>
                <w:szCs w:val="24"/>
                <w:highlight w:val="none"/>
                <w:lang w:val="en-US" w:eastAsia="zh-CN"/>
              </w:rPr>
              <w:t>1</w:t>
            </w:r>
            <w:r>
              <w:rPr>
                <w:rFonts w:hint="eastAsia" w:ascii="仿宋" w:hAnsi="仿宋" w:eastAsia="仿宋" w:cs="仿宋"/>
                <w:bCs/>
                <w:color w:val="auto"/>
                <w:kern w:val="1"/>
                <w:sz w:val="24"/>
                <w:szCs w:val="24"/>
                <w:highlight w:val="none"/>
              </w:rPr>
              <w:t>5日</w:t>
            </w:r>
            <w:r>
              <w:rPr>
                <w:rFonts w:hint="eastAsia" w:ascii="仿宋" w:hAnsi="仿宋" w:eastAsia="仿宋" w:cs="仿宋"/>
                <w:color w:val="auto"/>
                <w:sz w:val="24"/>
                <w:szCs w:val="24"/>
                <w:highlight w:val="none"/>
              </w:rPr>
              <w:t>前</w:t>
            </w:r>
            <w:r>
              <w:rPr>
                <w:rFonts w:hint="eastAsia" w:ascii="仿宋" w:hAnsi="仿宋" w:eastAsia="仿宋" w:cs="仿宋"/>
                <w:color w:val="auto"/>
                <w:sz w:val="24"/>
                <w:szCs w:val="24"/>
                <w:highlight w:val="none"/>
                <w:lang w:eastAsia="zh-CN"/>
              </w:rPr>
              <w:t>；</w:t>
            </w:r>
          </w:p>
          <w:p w14:paraId="4300B560">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形式：书面形式</w:t>
            </w:r>
            <w:r>
              <w:rPr>
                <w:rFonts w:hint="eastAsia" w:ascii="仿宋" w:hAnsi="仿宋" w:eastAsia="仿宋" w:cs="仿宋"/>
                <w:color w:val="auto"/>
                <w:sz w:val="24"/>
                <w:szCs w:val="24"/>
                <w:highlight w:val="none"/>
                <w:lang w:val="zh-CN"/>
              </w:rPr>
              <w:t>发给所有获取</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lang w:val="zh-CN"/>
              </w:rPr>
              <w:t>文件的潜在投标人；</w:t>
            </w:r>
          </w:p>
          <w:p w14:paraId="2D490203">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文件的澄清、修改及有关补充通知为</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文件的有效组成部分。</w:t>
            </w:r>
          </w:p>
        </w:tc>
      </w:tr>
      <w:tr w14:paraId="6CCC2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642" w:type="dxa"/>
            <w:noWrap w:val="0"/>
            <w:vAlign w:val="center"/>
          </w:tcPr>
          <w:p w14:paraId="0DE33930">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2043" w:type="dxa"/>
            <w:noWrap w:val="0"/>
            <w:vAlign w:val="center"/>
          </w:tcPr>
          <w:p w14:paraId="53206548">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核心产品</w:t>
            </w:r>
          </w:p>
        </w:tc>
        <w:tc>
          <w:tcPr>
            <w:tcW w:w="6673" w:type="dxa"/>
            <w:noWrap w:val="0"/>
            <w:vAlign w:val="center"/>
          </w:tcPr>
          <w:p w14:paraId="721F42F1">
            <w:pPr>
              <w:pStyle w:val="30"/>
              <w:keepNext w:val="0"/>
              <w:keepLines w:val="0"/>
              <w:pageBreakBefore w:val="0"/>
              <w:widowControl/>
              <w:kinsoku/>
              <w:wordWrap/>
              <w:overflowPunct/>
              <w:topLinePunct w:val="0"/>
              <w:autoSpaceDE/>
              <w:autoSpaceDN/>
              <w:bidi w:val="0"/>
              <w:adjustRightInd/>
              <w:snapToGrid/>
              <w:spacing w:after="0" w:afterLines="0" w:line="360" w:lineRule="auto"/>
              <w:ind w:left="0" w:leftChars="0" w:firstLine="0" w:firstLineChars="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北柴胡、姜半夏、麸炒苍术</w:t>
            </w:r>
          </w:p>
        </w:tc>
      </w:tr>
      <w:tr w14:paraId="0EBAA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0742E706">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p>
        </w:tc>
        <w:tc>
          <w:tcPr>
            <w:tcW w:w="2043" w:type="dxa"/>
            <w:noWrap w:val="0"/>
            <w:vAlign w:val="center"/>
          </w:tcPr>
          <w:p w14:paraId="5D793857">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是否允许</w:t>
            </w:r>
          </w:p>
          <w:p w14:paraId="607CCA08">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提交备选方案</w:t>
            </w:r>
          </w:p>
        </w:tc>
        <w:tc>
          <w:tcPr>
            <w:tcW w:w="6673" w:type="dxa"/>
            <w:noWrap w:val="0"/>
            <w:vAlign w:val="center"/>
          </w:tcPr>
          <w:p w14:paraId="7B793B71">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不允许</w:t>
            </w:r>
          </w:p>
        </w:tc>
      </w:tr>
      <w:tr w14:paraId="3CCD0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15C3656A">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22</w:t>
            </w:r>
          </w:p>
        </w:tc>
        <w:tc>
          <w:tcPr>
            <w:tcW w:w="2043" w:type="dxa"/>
            <w:noWrap w:val="0"/>
            <w:vAlign w:val="center"/>
          </w:tcPr>
          <w:p w14:paraId="37DB123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zh-CN"/>
              </w:rPr>
              <w:t>递交</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lang w:val="zh-CN"/>
              </w:rPr>
              <w:t>文件的截止时间和地点</w:t>
            </w:r>
          </w:p>
        </w:tc>
        <w:tc>
          <w:tcPr>
            <w:tcW w:w="6673" w:type="dxa"/>
            <w:noWrap w:val="0"/>
            <w:vAlign w:val="center"/>
          </w:tcPr>
          <w:p w14:paraId="5578FA05">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时间：</w:t>
            </w:r>
            <w:r>
              <w:rPr>
                <w:rFonts w:hint="eastAsia" w:ascii="仿宋" w:hAnsi="仿宋" w:eastAsia="仿宋" w:cs="仿宋"/>
                <w:color w:val="auto"/>
                <w:sz w:val="24"/>
                <w:szCs w:val="24"/>
                <w:highlight w:val="none"/>
                <w:lang w:eastAsia="zh-CN"/>
              </w:rPr>
              <w:t>详见招标公告</w:t>
            </w:r>
          </w:p>
          <w:p w14:paraId="3E81A07F">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caps w:val="0"/>
                <w:color w:val="auto"/>
                <w:spacing w:val="0"/>
                <w:sz w:val="24"/>
                <w:szCs w:val="24"/>
                <w:highlight w:val="none"/>
                <w:shd w:val="clear" w:color="auto" w:fill="FFFFFF"/>
                <w:lang w:eastAsia="zh-CN"/>
              </w:rPr>
              <w:t>地点：</w:t>
            </w:r>
            <w:r>
              <w:rPr>
                <w:rFonts w:hint="eastAsia" w:ascii="仿宋" w:hAnsi="仿宋" w:eastAsia="仿宋" w:cs="仿宋"/>
                <w:color w:val="auto"/>
                <w:sz w:val="24"/>
                <w:szCs w:val="24"/>
                <w:highlight w:val="none"/>
                <w:lang w:eastAsia="zh-CN"/>
              </w:rPr>
              <w:t>详见招标公告</w:t>
            </w:r>
          </w:p>
        </w:tc>
      </w:tr>
      <w:tr w14:paraId="407E8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75884765">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23</w:t>
            </w:r>
          </w:p>
        </w:tc>
        <w:tc>
          <w:tcPr>
            <w:tcW w:w="2043" w:type="dxa"/>
            <w:noWrap w:val="0"/>
            <w:vAlign w:val="center"/>
          </w:tcPr>
          <w:p w14:paraId="31C0FCC3">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开标</w:t>
            </w:r>
            <w:r>
              <w:rPr>
                <w:rFonts w:hint="eastAsia" w:ascii="仿宋" w:hAnsi="仿宋" w:eastAsia="仿宋" w:cs="仿宋"/>
                <w:color w:val="auto"/>
                <w:sz w:val="24"/>
                <w:szCs w:val="24"/>
                <w:highlight w:val="none"/>
              </w:rPr>
              <w:t>时间</w:t>
            </w:r>
          </w:p>
          <w:p w14:paraId="03D13DC4">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和地点</w:t>
            </w:r>
          </w:p>
        </w:tc>
        <w:tc>
          <w:tcPr>
            <w:tcW w:w="6673" w:type="dxa"/>
            <w:noWrap w:val="0"/>
            <w:vAlign w:val="center"/>
          </w:tcPr>
          <w:p w14:paraId="2EF9D410">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开标</w:t>
            </w:r>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lang w:eastAsia="zh-CN"/>
              </w:rPr>
              <w:t>详见招标公告</w:t>
            </w:r>
          </w:p>
          <w:p w14:paraId="5E613B68">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zh-CN"/>
              </w:rPr>
              <w:t>开标</w:t>
            </w:r>
            <w:r>
              <w:rPr>
                <w:rFonts w:hint="eastAsia" w:ascii="仿宋" w:hAnsi="仿宋" w:eastAsia="仿宋" w:cs="仿宋"/>
                <w:color w:val="auto"/>
                <w:sz w:val="24"/>
                <w:szCs w:val="24"/>
                <w:highlight w:val="none"/>
              </w:rPr>
              <w:t>地点：</w:t>
            </w:r>
            <w:r>
              <w:rPr>
                <w:rFonts w:hint="eastAsia" w:ascii="仿宋" w:hAnsi="仿宋" w:eastAsia="仿宋" w:cs="仿宋"/>
                <w:color w:val="auto"/>
                <w:sz w:val="24"/>
                <w:szCs w:val="24"/>
                <w:highlight w:val="none"/>
                <w:lang w:eastAsia="zh-CN"/>
              </w:rPr>
              <w:t>详见招标公告</w:t>
            </w:r>
          </w:p>
        </w:tc>
      </w:tr>
      <w:tr w14:paraId="479B0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642" w:type="dxa"/>
            <w:noWrap w:val="0"/>
            <w:vAlign w:val="center"/>
          </w:tcPr>
          <w:p w14:paraId="4C6F81E5">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24</w:t>
            </w:r>
          </w:p>
        </w:tc>
        <w:tc>
          <w:tcPr>
            <w:tcW w:w="2043" w:type="dxa"/>
            <w:noWrap w:val="0"/>
            <w:vAlign w:val="center"/>
          </w:tcPr>
          <w:p w14:paraId="58772F0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u w:val="none"/>
                <w:lang w:val="zh-CN"/>
              </w:rPr>
              <w:t>评标委员会</w:t>
            </w:r>
          </w:p>
        </w:tc>
        <w:tc>
          <w:tcPr>
            <w:tcW w:w="6673" w:type="dxa"/>
            <w:noWrap w:val="0"/>
            <w:vAlign w:val="center"/>
          </w:tcPr>
          <w:p w14:paraId="5C85583E">
            <w:pPr>
              <w:keepNext w:val="0"/>
              <w:keepLines w:val="0"/>
              <w:pageBreakBefore w:val="0"/>
              <w:widowControl w:val="0"/>
              <w:kinsoku/>
              <w:wordWrap/>
              <w:overflowPunct/>
              <w:topLinePunct w:val="0"/>
              <w:bidi w:val="0"/>
              <w:spacing w:line="360" w:lineRule="auto"/>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u w:val="none"/>
                <w:lang w:val="zh-CN"/>
              </w:rPr>
              <w:t>评标委员会依法组成，成员人数为</w:t>
            </w:r>
            <w:r>
              <w:rPr>
                <w:rFonts w:hint="eastAsia" w:ascii="仿宋" w:hAnsi="仿宋" w:eastAsia="仿宋" w:cs="仿宋"/>
                <w:color w:val="auto"/>
                <w:sz w:val="24"/>
                <w:szCs w:val="24"/>
                <w:highlight w:val="none"/>
                <w:u w:val="none"/>
                <w:lang w:val="en-US" w:eastAsia="zh-CN"/>
              </w:rPr>
              <w:t>5</w:t>
            </w:r>
            <w:r>
              <w:rPr>
                <w:rFonts w:hint="eastAsia" w:ascii="仿宋" w:hAnsi="仿宋" w:eastAsia="仿宋" w:cs="仿宋"/>
                <w:color w:val="auto"/>
                <w:sz w:val="24"/>
                <w:szCs w:val="24"/>
                <w:highlight w:val="none"/>
                <w:u w:val="none"/>
                <w:lang w:val="zh-CN"/>
              </w:rPr>
              <w:t>人。</w:t>
            </w:r>
          </w:p>
        </w:tc>
      </w:tr>
      <w:tr w14:paraId="43ECF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7ACD598D">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25</w:t>
            </w:r>
          </w:p>
        </w:tc>
        <w:tc>
          <w:tcPr>
            <w:tcW w:w="2043" w:type="dxa"/>
            <w:noWrap w:val="0"/>
            <w:vAlign w:val="center"/>
          </w:tcPr>
          <w:p w14:paraId="71769CBB">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u w:val="none"/>
                <w:lang w:val="zh-CN" w:eastAsia="zh-CN" w:bidi="ar-SA"/>
              </w:rPr>
            </w:pPr>
            <w:r>
              <w:rPr>
                <w:rFonts w:hint="eastAsia" w:ascii="仿宋" w:hAnsi="仿宋" w:eastAsia="仿宋" w:cs="仿宋"/>
                <w:color w:val="auto"/>
                <w:sz w:val="24"/>
                <w:szCs w:val="24"/>
                <w:highlight w:val="none"/>
              </w:rPr>
              <w:t>是否授权</w:t>
            </w:r>
            <w:r>
              <w:rPr>
                <w:rFonts w:hint="eastAsia" w:ascii="仿宋" w:hAnsi="仿宋" w:eastAsia="仿宋" w:cs="仿宋"/>
                <w:color w:val="auto"/>
                <w:sz w:val="24"/>
                <w:szCs w:val="24"/>
                <w:highlight w:val="none"/>
                <w:lang w:eastAsia="zh-CN"/>
              </w:rPr>
              <w:t>评标委员会</w:t>
            </w:r>
            <w:r>
              <w:rPr>
                <w:rFonts w:hint="eastAsia" w:ascii="仿宋" w:hAnsi="仿宋" w:eastAsia="仿宋" w:cs="仿宋"/>
                <w:color w:val="auto"/>
                <w:sz w:val="24"/>
                <w:szCs w:val="24"/>
                <w:highlight w:val="none"/>
              </w:rPr>
              <w:t>确定</w:t>
            </w:r>
            <w:r>
              <w:rPr>
                <w:rFonts w:hint="eastAsia" w:ascii="仿宋" w:hAnsi="仿宋" w:eastAsia="仿宋" w:cs="仿宋"/>
                <w:color w:val="auto"/>
                <w:sz w:val="24"/>
                <w:szCs w:val="24"/>
                <w:highlight w:val="none"/>
                <w:lang w:eastAsia="zh-CN"/>
              </w:rPr>
              <w:t>中标单位</w:t>
            </w:r>
          </w:p>
        </w:tc>
        <w:tc>
          <w:tcPr>
            <w:tcW w:w="6673" w:type="dxa"/>
            <w:noWrap w:val="0"/>
            <w:vAlign w:val="center"/>
          </w:tcPr>
          <w:p w14:paraId="74A68D0E">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rPr>
              <w:t>否，推荐的</w:t>
            </w:r>
            <w:r>
              <w:rPr>
                <w:rFonts w:hint="eastAsia" w:ascii="仿宋" w:hAnsi="仿宋" w:eastAsia="仿宋" w:cs="仿宋"/>
                <w:color w:val="auto"/>
                <w:sz w:val="24"/>
                <w:szCs w:val="24"/>
                <w:highlight w:val="none"/>
                <w:lang w:eastAsia="zh-CN"/>
              </w:rPr>
              <w:t>中标</w:t>
            </w:r>
            <w:r>
              <w:rPr>
                <w:rFonts w:hint="eastAsia" w:ascii="仿宋" w:hAnsi="仿宋" w:eastAsia="仿宋" w:cs="仿宋"/>
                <w:color w:val="auto"/>
                <w:sz w:val="24"/>
                <w:szCs w:val="24"/>
                <w:highlight w:val="none"/>
              </w:rPr>
              <w:t>候选人数：3名。</w:t>
            </w:r>
          </w:p>
        </w:tc>
      </w:tr>
      <w:tr w14:paraId="41583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60638448">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26</w:t>
            </w:r>
          </w:p>
        </w:tc>
        <w:tc>
          <w:tcPr>
            <w:tcW w:w="2043" w:type="dxa"/>
            <w:noWrap w:val="0"/>
            <w:vAlign w:val="center"/>
          </w:tcPr>
          <w:p w14:paraId="4E2C5EB6">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eastAsia="zh-CN"/>
              </w:rPr>
              <w:t>中标</w:t>
            </w:r>
            <w:r>
              <w:rPr>
                <w:rFonts w:hint="eastAsia" w:ascii="仿宋" w:hAnsi="仿宋" w:eastAsia="仿宋" w:cs="仿宋"/>
                <w:color w:val="auto"/>
                <w:sz w:val="24"/>
                <w:szCs w:val="24"/>
                <w:highlight w:val="none"/>
              </w:rPr>
              <w:t>公告</w:t>
            </w:r>
          </w:p>
        </w:tc>
        <w:tc>
          <w:tcPr>
            <w:tcW w:w="6673" w:type="dxa"/>
            <w:noWrap w:val="0"/>
            <w:vAlign w:val="center"/>
          </w:tcPr>
          <w:p w14:paraId="0882B96E">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公告媒体：陕西省政府采购网、</w:t>
            </w:r>
            <w:r>
              <w:rPr>
                <w:rFonts w:hint="eastAsia" w:ascii="仿宋" w:hAnsi="仿宋" w:eastAsia="仿宋" w:cs="仿宋"/>
                <w:color w:val="auto"/>
                <w:sz w:val="24"/>
                <w:szCs w:val="24"/>
                <w:highlight w:val="none"/>
              </w:rPr>
              <w:t>全国公共资源交易平台（陕西省·西安市</w:t>
            </w:r>
            <w:r>
              <w:rPr>
                <w:rFonts w:hint="eastAsia" w:ascii="仿宋" w:hAnsi="仿宋" w:eastAsia="仿宋" w:cs="仿宋"/>
                <w:color w:val="auto"/>
                <w:sz w:val="24"/>
                <w:szCs w:val="24"/>
                <w:highlight w:val="none"/>
                <w:lang w:eastAsia="zh-CN"/>
              </w:rPr>
              <w:t>）</w:t>
            </w:r>
          </w:p>
          <w:p w14:paraId="40E1655C">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公告期限：1个工作日</w:t>
            </w:r>
          </w:p>
        </w:tc>
      </w:tr>
      <w:tr w14:paraId="756A9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642" w:type="dxa"/>
            <w:noWrap w:val="0"/>
            <w:vAlign w:val="center"/>
          </w:tcPr>
          <w:p w14:paraId="3E4EA9CC">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27</w:t>
            </w:r>
          </w:p>
        </w:tc>
        <w:tc>
          <w:tcPr>
            <w:tcW w:w="2043" w:type="dxa"/>
            <w:noWrap w:val="0"/>
            <w:vAlign w:val="center"/>
          </w:tcPr>
          <w:p w14:paraId="670FEDA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rPr>
              <w:t>履约保证金</w:t>
            </w:r>
          </w:p>
        </w:tc>
        <w:tc>
          <w:tcPr>
            <w:tcW w:w="6673" w:type="dxa"/>
            <w:noWrap w:val="0"/>
            <w:vAlign w:val="center"/>
          </w:tcPr>
          <w:p w14:paraId="03C0CDFE">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不收取</w:t>
            </w:r>
          </w:p>
        </w:tc>
      </w:tr>
      <w:tr w14:paraId="3FA28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5" w:hRule="atLeast"/>
          <w:jc w:val="center"/>
        </w:trPr>
        <w:tc>
          <w:tcPr>
            <w:tcW w:w="642" w:type="dxa"/>
            <w:noWrap w:val="0"/>
            <w:vAlign w:val="center"/>
          </w:tcPr>
          <w:p w14:paraId="1065BBC9">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28</w:t>
            </w:r>
          </w:p>
        </w:tc>
        <w:tc>
          <w:tcPr>
            <w:tcW w:w="2043" w:type="dxa"/>
            <w:noWrap w:val="0"/>
            <w:vAlign w:val="center"/>
          </w:tcPr>
          <w:p w14:paraId="1B5CB893">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招标</w:t>
            </w:r>
            <w:r>
              <w:rPr>
                <w:rFonts w:hint="eastAsia" w:ascii="仿宋" w:hAnsi="仿宋" w:eastAsia="仿宋" w:cs="仿宋"/>
                <w:color w:val="auto"/>
                <w:sz w:val="24"/>
                <w:szCs w:val="24"/>
                <w:highlight w:val="none"/>
              </w:rPr>
              <w:t>代理服</w:t>
            </w:r>
          </w:p>
          <w:p w14:paraId="4392A4C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务费</w:t>
            </w:r>
          </w:p>
        </w:tc>
        <w:tc>
          <w:tcPr>
            <w:tcW w:w="6673" w:type="dxa"/>
            <w:noWrap w:val="0"/>
            <w:vAlign w:val="center"/>
          </w:tcPr>
          <w:p w14:paraId="7CBD1D52">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1参照国家计委关于印发《招标代理服务收费管理暂行办法》（计价格[2002]1980号）的通知和国家发展和改革委员会办公厅颁发的《关于招标代理服务收费有关问题的通知》（发改办价格[2003]857号）的有关规定下浮20%执行。</w:t>
            </w:r>
          </w:p>
          <w:p w14:paraId="2A1CB1F8">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2.中标单位在领取中标通知书前，须向采购代理机构一次性支付招标代理服务费。</w:t>
            </w:r>
          </w:p>
          <w:p w14:paraId="06BE3D17">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3.招标代理服务费账户</w:t>
            </w:r>
          </w:p>
          <w:p w14:paraId="5FF53740">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户名：华夏国际项目管理(西安）有限公司</w:t>
            </w:r>
          </w:p>
          <w:p w14:paraId="0299981E">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开户行：工行西安城南科技支行</w:t>
            </w:r>
          </w:p>
          <w:p w14:paraId="74FC590B">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账号：3700024819200130193</w:t>
            </w:r>
          </w:p>
          <w:p w14:paraId="2E1923B8">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请中标供应商按照要求将招标代理服务费转入以上指定账户，如因自身原因发生错误，产生的不利后果均由供应商自行承担。</w:t>
            </w:r>
          </w:p>
          <w:p w14:paraId="7ACADED0">
            <w:pPr>
              <w:pStyle w:val="11"/>
              <w:numPr>
                <w:ilvl w:val="0"/>
                <w:numId w:val="0"/>
              </w:numPr>
              <w:spacing w:line="360" w:lineRule="auto"/>
              <w:ind w:left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4.中标人在领取中标通知书时提供一正两副纸质投标文件和电子版投标文件1份（U盘存储）用于备案。</w:t>
            </w:r>
          </w:p>
          <w:p w14:paraId="1AA0D5B6">
            <w:pPr>
              <w:pStyle w:val="11"/>
              <w:numPr>
                <w:ilvl w:val="0"/>
                <w:numId w:val="0"/>
              </w:numPr>
              <w:spacing w:line="360" w:lineRule="auto"/>
              <w:ind w:leftChars="0"/>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bidi="ar-SA"/>
              </w:rPr>
              <w:t>注：中标后提交的纸质文件（备案用）应当从专用制作软件中直接打印，与电子投标文件保持一致，不允许补充和修改。</w:t>
            </w:r>
          </w:p>
        </w:tc>
      </w:tr>
      <w:tr w14:paraId="25113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18568DD0">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29</w:t>
            </w:r>
          </w:p>
        </w:tc>
        <w:tc>
          <w:tcPr>
            <w:tcW w:w="2043" w:type="dxa"/>
            <w:noWrap w:val="0"/>
            <w:vAlign w:val="center"/>
          </w:tcPr>
          <w:p w14:paraId="257BE746">
            <w:pPr>
              <w:pStyle w:val="108"/>
              <w:spacing w:line="52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zh-CN" w:eastAsia="zh-CN"/>
              </w:rPr>
              <w:t>政府采购信用融资</w:t>
            </w:r>
          </w:p>
        </w:tc>
        <w:tc>
          <w:tcPr>
            <w:tcW w:w="6673" w:type="dxa"/>
            <w:noWrap w:val="0"/>
            <w:vAlign w:val="center"/>
          </w:tcPr>
          <w:p w14:paraId="53570030">
            <w:pPr>
              <w:pStyle w:val="15"/>
              <w:spacing w:after="0"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有融资需求的政府采购中标人，可根据自身经营情况，申请办理政府采购融资贷款服务。</w:t>
            </w:r>
          </w:p>
          <w:p w14:paraId="74BC9CE6">
            <w:pPr>
              <w:pStyle w:val="15"/>
              <w:spacing w:after="0" w:line="360" w:lineRule="auto"/>
              <w:jc w:val="left"/>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eastAsia="zh-CN"/>
              </w:rPr>
              <w:t>（详见招标文件“第二章</w:t>
            </w:r>
            <w:r>
              <w:rPr>
                <w:rFonts w:hint="eastAsia" w:ascii="仿宋" w:hAnsi="仿宋" w:eastAsia="仿宋" w:cs="仿宋"/>
                <w:color w:val="auto"/>
                <w:sz w:val="24"/>
                <w:szCs w:val="24"/>
                <w:highlight w:val="none"/>
                <w:lang w:val="en-US" w:eastAsia="zh-CN"/>
              </w:rPr>
              <w:t xml:space="preserve"> 需要落实的政府采购政策</w:t>
            </w:r>
            <w:r>
              <w:rPr>
                <w:rFonts w:hint="eastAsia" w:ascii="仿宋" w:hAnsi="仿宋" w:eastAsia="仿宋" w:cs="仿宋"/>
                <w:color w:val="auto"/>
                <w:sz w:val="24"/>
                <w:szCs w:val="24"/>
                <w:highlight w:val="none"/>
                <w:lang w:val="zh-CN" w:eastAsia="zh-CN"/>
              </w:rPr>
              <w:t>”）</w:t>
            </w:r>
          </w:p>
        </w:tc>
      </w:tr>
      <w:tr w14:paraId="38D44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5EAA653E">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w:t>
            </w:r>
          </w:p>
        </w:tc>
        <w:tc>
          <w:tcPr>
            <w:tcW w:w="2043" w:type="dxa"/>
            <w:noWrap w:val="0"/>
            <w:vAlign w:val="center"/>
          </w:tcPr>
          <w:p w14:paraId="2C1FBD14">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投标人注册登记提醒</w:t>
            </w:r>
          </w:p>
        </w:tc>
        <w:tc>
          <w:tcPr>
            <w:tcW w:w="6673" w:type="dxa"/>
            <w:noWrap w:val="0"/>
            <w:vAlign w:val="center"/>
          </w:tcPr>
          <w:p w14:paraId="5A18DE62">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根据“陕西省财政厅关于政府采购供应商注册登记有关事项的通知”，投标人须按要求及时陕西省政府采购网办理注册登记，并加入陕西省政府采购供应商库同时接受财政部门监督管理。</w:t>
            </w:r>
          </w:p>
        </w:tc>
      </w:tr>
      <w:tr w14:paraId="0D684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642" w:type="dxa"/>
            <w:noWrap w:val="0"/>
            <w:vAlign w:val="center"/>
          </w:tcPr>
          <w:p w14:paraId="5F1F4B49">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31</w:t>
            </w:r>
          </w:p>
        </w:tc>
        <w:tc>
          <w:tcPr>
            <w:tcW w:w="2043" w:type="dxa"/>
            <w:noWrap w:val="0"/>
            <w:vAlign w:val="center"/>
          </w:tcPr>
          <w:p w14:paraId="79195B7F">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0"/>
                <w:sz w:val="24"/>
                <w:szCs w:val="24"/>
                <w:highlight w:val="none"/>
                <w:lang w:val="zh-CN" w:eastAsia="zh-CN" w:bidi="ar-SA"/>
              </w:rPr>
            </w:pPr>
            <w:r>
              <w:rPr>
                <w:rFonts w:hint="eastAsia" w:ascii="仿宋" w:hAnsi="仿宋" w:eastAsia="仿宋" w:cs="仿宋"/>
                <w:color w:val="auto"/>
                <w:sz w:val="24"/>
                <w:szCs w:val="24"/>
                <w:highlight w:val="none"/>
              </w:rPr>
              <w:t>释义说明</w:t>
            </w:r>
          </w:p>
        </w:tc>
        <w:tc>
          <w:tcPr>
            <w:tcW w:w="6673" w:type="dxa"/>
            <w:noWrap w:val="0"/>
            <w:vAlign w:val="center"/>
          </w:tcPr>
          <w:p w14:paraId="3F8004BD">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b w:val="0"/>
                <w:bCs w:val="0"/>
                <w:color w:val="auto"/>
                <w:kern w:val="0"/>
                <w:sz w:val="24"/>
                <w:szCs w:val="24"/>
                <w:highlight w:val="none"/>
                <w:lang w:val="zh-CN" w:eastAsia="zh-CN" w:bidi="ar-SA"/>
              </w:rPr>
            </w:pPr>
            <w:r>
              <w:rPr>
                <w:rStyle w:val="36"/>
                <w:rFonts w:hint="eastAsia" w:ascii="仿宋" w:hAnsi="仿宋" w:eastAsia="仿宋" w:cs="仿宋"/>
                <w:b w:val="0"/>
                <w:bCs/>
                <w:color w:val="auto"/>
                <w:sz w:val="24"/>
                <w:szCs w:val="24"/>
                <w:highlight w:val="none"/>
              </w:rPr>
              <w:t>本文件中所涉及的“</w:t>
            </w:r>
            <w:r>
              <w:rPr>
                <w:rStyle w:val="36"/>
                <w:rFonts w:hint="eastAsia" w:ascii="仿宋" w:hAnsi="仿宋" w:eastAsia="仿宋" w:cs="仿宋"/>
                <w:b w:val="0"/>
                <w:bCs/>
                <w:color w:val="auto"/>
                <w:sz w:val="24"/>
                <w:szCs w:val="24"/>
                <w:highlight w:val="none"/>
                <w:lang w:eastAsia="zh-CN"/>
              </w:rPr>
              <w:t>采购文件</w:t>
            </w:r>
            <w:r>
              <w:rPr>
                <w:rStyle w:val="36"/>
                <w:rFonts w:hint="eastAsia" w:ascii="仿宋" w:hAnsi="仿宋" w:eastAsia="仿宋" w:cs="仿宋"/>
                <w:b w:val="0"/>
                <w:bCs/>
                <w:color w:val="auto"/>
                <w:sz w:val="24"/>
                <w:szCs w:val="24"/>
                <w:highlight w:val="none"/>
              </w:rPr>
              <w:t>”均按“</w:t>
            </w:r>
            <w:r>
              <w:rPr>
                <w:rStyle w:val="36"/>
                <w:rFonts w:hint="eastAsia" w:ascii="仿宋" w:hAnsi="仿宋" w:eastAsia="仿宋" w:cs="仿宋"/>
                <w:b w:val="0"/>
                <w:bCs/>
                <w:color w:val="auto"/>
                <w:sz w:val="24"/>
                <w:szCs w:val="24"/>
                <w:highlight w:val="none"/>
                <w:lang w:eastAsia="zh-CN"/>
              </w:rPr>
              <w:t>招标文件</w:t>
            </w:r>
            <w:r>
              <w:rPr>
                <w:rStyle w:val="36"/>
                <w:rFonts w:hint="eastAsia" w:ascii="仿宋" w:hAnsi="仿宋" w:eastAsia="仿宋" w:cs="仿宋"/>
                <w:b w:val="0"/>
                <w:bCs/>
                <w:color w:val="auto"/>
                <w:sz w:val="24"/>
                <w:szCs w:val="24"/>
                <w:highlight w:val="none"/>
              </w:rPr>
              <w:t>”理解</w:t>
            </w:r>
            <w:r>
              <w:rPr>
                <w:rStyle w:val="36"/>
                <w:rFonts w:hint="eastAsia" w:ascii="仿宋" w:hAnsi="仿宋" w:eastAsia="仿宋" w:cs="仿宋"/>
                <w:b w:val="0"/>
                <w:bCs/>
                <w:color w:val="auto"/>
                <w:sz w:val="24"/>
                <w:szCs w:val="24"/>
                <w:highlight w:val="none"/>
                <w:lang w:eastAsia="zh-CN"/>
              </w:rPr>
              <w:t>；</w:t>
            </w:r>
            <w:r>
              <w:rPr>
                <w:rStyle w:val="36"/>
                <w:rFonts w:hint="eastAsia" w:ascii="仿宋" w:hAnsi="仿宋" w:eastAsia="仿宋" w:cs="仿宋"/>
                <w:b w:val="0"/>
                <w:bCs/>
                <w:color w:val="auto"/>
                <w:sz w:val="24"/>
                <w:szCs w:val="24"/>
                <w:highlight w:val="none"/>
              </w:rPr>
              <w:t>“</w:t>
            </w:r>
            <w:r>
              <w:rPr>
                <w:rStyle w:val="36"/>
                <w:rFonts w:hint="eastAsia" w:ascii="仿宋" w:hAnsi="仿宋" w:eastAsia="仿宋" w:cs="仿宋"/>
                <w:b w:val="0"/>
                <w:bCs/>
                <w:color w:val="auto"/>
                <w:sz w:val="24"/>
                <w:szCs w:val="24"/>
                <w:highlight w:val="none"/>
                <w:lang w:eastAsia="zh-CN"/>
              </w:rPr>
              <w:t>供应商</w:t>
            </w:r>
            <w:r>
              <w:rPr>
                <w:rStyle w:val="36"/>
                <w:rFonts w:hint="eastAsia" w:ascii="仿宋" w:hAnsi="仿宋" w:eastAsia="仿宋" w:cs="仿宋"/>
                <w:b w:val="0"/>
                <w:bCs/>
                <w:color w:val="auto"/>
                <w:sz w:val="24"/>
                <w:szCs w:val="24"/>
                <w:highlight w:val="none"/>
              </w:rPr>
              <w:t>”</w:t>
            </w:r>
            <w:r>
              <w:rPr>
                <w:rStyle w:val="36"/>
                <w:rFonts w:hint="eastAsia" w:ascii="仿宋" w:hAnsi="仿宋" w:eastAsia="仿宋" w:cs="仿宋"/>
                <w:b w:val="0"/>
                <w:bCs/>
                <w:color w:val="auto"/>
                <w:sz w:val="24"/>
                <w:szCs w:val="24"/>
                <w:highlight w:val="none"/>
                <w:lang w:eastAsia="zh-CN"/>
              </w:rPr>
              <w:t>“投标单位”均</w:t>
            </w:r>
            <w:r>
              <w:rPr>
                <w:rStyle w:val="36"/>
                <w:rFonts w:hint="eastAsia" w:ascii="仿宋" w:hAnsi="仿宋" w:eastAsia="仿宋" w:cs="仿宋"/>
                <w:b w:val="0"/>
                <w:bCs/>
                <w:color w:val="auto"/>
                <w:sz w:val="24"/>
                <w:szCs w:val="24"/>
                <w:highlight w:val="none"/>
              </w:rPr>
              <w:t>按“</w:t>
            </w:r>
            <w:r>
              <w:rPr>
                <w:rStyle w:val="36"/>
                <w:rFonts w:hint="eastAsia" w:ascii="仿宋" w:hAnsi="仿宋" w:eastAsia="仿宋" w:cs="仿宋"/>
                <w:b w:val="0"/>
                <w:bCs/>
                <w:color w:val="auto"/>
                <w:sz w:val="24"/>
                <w:szCs w:val="24"/>
                <w:highlight w:val="none"/>
                <w:lang w:eastAsia="zh-CN"/>
              </w:rPr>
              <w:t>投标人</w:t>
            </w:r>
            <w:r>
              <w:rPr>
                <w:rStyle w:val="36"/>
                <w:rFonts w:hint="eastAsia" w:ascii="仿宋" w:hAnsi="仿宋" w:eastAsia="仿宋" w:cs="仿宋"/>
                <w:b w:val="0"/>
                <w:bCs/>
                <w:color w:val="auto"/>
                <w:sz w:val="24"/>
                <w:szCs w:val="24"/>
                <w:highlight w:val="none"/>
              </w:rPr>
              <w:t>”理解</w:t>
            </w:r>
            <w:r>
              <w:rPr>
                <w:rStyle w:val="36"/>
                <w:rFonts w:hint="eastAsia" w:ascii="仿宋" w:hAnsi="仿宋" w:eastAsia="仿宋" w:cs="仿宋"/>
                <w:b w:val="0"/>
                <w:bCs/>
                <w:color w:val="auto"/>
                <w:sz w:val="24"/>
                <w:szCs w:val="24"/>
                <w:highlight w:val="none"/>
                <w:lang w:eastAsia="zh-CN"/>
              </w:rPr>
              <w:t>。</w:t>
            </w:r>
          </w:p>
        </w:tc>
      </w:tr>
      <w:tr w14:paraId="6DEAD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642" w:type="dxa"/>
            <w:noWrap w:val="0"/>
            <w:vAlign w:val="center"/>
          </w:tcPr>
          <w:p w14:paraId="4C777278">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w:t>
            </w:r>
          </w:p>
        </w:tc>
        <w:tc>
          <w:tcPr>
            <w:tcW w:w="2043" w:type="dxa"/>
            <w:noWrap w:val="0"/>
            <w:vAlign w:val="center"/>
          </w:tcPr>
          <w:p w14:paraId="10DA37F7">
            <w:pPr>
              <w:keepNext w:val="0"/>
              <w:keepLines w:val="0"/>
              <w:pageBreakBefore w:val="0"/>
              <w:widowControl w:val="0"/>
              <w:kinsoku/>
              <w:wordWrap/>
              <w:overflowPunct/>
              <w:topLinePunct w:val="0"/>
              <w:bidi w:val="0"/>
              <w:spacing w:line="360" w:lineRule="auto"/>
              <w:jc w:val="center"/>
              <w:textAlignment w:val="auto"/>
              <w:rPr>
                <w:rStyle w:val="36"/>
                <w:rFonts w:hint="eastAsia" w:ascii="仿宋" w:hAnsi="仿宋" w:eastAsia="仿宋" w:cs="仿宋"/>
                <w:b w:val="0"/>
                <w:bCs/>
                <w:color w:val="auto"/>
                <w:sz w:val="24"/>
                <w:szCs w:val="24"/>
                <w:highlight w:val="none"/>
                <w:lang w:eastAsia="zh-CN"/>
              </w:rPr>
            </w:pPr>
            <w:r>
              <w:rPr>
                <w:rStyle w:val="36"/>
                <w:rFonts w:hint="eastAsia" w:ascii="仿宋" w:hAnsi="仿宋" w:eastAsia="仿宋" w:cs="仿宋"/>
                <w:b w:val="0"/>
                <w:bCs/>
                <w:color w:val="auto"/>
                <w:sz w:val="24"/>
                <w:szCs w:val="24"/>
                <w:highlight w:val="none"/>
                <w:lang w:eastAsia="zh-CN"/>
              </w:rPr>
              <w:t>其他应说明</w:t>
            </w:r>
          </w:p>
          <w:p w14:paraId="02BA3ABC">
            <w:pPr>
              <w:keepNext w:val="0"/>
              <w:keepLines w:val="0"/>
              <w:pageBreakBefore w:val="0"/>
              <w:widowControl w:val="0"/>
              <w:kinsoku/>
              <w:wordWrap/>
              <w:overflowPunct/>
              <w:topLinePunct w:val="0"/>
              <w:bidi w:val="0"/>
              <w:spacing w:line="360" w:lineRule="auto"/>
              <w:jc w:val="center"/>
              <w:textAlignment w:val="auto"/>
              <w:rPr>
                <w:rFonts w:hint="eastAsia" w:ascii="仿宋" w:hAnsi="仿宋" w:eastAsia="仿宋" w:cs="仿宋"/>
                <w:color w:val="auto"/>
                <w:sz w:val="24"/>
                <w:szCs w:val="24"/>
                <w:highlight w:val="none"/>
              </w:rPr>
            </w:pPr>
            <w:r>
              <w:rPr>
                <w:rStyle w:val="36"/>
                <w:rFonts w:hint="eastAsia" w:ascii="仿宋" w:hAnsi="仿宋" w:eastAsia="仿宋" w:cs="仿宋"/>
                <w:b w:val="0"/>
                <w:bCs/>
                <w:color w:val="auto"/>
                <w:sz w:val="24"/>
                <w:szCs w:val="24"/>
                <w:highlight w:val="none"/>
                <w:lang w:eastAsia="zh-CN"/>
              </w:rPr>
              <w:t>的事项</w:t>
            </w:r>
          </w:p>
        </w:tc>
        <w:tc>
          <w:tcPr>
            <w:tcW w:w="6673" w:type="dxa"/>
            <w:noWrap w:val="0"/>
            <w:vAlign w:val="center"/>
          </w:tcPr>
          <w:p w14:paraId="0DE09210">
            <w:pPr>
              <w:keepNext w:val="0"/>
              <w:keepLines w:val="0"/>
              <w:pageBreakBefore w:val="0"/>
              <w:widowControl w:val="0"/>
              <w:kinsoku/>
              <w:wordWrap/>
              <w:overflowPunct/>
              <w:topLinePunct w:val="0"/>
              <w:bidi w:val="0"/>
              <w:spacing w:line="360" w:lineRule="auto"/>
              <w:textAlignment w:val="auto"/>
              <w:rPr>
                <w:rStyle w:val="36"/>
                <w:rFonts w:hint="eastAsia" w:ascii="仿宋" w:hAnsi="仿宋" w:eastAsia="仿宋" w:cs="仿宋"/>
                <w:b w:val="0"/>
                <w:bCs/>
                <w:color w:val="auto"/>
                <w:sz w:val="24"/>
                <w:szCs w:val="24"/>
                <w:highlight w:val="none"/>
                <w:lang w:val="zh-CN" w:eastAsia="zh-CN"/>
              </w:rPr>
            </w:pPr>
            <w:r>
              <w:rPr>
                <w:rFonts w:hint="eastAsia" w:ascii="仿宋" w:hAnsi="仿宋" w:eastAsia="仿宋" w:cs="仿宋"/>
                <w:color w:val="auto"/>
                <w:sz w:val="24"/>
                <w:szCs w:val="24"/>
                <w:highlight w:val="none"/>
                <w:lang w:val="en-US" w:eastAsia="zh-CN"/>
              </w:rPr>
              <w:t>1</w:t>
            </w:r>
            <w:r>
              <w:rPr>
                <w:rStyle w:val="36"/>
                <w:rFonts w:hint="eastAsia" w:ascii="仿宋" w:hAnsi="仿宋" w:eastAsia="仿宋" w:cs="仿宋"/>
                <w:b w:val="0"/>
                <w:bCs/>
                <w:color w:val="auto"/>
                <w:sz w:val="24"/>
                <w:szCs w:val="24"/>
                <w:highlight w:val="none"/>
                <w:lang w:val="en-US" w:eastAsia="zh-CN"/>
              </w:rPr>
              <w:t>.</w:t>
            </w:r>
            <w:r>
              <w:rPr>
                <w:rStyle w:val="36"/>
                <w:rFonts w:hint="eastAsia" w:ascii="仿宋" w:hAnsi="仿宋" w:eastAsia="仿宋" w:cs="仿宋"/>
                <w:b w:val="0"/>
                <w:bCs/>
                <w:color w:val="auto"/>
                <w:sz w:val="24"/>
                <w:szCs w:val="24"/>
                <w:highlight w:val="none"/>
                <w:lang w:val="zh-CN" w:eastAsia="zh-CN"/>
              </w:rPr>
              <w:t>正文与投标人须知前附表表述不一致时，以投标人须知前附表为准。</w:t>
            </w:r>
          </w:p>
          <w:p w14:paraId="07C1C33D">
            <w:pPr>
              <w:keepNext w:val="0"/>
              <w:keepLines w:val="0"/>
              <w:pageBreakBefore w:val="0"/>
              <w:widowControl w:val="0"/>
              <w:kinsoku/>
              <w:wordWrap/>
              <w:overflowPunct/>
              <w:topLinePunct w:val="0"/>
              <w:bidi w:val="0"/>
              <w:spacing w:line="360" w:lineRule="auto"/>
              <w:textAlignment w:val="auto"/>
              <w:rPr>
                <w:rStyle w:val="36"/>
                <w:rFonts w:hint="eastAsia" w:ascii="仿宋" w:hAnsi="仿宋" w:eastAsia="仿宋" w:cs="仿宋"/>
                <w:b w:val="0"/>
                <w:bCs/>
                <w:color w:val="auto"/>
                <w:sz w:val="24"/>
                <w:szCs w:val="24"/>
                <w:highlight w:val="none"/>
                <w:lang w:val="en-US" w:eastAsia="zh-CN"/>
              </w:rPr>
            </w:pPr>
            <w:r>
              <w:rPr>
                <w:rStyle w:val="36"/>
                <w:rFonts w:hint="eastAsia" w:ascii="仿宋" w:hAnsi="仿宋" w:eastAsia="仿宋" w:cs="仿宋"/>
                <w:b w:val="0"/>
                <w:bCs/>
                <w:color w:val="auto"/>
                <w:sz w:val="24"/>
                <w:szCs w:val="24"/>
                <w:highlight w:val="none"/>
                <w:lang w:val="en-US" w:eastAsia="zh-CN"/>
              </w:rPr>
              <w:t>2.</w:t>
            </w:r>
            <w:r>
              <w:rPr>
                <w:rStyle w:val="36"/>
                <w:rFonts w:hint="eastAsia" w:ascii="仿宋" w:hAnsi="仿宋" w:eastAsia="仿宋" w:cs="仿宋"/>
                <w:b w:val="0"/>
                <w:bCs/>
                <w:color w:val="auto"/>
                <w:sz w:val="24"/>
                <w:szCs w:val="24"/>
                <w:highlight w:val="none"/>
                <w:lang w:eastAsia="zh-CN"/>
              </w:rPr>
              <w:t>按照西安市财政局《关于促进政府采购公平竞争优化营商环境的通知》（市财函〔2021) 431号）规定：供应商登记免费获取招标文件的，如不参与项目投标，应告知釆购代理机构。否则，采购代理机构可以向财政部门反映情况并提供相应的佐证。投标人一年内累计出现三次该情形，将被监管部门记录为失信行为。</w:t>
            </w:r>
          </w:p>
          <w:p w14:paraId="28CF2336">
            <w:pPr>
              <w:keepNext w:val="0"/>
              <w:keepLines w:val="0"/>
              <w:pageBreakBefore w:val="0"/>
              <w:widowControl w:val="0"/>
              <w:kinsoku/>
              <w:wordWrap/>
              <w:overflowPunct/>
              <w:topLinePunct w:val="0"/>
              <w:bidi w:val="0"/>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3.本项目第1、3、4包中标单位，若在本包排名第一由排序第二名递补。</w:t>
            </w:r>
          </w:p>
        </w:tc>
      </w:tr>
      <w:tr w14:paraId="70485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358" w:type="dxa"/>
            <w:gridSpan w:val="3"/>
            <w:noWrap w:val="0"/>
            <w:vAlign w:val="center"/>
          </w:tcPr>
          <w:p w14:paraId="15C06776">
            <w:pPr>
              <w:keepNext w:val="0"/>
              <w:keepLines w:val="0"/>
              <w:pageBreakBefore w:val="0"/>
              <w:widowControl w:val="0"/>
              <w:kinsoku/>
              <w:wordWrap/>
              <w:overflowPunct/>
              <w:topLinePunct w:val="0"/>
              <w:bidi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i w:val="0"/>
                <w:iCs w:val="0"/>
                <w:color w:val="auto"/>
                <w:sz w:val="24"/>
                <w:szCs w:val="24"/>
                <w:highlight w:val="none"/>
              </w:rPr>
              <w:t>电子投标注意事项</w:t>
            </w:r>
          </w:p>
        </w:tc>
      </w:tr>
      <w:tr w14:paraId="34AA0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642" w:type="dxa"/>
            <w:noWrap w:val="0"/>
            <w:vAlign w:val="center"/>
          </w:tcPr>
          <w:p w14:paraId="3CBCF17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bookmarkStart w:id="22" w:name="_Toc200"/>
            <w:r>
              <w:rPr>
                <w:rFonts w:hint="eastAsia" w:ascii="仿宋" w:hAnsi="仿宋" w:eastAsia="仿宋" w:cs="仿宋"/>
                <w:color w:val="auto"/>
                <w:sz w:val="24"/>
                <w:szCs w:val="24"/>
                <w:highlight w:val="none"/>
                <w:lang w:val="en-US" w:eastAsia="zh-CN"/>
              </w:rPr>
              <w:t>1</w:t>
            </w:r>
          </w:p>
        </w:tc>
        <w:tc>
          <w:tcPr>
            <w:tcW w:w="2043" w:type="dxa"/>
            <w:noWrap w:val="0"/>
            <w:vAlign w:val="center"/>
          </w:tcPr>
          <w:p w14:paraId="5BF5B646">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投标文件的制作和签章</w:t>
            </w:r>
          </w:p>
        </w:tc>
        <w:tc>
          <w:tcPr>
            <w:tcW w:w="6673" w:type="dxa"/>
            <w:noWrap w:val="0"/>
            <w:vAlign w:val="center"/>
          </w:tcPr>
          <w:p w14:paraId="28ACC814">
            <w:pPr>
              <w:tabs>
                <w:tab w:val="left" w:pos="7665"/>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电子投标文件（*.SXSTF）需要使用专用制作软件——“新点投标文件制作软件（陕西公共资源）”进行编制。软件下载地址及操作手册：见西安市公共资源交易平台〖首页〉服务指南〉下载专区〗中的《政府采购项目投标文件制作软件及操作手册》。</w:t>
            </w:r>
          </w:p>
          <w:p w14:paraId="16702D0D">
            <w:pPr>
              <w:tabs>
                <w:tab w:val="left" w:pos="7665"/>
              </w:tabs>
              <w:wordWrap w:val="0"/>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链接地址：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"http://sxggzyjy.xa.gov.cn/fwzn/004003/20181115/4d59c184-e8f6-4d5a-a416-c2f6b0601e66.html"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http://sxggzyjy.xa.gov.cn/fwzn/004003/20181115/4d59c184-e8f6-4d5a-a416-c2f6b0601e66.html</w:t>
            </w:r>
            <w:r>
              <w:rPr>
                <w:rFonts w:hint="eastAsia" w:ascii="仿宋" w:hAnsi="仿宋" w:eastAsia="仿宋" w:cs="仿宋"/>
                <w:color w:val="auto"/>
                <w:sz w:val="24"/>
                <w:szCs w:val="24"/>
                <w:highlight w:val="none"/>
              </w:rPr>
              <w:fldChar w:fldCharType="end"/>
            </w:r>
          </w:p>
          <w:p w14:paraId="492B993E">
            <w:pPr>
              <w:tabs>
                <w:tab w:val="left" w:pos="7665"/>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编制电子投标文件前，务必先做好电子招标文件的备份工作。然后按操作手册中给出的方法将电子招标文件（*.SXSZF）或答疑文件（*.SXSCF，即更新后的电子招标文件）导入制作软件，最后按照章节分别编制投标文件各个部分。</w:t>
            </w:r>
          </w:p>
          <w:p w14:paraId="679CC32C">
            <w:pPr>
              <w:tabs>
                <w:tab w:val="left" w:pos="7665"/>
              </w:tabs>
              <w:spacing w:line="360" w:lineRule="auto"/>
              <w:ind w:left="0" w:leftChars="0" w:firstLine="482" w:firstLineChars="20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再次提醒：</w:t>
            </w:r>
            <w:r>
              <w:rPr>
                <w:rFonts w:hint="eastAsia" w:ascii="仿宋" w:hAnsi="仿宋" w:eastAsia="仿宋" w:cs="仿宋"/>
                <w:color w:val="auto"/>
                <w:sz w:val="24"/>
                <w:szCs w:val="24"/>
                <w:highlight w:val="none"/>
              </w:rPr>
              <w:t>提交投标文件截止时间前，</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应随时留意“政府采购信息发布媒体”上可能发布的变更公告。若变更公告中明确注明本项目伴有变更文件的，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应登录企业端后，从〖项目流程·〉项目管理·〉答疑文件下载〗获取更新后的电子招标文件（*.SXSCF），使用旧版电子招标文件制作的电子投标文件（*.SXSTF），系统将拒绝接收。</w:t>
            </w:r>
          </w:p>
          <w:p w14:paraId="1FFD853A">
            <w:pPr>
              <w:tabs>
                <w:tab w:val="left" w:pos="7665"/>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电子投标文件制作过程中，需要法定代表人签字或盖章的地方，请使用“法人CA锁”进行签章；需要加盖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公章的地方，请使用“企业CA锁”进行签章。</w:t>
            </w:r>
          </w:p>
          <w:p w14:paraId="4A550360">
            <w:pPr>
              <w:tabs>
                <w:tab w:val="left" w:pos="7665"/>
              </w:tabs>
              <w:spacing w:line="360" w:lineRule="auto"/>
              <w:ind w:left="0" w:leftChars="0" w:firstLine="0" w:firstLineChars="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若导出的PDF文件里看不到签章，请尝试使用专用制作软件中的“查看投标文件工具”打开未加密的电子投标文件重新导出。在制作过程中，如有其他技术性问题，请先翻阅操作手册，或致电软件开发商</w:t>
            </w:r>
            <w:r>
              <w:rPr>
                <w:rFonts w:hint="eastAsia" w:ascii="仿宋" w:hAnsi="仿宋" w:eastAsia="仿宋" w:cs="仿宋"/>
                <w:color w:val="auto"/>
                <w:sz w:val="24"/>
                <w:szCs w:val="24"/>
                <w:highlight w:val="none"/>
                <w:lang w:eastAsia="zh-CN"/>
              </w:rPr>
              <w:t>。</w:t>
            </w:r>
          </w:p>
        </w:tc>
      </w:tr>
      <w:tr w14:paraId="16056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6" w:hRule="atLeast"/>
          <w:jc w:val="center"/>
        </w:trPr>
        <w:tc>
          <w:tcPr>
            <w:tcW w:w="642" w:type="dxa"/>
            <w:noWrap w:val="0"/>
            <w:vAlign w:val="center"/>
          </w:tcPr>
          <w:p w14:paraId="468EF85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2043" w:type="dxa"/>
            <w:noWrap w:val="0"/>
            <w:vAlign w:val="center"/>
          </w:tcPr>
          <w:p w14:paraId="6E193AA4">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kern w:val="2"/>
                <w:sz w:val="24"/>
                <w:szCs w:val="24"/>
                <w:highlight w:val="none"/>
                <w:lang w:val="en-US" w:eastAsia="zh-CN" w:bidi="ar-SA"/>
              </w:rPr>
              <w:t>不见面开标程序</w:t>
            </w:r>
          </w:p>
        </w:tc>
        <w:tc>
          <w:tcPr>
            <w:tcW w:w="6673" w:type="dxa"/>
            <w:noWrap w:val="0"/>
            <w:vAlign w:val="center"/>
          </w:tcPr>
          <w:p w14:paraId="5CDB3233">
            <w:pPr>
              <w:tabs>
                <w:tab w:val="left" w:pos="7665"/>
              </w:tabs>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1.本项目为线上不见面开标，开标当日，投标人不必抵达开标现场，</w:t>
            </w:r>
            <w:r>
              <w:rPr>
                <w:rFonts w:hint="eastAsia" w:ascii="仿宋" w:hAnsi="仿宋" w:eastAsia="仿宋" w:cs="仿宋"/>
                <w:color w:val="auto"/>
                <w:sz w:val="24"/>
                <w:szCs w:val="24"/>
                <w:highlight w:val="none"/>
              </w:rPr>
              <w:t>请各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至少提前半小时登录西安市公共资源交易平台〖首页·〉不见面开标〗系统</w:t>
            </w:r>
            <w:r>
              <w:rPr>
                <w:rFonts w:hint="eastAsia" w:ascii="仿宋" w:hAnsi="仿宋" w:eastAsia="仿宋" w:cs="仿宋"/>
                <w:color w:val="auto"/>
                <w:kern w:val="2"/>
                <w:sz w:val="24"/>
                <w:szCs w:val="24"/>
                <w:highlight w:val="none"/>
                <w:lang w:val="en-US" w:eastAsia="zh-CN" w:bidi="ar-SA"/>
              </w:rPr>
              <w:t>开标会议，按要求及时签到，并保持在线直到评审结束，并根据需要使用不见面开标系统与现场采购人进行互动交流、澄清、质疑等活动。各投标人需实时在线观看音视频直播并及时互动，未按时加入系统或未在线参与互动的，视为放弃标书解密和对开评标全过程质疑、澄清、答辩的权利，并承担由此产生的响应后果。</w:t>
            </w:r>
          </w:p>
          <w:p w14:paraId="048C7E35">
            <w:pPr>
              <w:tabs>
                <w:tab w:val="left" w:pos="7665"/>
              </w:tabs>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2.“不见面开标”系统操作说明：详见西安市公共资源交易平台〖首页·〉服务指南·〉下载专区〗中的《西安公共资源交易不见面开标大厅供应商操作手册》。</w:t>
            </w:r>
          </w:p>
        </w:tc>
      </w:tr>
      <w:tr w14:paraId="55716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42" w:type="dxa"/>
            <w:noWrap w:val="0"/>
            <w:vAlign w:val="center"/>
          </w:tcPr>
          <w:p w14:paraId="349CEC4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2043" w:type="dxa"/>
            <w:noWrap w:val="0"/>
            <w:vAlign w:val="center"/>
          </w:tcPr>
          <w:p w14:paraId="698A0395">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注意事项</w:t>
            </w:r>
          </w:p>
        </w:tc>
        <w:tc>
          <w:tcPr>
            <w:tcW w:w="6673" w:type="dxa"/>
            <w:noWrap w:val="0"/>
            <w:vAlign w:val="center"/>
          </w:tcPr>
          <w:p w14:paraId="5BDBA6BC">
            <w:pPr>
              <w:pStyle w:val="21"/>
              <w:keepLines w:val="0"/>
              <w:pageBreakBefore w:val="0"/>
              <w:widowControl w:val="0"/>
              <w:kinsoku/>
              <w:overflowPunct/>
              <w:topLinePunct w:val="0"/>
              <w:bidi w:val="0"/>
              <w:adjustRightInd w:val="0"/>
              <w:snapToGrid w:val="0"/>
              <w:spacing w:line="360" w:lineRule="auto"/>
              <w:ind w:righ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1.投标人参与不见面开标的电脑应安装有清晰可用的摄像头、音响和麦克风设备；</w:t>
            </w:r>
          </w:p>
          <w:p w14:paraId="1F4C07FB">
            <w:pPr>
              <w:pStyle w:val="21"/>
              <w:keepLines w:val="0"/>
              <w:pageBreakBefore w:val="0"/>
              <w:widowControl w:val="0"/>
              <w:kinsoku/>
              <w:overflowPunct/>
              <w:topLinePunct w:val="0"/>
              <w:bidi w:val="0"/>
              <w:adjustRightInd w:val="0"/>
              <w:snapToGrid w:val="0"/>
              <w:spacing w:line="360" w:lineRule="auto"/>
              <w:ind w:righ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2.投标人参与不见面开标的电脑须安装正确驱动，可在不见面开标系统登录界面的驱动下载页面进行下载及后续安装。</w:t>
            </w:r>
          </w:p>
          <w:p w14:paraId="3EA9F14C">
            <w:pPr>
              <w:pStyle w:val="21"/>
              <w:keepLines w:val="0"/>
              <w:pageBreakBefore w:val="0"/>
              <w:widowControl w:val="0"/>
              <w:kinsoku/>
              <w:overflowPunct/>
              <w:topLinePunct w:val="0"/>
              <w:bidi w:val="0"/>
              <w:adjustRightInd w:val="0"/>
              <w:snapToGrid w:val="0"/>
              <w:spacing w:line="360" w:lineRule="auto"/>
              <w:ind w:righ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3.为更好实时查看不见面开标室现场，推荐使用50M及以上网络宽带。</w:t>
            </w:r>
          </w:p>
          <w:p w14:paraId="3961AC54">
            <w:pPr>
              <w:pStyle w:val="21"/>
              <w:keepLines w:val="0"/>
              <w:pageBreakBefore w:val="0"/>
              <w:widowControl w:val="0"/>
              <w:kinsoku/>
              <w:overflowPunct/>
              <w:topLinePunct w:val="0"/>
              <w:bidi w:val="0"/>
              <w:adjustRightInd w:val="0"/>
              <w:snapToGrid w:val="0"/>
              <w:spacing w:line="360" w:lineRule="auto"/>
              <w:ind w:righ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4.开标、评标过程中，参与远程互动的各投标人应为同一个人，投标人一端参与互动的人员只能是投标人的法定代表人或授权代表。</w:t>
            </w:r>
          </w:p>
        </w:tc>
      </w:tr>
      <w:tr w14:paraId="4CED2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42" w:type="dxa"/>
            <w:noWrap w:val="0"/>
            <w:vAlign w:val="center"/>
          </w:tcPr>
          <w:p w14:paraId="5D76EE45">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2043" w:type="dxa"/>
            <w:noWrap w:val="0"/>
            <w:vAlign w:val="center"/>
          </w:tcPr>
          <w:p w14:paraId="33FC9F0B">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西安市公共资源交易中心电子化政府采购系统技术支持（软件开发商）</w:t>
            </w:r>
          </w:p>
        </w:tc>
        <w:tc>
          <w:tcPr>
            <w:tcW w:w="6673" w:type="dxa"/>
            <w:noWrap w:val="0"/>
            <w:vAlign w:val="center"/>
          </w:tcPr>
          <w:p w14:paraId="2512CAC2">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国泰新点软件股份有限公司</w:t>
            </w:r>
          </w:p>
          <w:p w14:paraId="56FC87C4">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1．技术支持热线：400-998-0000/400-928-0095</w:t>
            </w:r>
          </w:p>
          <w:p w14:paraId="2989C114">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2．驻场技术人员：029-86510166/86510167转80310</w:t>
            </w:r>
          </w:p>
        </w:tc>
      </w:tr>
      <w:tr w14:paraId="63DC7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42" w:type="dxa"/>
            <w:noWrap w:val="0"/>
            <w:vAlign w:val="center"/>
          </w:tcPr>
          <w:p w14:paraId="3F5BFA9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2043" w:type="dxa"/>
            <w:noWrap w:val="0"/>
            <w:vAlign w:val="center"/>
          </w:tcPr>
          <w:p w14:paraId="137621FD">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CA业务网点</w:t>
            </w:r>
          </w:p>
        </w:tc>
        <w:tc>
          <w:tcPr>
            <w:tcW w:w="6673" w:type="dxa"/>
            <w:noWrap w:val="0"/>
            <w:vAlign w:val="center"/>
          </w:tcPr>
          <w:p w14:paraId="136F8648">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陕西省数字证书认证中心股份有限公司</w:t>
            </w:r>
          </w:p>
          <w:p w14:paraId="3DAC1324">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网点1：西安市高新三路信息港大厦1楼客服中心</w:t>
            </w:r>
          </w:p>
          <w:p w14:paraId="48F9FCAB">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客服电话：4006-369-888</w:t>
            </w:r>
          </w:p>
          <w:p w14:paraId="1AAFDE2C">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网点2：西安市长安北路14号省体育公寓B座一楼</w:t>
            </w:r>
          </w:p>
          <w:p w14:paraId="305674D3">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咨询电话：029-88661241</w:t>
            </w:r>
          </w:p>
          <w:p w14:paraId="2516D25A">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网点3：西安市文景北路16号白桦林国际B座2楼11#窗</w:t>
            </w:r>
          </w:p>
          <w:p w14:paraId="446B8D01">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咨询电话：029-86510073转80211</w:t>
            </w:r>
          </w:p>
        </w:tc>
      </w:tr>
    </w:tbl>
    <w:p w14:paraId="61CB025F">
      <w:pPr>
        <w:pStyle w:val="3"/>
        <w:keepNext/>
        <w:keepLines/>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Cs w:val="0"/>
          <w:color w:val="auto"/>
          <w:sz w:val="28"/>
          <w:szCs w:val="28"/>
          <w:highlight w:val="none"/>
        </w:rPr>
        <w:sectPr>
          <w:footerReference r:id="rId7" w:type="default"/>
          <w:footerReference r:id="rId8" w:type="even"/>
          <w:pgSz w:w="11906" w:h="16838"/>
          <w:pgMar w:top="1417" w:right="992" w:bottom="1417" w:left="1417" w:header="851" w:footer="992" w:gutter="0"/>
          <w:pgBorders>
            <w:top w:val="none" w:sz="0" w:space="0"/>
            <w:left w:val="none" w:sz="0" w:space="0"/>
            <w:bottom w:val="none" w:sz="0" w:space="0"/>
            <w:right w:val="none" w:sz="0" w:space="0"/>
          </w:pgBorders>
          <w:pgNumType w:fmt="decimal" w:start="1"/>
          <w:cols w:space="720" w:num="1"/>
          <w:rtlGutter w:val="0"/>
          <w:docGrid w:type="lines" w:linePitch="312" w:charSpace="0"/>
        </w:sectPr>
      </w:pPr>
    </w:p>
    <w:p w14:paraId="6A0532E4">
      <w:pPr>
        <w:pStyle w:val="3"/>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Cs w:val="0"/>
          <w:color w:val="auto"/>
          <w:sz w:val="28"/>
          <w:szCs w:val="28"/>
          <w:highlight w:val="none"/>
        </w:rPr>
      </w:pPr>
      <w:bookmarkStart w:id="23" w:name="_Toc23430"/>
      <w:bookmarkStart w:id="24" w:name="_Toc28826"/>
      <w:bookmarkStart w:id="25" w:name="_Toc7331"/>
      <w:bookmarkStart w:id="26" w:name="_Toc31783"/>
      <w:r>
        <w:rPr>
          <w:rFonts w:hint="eastAsia" w:ascii="仿宋" w:hAnsi="仿宋" w:eastAsia="仿宋" w:cs="仿宋"/>
          <w:b/>
          <w:bCs/>
          <w:color w:val="auto"/>
          <w:sz w:val="32"/>
          <w:szCs w:val="32"/>
          <w:highlight w:val="none"/>
        </w:rPr>
        <w:t>二、总  则</w:t>
      </w:r>
      <w:bookmarkEnd w:id="22"/>
      <w:bookmarkEnd w:id="23"/>
      <w:bookmarkEnd w:id="24"/>
      <w:bookmarkEnd w:id="25"/>
      <w:bookmarkEnd w:id="26"/>
    </w:p>
    <w:p w14:paraId="50AA74A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rPr>
      </w:pPr>
      <w:bookmarkStart w:id="27" w:name="_Toc217446034"/>
      <w:bookmarkStart w:id="28" w:name="_Toc183682342"/>
      <w:bookmarkStart w:id="29" w:name="_Toc183582205"/>
      <w:r>
        <w:rPr>
          <w:rFonts w:hint="eastAsia" w:ascii="仿宋" w:hAnsi="仿宋" w:eastAsia="仿宋" w:cs="仿宋"/>
          <w:b/>
          <w:bCs/>
          <w:color w:val="auto"/>
          <w:sz w:val="24"/>
          <w:szCs w:val="24"/>
          <w:highlight w:val="none"/>
          <w:lang w:eastAsia="zh-CN"/>
        </w:rPr>
        <w:t>（一）</w:t>
      </w:r>
      <w:bookmarkEnd w:id="27"/>
      <w:bookmarkEnd w:id="28"/>
      <w:bookmarkEnd w:id="29"/>
      <w:r>
        <w:rPr>
          <w:rFonts w:hint="eastAsia" w:ascii="仿宋" w:hAnsi="仿宋" w:eastAsia="仿宋" w:cs="仿宋"/>
          <w:b/>
          <w:bCs/>
          <w:color w:val="auto"/>
          <w:sz w:val="24"/>
          <w:szCs w:val="24"/>
          <w:highlight w:val="none"/>
          <w:lang w:eastAsia="zh-CN"/>
        </w:rPr>
        <w:t>适用范围</w:t>
      </w:r>
    </w:p>
    <w:p w14:paraId="0E7833DC">
      <w:pPr>
        <w:keepNext w:val="0"/>
        <w:keepLines w:val="0"/>
        <w:pageBreakBefore w:val="0"/>
        <w:widowControl/>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color w:val="auto"/>
          <w:sz w:val="24"/>
          <w:szCs w:val="24"/>
          <w:highlight w:val="none"/>
        </w:rPr>
      </w:pPr>
      <w:bookmarkStart w:id="30" w:name="_Toc183682343"/>
      <w:bookmarkStart w:id="31" w:name="_Toc217446035"/>
      <w:bookmarkStart w:id="32" w:name="_Toc183582206"/>
      <w:r>
        <w:rPr>
          <w:rFonts w:hint="eastAsia" w:ascii="仿宋" w:hAnsi="仿宋" w:eastAsia="仿宋" w:cs="仿宋"/>
          <w:color w:val="auto"/>
          <w:sz w:val="24"/>
          <w:szCs w:val="24"/>
          <w:highlight w:val="none"/>
        </w:rPr>
        <w:t>本</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文件仅适用于本次</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项目。</w:t>
      </w:r>
    </w:p>
    <w:bookmarkEnd w:id="30"/>
    <w:bookmarkEnd w:id="31"/>
    <w:bookmarkEnd w:id="32"/>
    <w:p w14:paraId="4CB4A133">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（二）</w:t>
      </w:r>
      <w:r>
        <w:rPr>
          <w:rFonts w:hint="eastAsia" w:ascii="仿宋" w:hAnsi="仿宋" w:eastAsia="仿宋" w:cs="仿宋"/>
          <w:b/>
          <w:bCs/>
          <w:color w:val="auto"/>
          <w:sz w:val="24"/>
          <w:szCs w:val="24"/>
          <w:highlight w:val="none"/>
        </w:rPr>
        <w:t>名词解释</w:t>
      </w:r>
    </w:p>
    <w:p w14:paraId="455D57DD">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采购人：</w:t>
      </w:r>
      <w:r>
        <w:rPr>
          <w:rFonts w:hint="eastAsia" w:ascii="仿宋" w:hAnsi="仿宋" w:eastAsia="仿宋" w:cs="仿宋"/>
          <w:color w:val="auto"/>
          <w:sz w:val="24"/>
          <w:szCs w:val="24"/>
          <w:highlight w:val="none"/>
          <w:lang w:val="en-US" w:eastAsia="zh-CN"/>
        </w:rPr>
        <w:t>西安市鄠邑区中医医院</w:t>
      </w:r>
    </w:p>
    <w:p w14:paraId="7250228F">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2.监督机构：</w:t>
      </w:r>
      <w:r>
        <w:rPr>
          <w:rFonts w:hint="eastAsia" w:ascii="仿宋" w:hAnsi="仿宋" w:eastAsia="仿宋" w:cs="仿宋"/>
          <w:b w:val="0"/>
          <w:bCs w:val="0"/>
          <w:color w:val="auto"/>
          <w:sz w:val="24"/>
          <w:szCs w:val="24"/>
          <w:highlight w:val="none"/>
          <w:lang w:eastAsia="zh-CN"/>
        </w:rPr>
        <w:t>采购人同级财政部门</w:t>
      </w:r>
    </w:p>
    <w:p w14:paraId="28E77A92">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采购代理机构：</w:t>
      </w:r>
      <w:r>
        <w:rPr>
          <w:rFonts w:hint="eastAsia" w:ascii="仿宋" w:hAnsi="仿宋" w:eastAsia="仿宋" w:cs="仿宋"/>
          <w:color w:val="auto"/>
          <w:sz w:val="24"/>
          <w:szCs w:val="24"/>
          <w:highlight w:val="none"/>
          <w:lang w:eastAsia="zh-CN"/>
        </w:rPr>
        <w:t>华夏国际项目管理（西安）有限公司</w:t>
      </w:r>
    </w:p>
    <w:p w14:paraId="36F3C7F8">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4.投标人：是指响应招标、参加投标竞争的法人、其他组织或者自然人。</w:t>
      </w:r>
    </w:p>
    <w:p w14:paraId="252CC8A1">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5.投标人代表：是指参加政府采购项目中代表投标人的法定代表人或者是其授权代表，投标人代表是唯一的。</w:t>
      </w:r>
    </w:p>
    <w:p w14:paraId="1C150B90">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评标委员会：依据《政府采购货物和服务招标投标管理办法》有关规定组建，依法履行评审采购活动职责的评审成员。</w:t>
      </w:r>
    </w:p>
    <w:p w14:paraId="0D445A08">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7.西安市公共资源交易平台：即【全国公共资源交易平台（陕西省·西安市）】的简称，官网地址</w:t>
      </w:r>
      <w:r>
        <w:rPr>
          <w:rFonts w:hint="eastAsia" w:ascii="仿宋" w:hAnsi="仿宋" w:eastAsia="仿宋" w:cs="仿宋"/>
          <w:b w:val="0"/>
          <w:color w:val="auto"/>
          <w:sz w:val="24"/>
          <w:szCs w:val="24"/>
          <w:highlight w:val="none"/>
          <w:lang w:val="en-US" w:eastAsia="zh-CN"/>
        </w:rPr>
        <w:fldChar w:fldCharType="begin"/>
      </w:r>
      <w:r>
        <w:rPr>
          <w:rFonts w:hint="eastAsia" w:ascii="仿宋" w:hAnsi="仿宋" w:eastAsia="仿宋" w:cs="仿宋"/>
          <w:b w:val="0"/>
          <w:color w:val="auto"/>
          <w:sz w:val="24"/>
          <w:szCs w:val="24"/>
          <w:highlight w:val="none"/>
          <w:lang w:val="en-US" w:eastAsia="zh-CN"/>
        </w:rPr>
        <w:instrText xml:space="preserve"> HYPERLINK "http://sxggzyjy.xa.gov.cn/" </w:instrText>
      </w:r>
      <w:r>
        <w:rPr>
          <w:rFonts w:hint="eastAsia" w:ascii="仿宋" w:hAnsi="仿宋" w:eastAsia="仿宋" w:cs="仿宋"/>
          <w:b w:val="0"/>
          <w:color w:val="auto"/>
          <w:sz w:val="24"/>
          <w:szCs w:val="24"/>
          <w:highlight w:val="none"/>
          <w:lang w:val="en-US" w:eastAsia="zh-CN"/>
        </w:rPr>
        <w:fldChar w:fldCharType="separate"/>
      </w:r>
      <w:r>
        <w:rPr>
          <w:rFonts w:hint="eastAsia" w:ascii="仿宋" w:hAnsi="仿宋" w:eastAsia="仿宋" w:cs="仿宋"/>
          <w:b w:val="0"/>
          <w:color w:val="auto"/>
          <w:sz w:val="24"/>
          <w:szCs w:val="24"/>
          <w:highlight w:val="none"/>
          <w:lang w:val="en-US" w:eastAsia="zh-CN"/>
        </w:rPr>
        <w:t>http://sxggzyjy.xa.gov.cn/</w:t>
      </w:r>
      <w:r>
        <w:rPr>
          <w:rFonts w:hint="eastAsia" w:ascii="仿宋" w:hAnsi="仿宋" w:eastAsia="仿宋" w:cs="仿宋"/>
          <w:b w:val="0"/>
          <w:color w:val="auto"/>
          <w:sz w:val="24"/>
          <w:szCs w:val="24"/>
          <w:highlight w:val="none"/>
          <w:lang w:val="en-US" w:eastAsia="zh-CN"/>
        </w:rPr>
        <w:fldChar w:fldCharType="end"/>
      </w:r>
      <w:r>
        <w:rPr>
          <w:rFonts w:hint="eastAsia" w:ascii="仿宋" w:hAnsi="仿宋" w:eastAsia="仿宋" w:cs="仿宋"/>
          <w:b w:val="0"/>
          <w:color w:val="auto"/>
          <w:sz w:val="24"/>
          <w:szCs w:val="24"/>
          <w:highlight w:val="none"/>
          <w:lang w:val="en-US" w:eastAsia="zh-CN"/>
        </w:rPr>
        <w:t>。</w:t>
      </w:r>
    </w:p>
    <w:p w14:paraId="05906623">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 w:val="0"/>
          <w:color w:val="auto"/>
          <w:sz w:val="24"/>
          <w:szCs w:val="24"/>
          <w:highlight w:val="none"/>
          <w:lang w:val="en-US" w:eastAsia="zh-CN"/>
        </w:rPr>
        <w:t>8.企业端：指西安市公共资源交易平台〖首页·〉电子交易平台·〉陕西政府采购交易系统·〉企业端〗，快捷登录网址</w:t>
      </w:r>
      <w:r>
        <w:rPr>
          <w:rFonts w:hint="eastAsia" w:ascii="仿宋" w:hAnsi="仿宋" w:eastAsia="仿宋" w:cs="仿宋"/>
          <w:b w:val="0"/>
          <w:color w:val="auto"/>
          <w:sz w:val="24"/>
          <w:szCs w:val="24"/>
          <w:highlight w:val="none"/>
          <w:lang w:val="en-US" w:eastAsia="zh-CN"/>
        </w:rPr>
        <w:fldChar w:fldCharType="begin"/>
      </w:r>
      <w:r>
        <w:rPr>
          <w:rFonts w:hint="eastAsia" w:ascii="仿宋" w:hAnsi="仿宋" w:eastAsia="仿宋" w:cs="仿宋"/>
          <w:b w:val="0"/>
          <w:color w:val="auto"/>
          <w:sz w:val="24"/>
          <w:szCs w:val="24"/>
          <w:highlight w:val="none"/>
          <w:lang w:val="en-US" w:eastAsia="zh-CN"/>
        </w:rPr>
        <w:instrText xml:space="preserve"> HYPERLINK "http://www.sxggzyjy.cn:9002/TPBidder/memberLogin" </w:instrText>
      </w:r>
      <w:r>
        <w:rPr>
          <w:rFonts w:hint="eastAsia" w:ascii="仿宋" w:hAnsi="仿宋" w:eastAsia="仿宋" w:cs="仿宋"/>
          <w:b w:val="0"/>
          <w:color w:val="auto"/>
          <w:sz w:val="24"/>
          <w:szCs w:val="24"/>
          <w:highlight w:val="none"/>
          <w:lang w:val="en-US" w:eastAsia="zh-CN"/>
        </w:rPr>
        <w:fldChar w:fldCharType="separate"/>
      </w:r>
      <w:r>
        <w:rPr>
          <w:rFonts w:hint="eastAsia" w:ascii="仿宋" w:hAnsi="仿宋" w:eastAsia="仿宋" w:cs="仿宋"/>
          <w:b w:val="0"/>
          <w:color w:val="auto"/>
          <w:sz w:val="24"/>
          <w:szCs w:val="24"/>
          <w:highlight w:val="none"/>
          <w:lang w:val="en-US" w:eastAsia="zh-CN"/>
        </w:rPr>
        <w:t>http://www.sxggzyjy.cn:9002/TPBidder/memberLogin</w:t>
      </w:r>
      <w:r>
        <w:rPr>
          <w:rFonts w:hint="eastAsia" w:ascii="仿宋" w:hAnsi="仿宋" w:eastAsia="仿宋" w:cs="仿宋"/>
          <w:b w:val="0"/>
          <w:color w:val="auto"/>
          <w:sz w:val="24"/>
          <w:szCs w:val="24"/>
          <w:highlight w:val="none"/>
          <w:lang w:val="en-US" w:eastAsia="zh-CN"/>
        </w:rPr>
        <w:fldChar w:fldCharType="end"/>
      </w:r>
      <w:r>
        <w:rPr>
          <w:rFonts w:hint="eastAsia" w:ascii="仿宋" w:hAnsi="仿宋" w:eastAsia="仿宋" w:cs="仿宋"/>
          <w:b w:val="0"/>
          <w:color w:val="auto"/>
          <w:sz w:val="24"/>
          <w:szCs w:val="24"/>
          <w:highlight w:val="none"/>
          <w:lang w:val="en-US" w:eastAsia="zh-CN"/>
        </w:rPr>
        <w:t>。</w:t>
      </w:r>
    </w:p>
    <w:p w14:paraId="1B2C4E0B">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货物：各种形态和种类的物品，包括原材料、燃料、设备、产品等。</w:t>
      </w:r>
    </w:p>
    <w:p w14:paraId="378E8C85">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服务：除货物和工程以外的其他政府采购对象。</w:t>
      </w:r>
    </w:p>
    <w:p w14:paraId="3776A297">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11.</w:t>
      </w:r>
      <w:r>
        <w:rPr>
          <w:rFonts w:hint="eastAsia" w:ascii="仿宋" w:hAnsi="仿宋" w:eastAsia="仿宋" w:cs="仿宋"/>
          <w:color w:val="auto"/>
          <w:sz w:val="24"/>
          <w:szCs w:val="24"/>
          <w:highlight w:val="none"/>
        </w:rPr>
        <w:t>中小企业是指符合《工业和信息化部、国家统计局、国家发展和改革委员会、财政部关于印发中小企业划型标准规定的通知》（工信部联企业〔201</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〕300号）规定的对中小企业的划分标准的企业。</w:t>
      </w:r>
    </w:p>
    <w:p w14:paraId="4E5661A4">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ABF0E6E">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13.</w:t>
      </w:r>
      <w:r>
        <w:rPr>
          <w:rFonts w:hint="eastAsia" w:ascii="仿宋" w:hAnsi="仿宋" w:eastAsia="仿宋" w:cs="仿宋"/>
          <w:color w:val="auto"/>
          <w:sz w:val="24"/>
          <w:szCs w:val="24"/>
          <w:highlight w:val="none"/>
        </w:rPr>
        <w:t>残疾人福利性单位是指符合《关于促进残疾人就业政府采购政策的通知》财库〔2017〕141号规定的对残疾人福利性单位划分标准的单位。</w:t>
      </w:r>
    </w:p>
    <w:p w14:paraId="1E2105C1">
      <w:pPr>
        <w:pStyle w:val="30"/>
        <w:keepNext w:val="0"/>
        <w:keepLines w:val="0"/>
        <w:pageBreakBefore w:val="0"/>
        <w:widowControl/>
        <w:numPr>
          <w:ilvl w:val="0"/>
          <w:numId w:val="0"/>
        </w:numPr>
        <w:kinsoku/>
        <w:wordWrap/>
        <w:overflowPunct/>
        <w:topLinePunct w:val="0"/>
        <w:autoSpaceDE/>
        <w:autoSpaceDN/>
        <w:bidi w:val="0"/>
        <w:adjustRightInd/>
        <w:snapToGrid/>
        <w:spacing w:after="0" w:afterLines="0" w:line="360" w:lineRule="auto"/>
        <w:ind w:lef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应具备的资格条件</w:t>
      </w:r>
    </w:p>
    <w:p w14:paraId="36F9976E">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bookmarkStart w:id="33" w:name="_Toc183582208"/>
      <w:bookmarkStart w:id="34" w:name="_Toc183682345"/>
      <w:bookmarkStart w:id="35" w:name="_Toc217446037"/>
      <w:r>
        <w:rPr>
          <w:rFonts w:hint="eastAsia" w:ascii="仿宋" w:hAnsi="仿宋" w:eastAsia="仿宋" w:cs="仿宋"/>
          <w:color w:val="auto"/>
          <w:sz w:val="24"/>
          <w:szCs w:val="24"/>
          <w:highlight w:val="none"/>
          <w:lang w:val="en-US" w:eastAsia="zh-CN"/>
        </w:rPr>
        <w:t>1.详见投标人须知前附表</w:t>
      </w:r>
    </w:p>
    <w:p w14:paraId="71DA6503">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2.限制投标的条件</w:t>
      </w:r>
    </w:p>
    <w:p w14:paraId="417E75A0">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r>
        <w:rPr>
          <w:rFonts w:hint="eastAsia" w:ascii="仿宋" w:hAnsi="仿宋" w:eastAsia="仿宋" w:cs="仿宋"/>
          <w:color w:val="auto"/>
          <w:sz w:val="24"/>
          <w:szCs w:val="24"/>
          <w:highlight w:val="none"/>
        </w:rPr>
        <w:t>单位负责人为同一人或者存在</w:t>
      </w:r>
      <w:r>
        <w:rPr>
          <w:rFonts w:hint="eastAsia" w:ascii="仿宋" w:hAnsi="仿宋" w:eastAsia="仿宋" w:cs="仿宋"/>
          <w:color w:val="auto"/>
          <w:sz w:val="24"/>
          <w:szCs w:val="24"/>
          <w:highlight w:val="none"/>
          <w:lang w:eastAsia="zh-CN"/>
        </w:rPr>
        <w:t>直接控股</w:t>
      </w:r>
      <w:r>
        <w:rPr>
          <w:rFonts w:hint="eastAsia" w:ascii="仿宋" w:hAnsi="仿宋" w:eastAsia="仿宋" w:cs="仿宋"/>
          <w:color w:val="auto"/>
          <w:sz w:val="24"/>
          <w:szCs w:val="24"/>
          <w:highlight w:val="none"/>
        </w:rPr>
        <w:t>、管理关系的不同单位，不得参加同一标段的采购项目投标</w:t>
      </w:r>
      <w:r>
        <w:rPr>
          <w:rFonts w:hint="eastAsia" w:ascii="仿宋" w:hAnsi="仿宋" w:eastAsia="仿宋" w:cs="仿宋"/>
          <w:color w:val="auto"/>
          <w:sz w:val="24"/>
          <w:szCs w:val="24"/>
          <w:highlight w:val="none"/>
          <w:lang w:val="en-US" w:eastAsia="zh-CN"/>
        </w:rPr>
        <w:t>。</w:t>
      </w:r>
    </w:p>
    <w:p w14:paraId="0391EFCF">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lang w:val="en-US" w:eastAsia="zh-CN"/>
        </w:rPr>
        <w:t>2.2为采购项目提供整体设计、规范编制或者项目管理、监理、检测等服务的投标人，不得再参加同一项目的其他采购活动。</w:t>
      </w:r>
    </w:p>
    <w:p w14:paraId="3D6CF767">
      <w:pPr>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（四）</w:t>
      </w:r>
      <w:r>
        <w:rPr>
          <w:rFonts w:hint="eastAsia" w:ascii="仿宋" w:hAnsi="仿宋" w:eastAsia="仿宋" w:cs="仿宋"/>
          <w:b/>
          <w:bCs/>
          <w:color w:val="auto"/>
          <w:kern w:val="2"/>
          <w:sz w:val="24"/>
          <w:szCs w:val="24"/>
          <w:highlight w:val="none"/>
          <w:lang w:val="en-US" w:eastAsia="zh-CN" w:bidi="ar-SA"/>
        </w:rPr>
        <w:t>特殊情形</w:t>
      </w:r>
    </w:p>
    <w:p w14:paraId="6C7F137E">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w:t>
      </w:r>
      <w:r>
        <w:rPr>
          <w:rFonts w:hint="eastAsia" w:ascii="仿宋" w:hAnsi="仿宋" w:eastAsia="仿宋" w:cs="仿宋"/>
          <w:b w:val="0"/>
          <w:bCs/>
          <w:color w:val="auto"/>
          <w:sz w:val="24"/>
          <w:szCs w:val="24"/>
          <w:highlight w:val="none"/>
        </w:rPr>
        <w:t>其他组织：</w:t>
      </w:r>
    </w:p>
    <w:p w14:paraId="62A3CBFB">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1.1</w:t>
      </w:r>
      <w:r>
        <w:rPr>
          <w:rFonts w:hint="eastAsia" w:ascii="仿宋" w:hAnsi="仿宋" w:eastAsia="仿宋" w:cs="仿宋"/>
          <w:b w:val="0"/>
          <w:bCs/>
          <w:color w:val="auto"/>
          <w:sz w:val="24"/>
          <w:szCs w:val="24"/>
          <w:highlight w:val="none"/>
        </w:rPr>
        <w:t>事业单位参加</w:t>
      </w:r>
      <w:r>
        <w:rPr>
          <w:rFonts w:hint="eastAsia" w:ascii="仿宋" w:hAnsi="仿宋" w:eastAsia="仿宋" w:cs="仿宋"/>
          <w:b w:val="0"/>
          <w:bCs/>
          <w:color w:val="auto"/>
          <w:sz w:val="24"/>
          <w:szCs w:val="24"/>
          <w:highlight w:val="none"/>
          <w:lang w:eastAsia="zh-CN"/>
        </w:rPr>
        <w:t>政府</w:t>
      </w:r>
      <w:r>
        <w:rPr>
          <w:rFonts w:hint="eastAsia" w:ascii="仿宋" w:hAnsi="仿宋" w:eastAsia="仿宋" w:cs="仿宋"/>
          <w:b w:val="0"/>
          <w:bCs/>
          <w:color w:val="auto"/>
          <w:sz w:val="24"/>
          <w:szCs w:val="24"/>
          <w:highlight w:val="none"/>
        </w:rPr>
        <w:t>采购活动的，应参照</w:t>
      </w:r>
      <w:r>
        <w:rPr>
          <w:rFonts w:hint="eastAsia" w:ascii="仿宋" w:hAnsi="仿宋" w:eastAsia="仿宋" w:cs="仿宋"/>
          <w:b w:val="0"/>
          <w:bCs/>
          <w:color w:val="auto"/>
          <w:sz w:val="24"/>
          <w:szCs w:val="24"/>
          <w:highlight w:val="none"/>
          <w:lang w:eastAsia="zh-CN"/>
        </w:rPr>
        <w:t>招标</w:t>
      </w:r>
      <w:r>
        <w:rPr>
          <w:rFonts w:hint="eastAsia" w:ascii="仿宋" w:hAnsi="仿宋" w:eastAsia="仿宋" w:cs="仿宋"/>
          <w:b w:val="0"/>
          <w:bCs/>
          <w:color w:val="auto"/>
          <w:sz w:val="24"/>
          <w:szCs w:val="24"/>
          <w:highlight w:val="none"/>
        </w:rPr>
        <w:t>文件给出的投标文件格式制作，其中投标文件要求</w:t>
      </w:r>
      <w:r>
        <w:rPr>
          <w:rFonts w:hint="eastAsia" w:ascii="仿宋" w:hAnsi="仿宋" w:eastAsia="仿宋" w:cs="仿宋"/>
          <w:b w:val="0"/>
          <w:bCs/>
          <w:color w:val="auto"/>
          <w:sz w:val="24"/>
          <w:szCs w:val="24"/>
          <w:highlight w:val="none"/>
          <w:lang w:eastAsia="zh-CN"/>
        </w:rPr>
        <w:t>法定代表人</w:t>
      </w:r>
      <w:r>
        <w:rPr>
          <w:rFonts w:hint="eastAsia" w:ascii="仿宋" w:hAnsi="仿宋" w:eastAsia="仿宋" w:cs="仿宋"/>
          <w:b w:val="0"/>
          <w:bCs/>
          <w:color w:val="auto"/>
          <w:sz w:val="24"/>
          <w:szCs w:val="24"/>
          <w:highlight w:val="none"/>
        </w:rPr>
        <w:t>签字</w:t>
      </w:r>
      <w:r>
        <w:rPr>
          <w:rFonts w:hint="eastAsia" w:ascii="仿宋" w:hAnsi="仿宋" w:eastAsia="仿宋" w:cs="仿宋"/>
          <w:b w:val="0"/>
          <w:bCs/>
          <w:color w:val="auto"/>
          <w:sz w:val="24"/>
          <w:szCs w:val="24"/>
          <w:highlight w:val="none"/>
          <w:lang w:eastAsia="zh-CN"/>
        </w:rPr>
        <w:t>须为</w:t>
      </w:r>
      <w:r>
        <w:rPr>
          <w:rFonts w:hint="eastAsia" w:ascii="仿宋" w:hAnsi="仿宋" w:eastAsia="仿宋" w:cs="仿宋"/>
          <w:b w:val="0"/>
          <w:bCs/>
          <w:color w:val="auto"/>
          <w:sz w:val="24"/>
          <w:szCs w:val="24"/>
          <w:highlight w:val="none"/>
        </w:rPr>
        <w:t>事业单位的</w:t>
      </w:r>
      <w:r>
        <w:rPr>
          <w:rFonts w:hint="eastAsia" w:ascii="仿宋" w:hAnsi="仿宋" w:eastAsia="仿宋" w:cs="仿宋"/>
          <w:b w:val="0"/>
          <w:bCs/>
          <w:color w:val="auto"/>
          <w:sz w:val="24"/>
          <w:szCs w:val="24"/>
          <w:highlight w:val="none"/>
          <w:lang w:eastAsia="zh-CN"/>
        </w:rPr>
        <w:t>法定代表人</w:t>
      </w:r>
      <w:r>
        <w:rPr>
          <w:rFonts w:hint="eastAsia" w:ascii="仿宋" w:hAnsi="仿宋" w:eastAsia="仿宋" w:cs="仿宋"/>
          <w:b w:val="0"/>
          <w:bCs/>
          <w:color w:val="auto"/>
          <w:sz w:val="24"/>
          <w:szCs w:val="24"/>
          <w:highlight w:val="none"/>
        </w:rPr>
        <w:t>签</w:t>
      </w:r>
      <w:r>
        <w:rPr>
          <w:rFonts w:hint="eastAsia" w:ascii="仿宋" w:hAnsi="仿宋" w:eastAsia="仿宋" w:cs="仿宋"/>
          <w:b w:val="0"/>
          <w:bCs/>
          <w:color w:val="auto"/>
          <w:sz w:val="24"/>
          <w:szCs w:val="24"/>
          <w:highlight w:val="none"/>
          <w:lang w:eastAsia="zh-CN"/>
        </w:rPr>
        <w:t>字</w:t>
      </w:r>
      <w:r>
        <w:rPr>
          <w:rFonts w:hint="eastAsia" w:ascii="仿宋" w:hAnsi="仿宋" w:eastAsia="仿宋" w:cs="仿宋"/>
          <w:b w:val="0"/>
          <w:bCs/>
          <w:color w:val="auto"/>
          <w:sz w:val="24"/>
          <w:szCs w:val="24"/>
          <w:highlight w:val="none"/>
        </w:rPr>
        <w:t>；</w:t>
      </w:r>
    </w:p>
    <w:p w14:paraId="384C9BDE">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1.2</w:t>
      </w:r>
      <w:r>
        <w:rPr>
          <w:rFonts w:hint="eastAsia" w:ascii="仿宋" w:hAnsi="仿宋" w:eastAsia="仿宋" w:cs="仿宋"/>
          <w:b w:val="0"/>
          <w:bCs/>
          <w:color w:val="auto"/>
          <w:sz w:val="24"/>
          <w:szCs w:val="24"/>
          <w:highlight w:val="none"/>
        </w:rPr>
        <w:t>分公司参加</w:t>
      </w:r>
      <w:r>
        <w:rPr>
          <w:rFonts w:hint="eastAsia" w:ascii="仿宋" w:hAnsi="仿宋" w:eastAsia="仿宋" w:cs="仿宋"/>
          <w:b w:val="0"/>
          <w:bCs/>
          <w:color w:val="auto"/>
          <w:sz w:val="24"/>
          <w:szCs w:val="24"/>
          <w:highlight w:val="none"/>
          <w:lang w:eastAsia="zh-CN"/>
        </w:rPr>
        <w:t>政府</w:t>
      </w:r>
      <w:r>
        <w:rPr>
          <w:rFonts w:hint="eastAsia" w:ascii="仿宋" w:hAnsi="仿宋" w:eastAsia="仿宋" w:cs="仿宋"/>
          <w:b w:val="0"/>
          <w:bCs/>
          <w:color w:val="auto"/>
          <w:sz w:val="24"/>
          <w:szCs w:val="24"/>
          <w:highlight w:val="none"/>
        </w:rPr>
        <w:t>采购活动的，应参照</w:t>
      </w:r>
      <w:r>
        <w:rPr>
          <w:rFonts w:hint="eastAsia" w:ascii="仿宋" w:hAnsi="仿宋" w:eastAsia="仿宋" w:cs="仿宋"/>
          <w:b w:val="0"/>
          <w:bCs/>
          <w:color w:val="auto"/>
          <w:sz w:val="24"/>
          <w:szCs w:val="24"/>
          <w:highlight w:val="none"/>
          <w:lang w:eastAsia="zh-CN"/>
        </w:rPr>
        <w:t>招标</w:t>
      </w:r>
      <w:r>
        <w:rPr>
          <w:rFonts w:hint="eastAsia" w:ascii="仿宋" w:hAnsi="仿宋" w:eastAsia="仿宋" w:cs="仿宋"/>
          <w:b w:val="0"/>
          <w:bCs/>
          <w:color w:val="auto"/>
          <w:sz w:val="24"/>
          <w:szCs w:val="24"/>
          <w:highlight w:val="none"/>
        </w:rPr>
        <w:t>文件给出的投标文件格式制作，其中投标文件要求</w:t>
      </w:r>
      <w:r>
        <w:rPr>
          <w:rFonts w:hint="eastAsia" w:ascii="仿宋" w:hAnsi="仿宋" w:eastAsia="仿宋" w:cs="仿宋"/>
          <w:b w:val="0"/>
          <w:bCs/>
          <w:color w:val="auto"/>
          <w:sz w:val="24"/>
          <w:szCs w:val="24"/>
          <w:highlight w:val="none"/>
          <w:lang w:eastAsia="zh-CN"/>
        </w:rPr>
        <w:t>法定代表人</w:t>
      </w:r>
      <w:r>
        <w:rPr>
          <w:rFonts w:hint="eastAsia" w:ascii="仿宋" w:hAnsi="仿宋" w:eastAsia="仿宋" w:cs="仿宋"/>
          <w:b w:val="0"/>
          <w:bCs/>
          <w:color w:val="auto"/>
          <w:sz w:val="24"/>
          <w:szCs w:val="24"/>
          <w:highlight w:val="none"/>
        </w:rPr>
        <w:t>签字</w:t>
      </w:r>
      <w:r>
        <w:rPr>
          <w:rFonts w:hint="eastAsia" w:ascii="仿宋" w:hAnsi="仿宋" w:eastAsia="仿宋" w:cs="仿宋"/>
          <w:b w:val="0"/>
          <w:bCs/>
          <w:color w:val="auto"/>
          <w:sz w:val="24"/>
          <w:szCs w:val="24"/>
          <w:highlight w:val="none"/>
          <w:lang w:eastAsia="zh-CN"/>
        </w:rPr>
        <w:t>须为</w:t>
      </w:r>
      <w:r>
        <w:rPr>
          <w:rFonts w:hint="eastAsia" w:ascii="仿宋" w:hAnsi="仿宋" w:eastAsia="仿宋" w:cs="仿宋"/>
          <w:b w:val="0"/>
          <w:bCs/>
          <w:color w:val="auto"/>
          <w:sz w:val="24"/>
          <w:szCs w:val="24"/>
          <w:highlight w:val="none"/>
        </w:rPr>
        <w:t>分公司的负责人签字；</w:t>
      </w:r>
    </w:p>
    <w:p w14:paraId="2B7C0813">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1.3</w:t>
      </w:r>
      <w:r>
        <w:rPr>
          <w:rFonts w:hint="eastAsia" w:ascii="仿宋" w:hAnsi="仿宋" w:eastAsia="仿宋" w:cs="仿宋"/>
          <w:b w:val="0"/>
          <w:bCs/>
          <w:color w:val="auto"/>
          <w:sz w:val="24"/>
          <w:szCs w:val="24"/>
          <w:highlight w:val="none"/>
        </w:rPr>
        <w:t>个体户参加</w:t>
      </w:r>
      <w:r>
        <w:rPr>
          <w:rFonts w:hint="eastAsia" w:ascii="仿宋" w:hAnsi="仿宋" w:eastAsia="仿宋" w:cs="仿宋"/>
          <w:b w:val="0"/>
          <w:bCs/>
          <w:color w:val="auto"/>
          <w:sz w:val="24"/>
          <w:szCs w:val="24"/>
          <w:highlight w:val="none"/>
          <w:lang w:eastAsia="zh-CN"/>
        </w:rPr>
        <w:t>政府</w:t>
      </w:r>
      <w:r>
        <w:rPr>
          <w:rFonts w:hint="eastAsia" w:ascii="仿宋" w:hAnsi="仿宋" w:eastAsia="仿宋" w:cs="仿宋"/>
          <w:b w:val="0"/>
          <w:bCs/>
          <w:color w:val="auto"/>
          <w:sz w:val="24"/>
          <w:szCs w:val="24"/>
          <w:highlight w:val="none"/>
        </w:rPr>
        <w:t>采购活动的，应参照</w:t>
      </w:r>
      <w:r>
        <w:rPr>
          <w:rFonts w:hint="eastAsia" w:ascii="仿宋" w:hAnsi="仿宋" w:eastAsia="仿宋" w:cs="仿宋"/>
          <w:b w:val="0"/>
          <w:bCs/>
          <w:color w:val="auto"/>
          <w:sz w:val="24"/>
          <w:szCs w:val="24"/>
          <w:highlight w:val="none"/>
          <w:lang w:eastAsia="zh-CN"/>
        </w:rPr>
        <w:t>招标</w:t>
      </w:r>
      <w:r>
        <w:rPr>
          <w:rFonts w:hint="eastAsia" w:ascii="仿宋" w:hAnsi="仿宋" w:eastAsia="仿宋" w:cs="仿宋"/>
          <w:b w:val="0"/>
          <w:bCs/>
          <w:color w:val="auto"/>
          <w:sz w:val="24"/>
          <w:szCs w:val="24"/>
          <w:highlight w:val="none"/>
        </w:rPr>
        <w:t>文件给出的投标文件格式制作，其中投标文件要求</w:t>
      </w:r>
      <w:r>
        <w:rPr>
          <w:rFonts w:hint="eastAsia" w:ascii="仿宋" w:hAnsi="仿宋" w:eastAsia="仿宋" w:cs="仿宋"/>
          <w:b w:val="0"/>
          <w:bCs/>
          <w:color w:val="auto"/>
          <w:sz w:val="24"/>
          <w:szCs w:val="24"/>
          <w:highlight w:val="none"/>
          <w:lang w:eastAsia="zh-CN"/>
        </w:rPr>
        <w:t>法定代表人</w:t>
      </w:r>
      <w:r>
        <w:rPr>
          <w:rFonts w:hint="eastAsia" w:ascii="仿宋" w:hAnsi="仿宋" w:eastAsia="仿宋" w:cs="仿宋"/>
          <w:b w:val="0"/>
          <w:bCs/>
          <w:color w:val="auto"/>
          <w:sz w:val="24"/>
          <w:szCs w:val="24"/>
          <w:highlight w:val="none"/>
        </w:rPr>
        <w:t>签字</w:t>
      </w:r>
      <w:r>
        <w:rPr>
          <w:rFonts w:hint="eastAsia" w:ascii="仿宋" w:hAnsi="仿宋" w:eastAsia="仿宋" w:cs="仿宋"/>
          <w:b w:val="0"/>
          <w:bCs/>
          <w:color w:val="auto"/>
          <w:sz w:val="24"/>
          <w:szCs w:val="24"/>
          <w:highlight w:val="none"/>
          <w:lang w:eastAsia="zh-CN"/>
        </w:rPr>
        <w:t>须为</w:t>
      </w:r>
      <w:r>
        <w:rPr>
          <w:rFonts w:hint="eastAsia" w:ascii="仿宋" w:hAnsi="仿宋" w:eastAsia="仿宋" w:cs="仿宋"/>
          <w:b w:val="0"/>
          <w:bCs/>
          <w:color w:val="auto"/>
          <w:sz w:val="24"/>
          <w:szCs w:val="24"/>
          <w:highlight w:val="none"/>
        </w:rPr>
        <w:t>其经营者本人签字；</w:t>
      </w:r>
    </w:p>
    <w:p w14:paraId="41900F86">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w:t>
      </w:r>
      <w:r>
        <w:rPr>
          <w:rFonts w:hint="eastAsia" w:ascii="仿宋" w:hAnsi="仿宋" w:eastAsia="仿宋" w:cs="仿宋"/>
          <w:b w:val="0"/>
          <w:bCs/>
          <w:color w:val="auto"/>
          <w:sz w:val="24"/>
          <w:szCs w:val="24"/>
          <w:highlight w:val="none"/>
          <w:lang w:val="en-US" w:eastAsia="zh-CN"/>
        </w:rPr>
        <w:t>.</w:t>
      </w:r>
      <w:r>
        <w:rPr>
          <w:rFonts w:hint="eastAsia" w:ascii="仿宋" w:hAnsi="仿宋" w:eastAsia="仿宋" w:cs="仿宋"/>
          <w:b w:val="0"/>
          <w:bCs/>
          <w:color w:val="auto"/>
          <w:sz w:val="24"/>
          <w:szCs w:val="24"/>
          <w:highlight w:val="none"/>
        </w:rPr>
        <w:t>自然人：自然人</w:t>
      </w:r>
      <w:r>
        <w:rPr>
          <w:rFonts w:hint="eastAsia" w:ascii="仿宋" w:hAnsi="仿宋" w:eastAsia="仿宋" w:cs="仿宋"/>
          <w:b w:val="0"/>
          <w:bCs/>
          <w:color w:val="auto"/>
          <w:sz w:val="24"/>
          <w:szCs w:val="24"/>
          <w:highlight w:val="none"/>
          <w:lang w:eastAsia="zh-CN"/>
        </w:rPr>
        <w:t>参加政府</w:t>
      </w:r>
      <w:r>
        <w:rPr>
          <w:rFonts w:hint="eastAsia" w:ascii="仿宋" w:hAnsi="仿宋" w:eastAsia="仿宋" w:cs="仿宋"/>
          <w:b w:val="0"/>
          <w:bCs/>
          <w:color w:val="auto"/>
          <w:sz w:val="24"/>
          <w:szCs w:val="24"/>
          <w:highlight w:val="none"/>
        </w:rPr>
        <w:t>采购活动的，应参照</w:t>
      </w:r>
      <w:r>
        <w:rPr>
          <w:rFonts w:hint="eastAsia" w:ascii="仿宋" w:hAnsi="仿宋" w:eastAsia="仿宋" w:cs="仿宋"/>
          <w:b w:val="0"/>
          <w:bCs/>
          <w:color w:val="auto"/>
          <w:sz w:val="24"/>
          <w:szCs w:val="24"/>
          <w:highlight w:val="none"/>
          <w:lang w:eastAsia="zh-CN"/>
        </w:rPr>
        <w:t>招标</w:t>
      </w:r>
      <w:r>
        <w:rPr>
          <w:rFonts w:hint="eastAsia" w:ascii="仿宋" w:hAnsi="仿宋" w:eastAsia="仿宋" w:cs="仿宋"/>
          <w:b w:val="0"/>
          <w:bCs/>
          <w:color w:val="auto"/>
          <w:sz w:val="24"/>
          <w:szCs w:val="24"/>
          <w:highlight w:val="none"/>
        </w:rPr>
        <w:t>文件给出的投标文件格式制作，其中投标文件要求盖公章</w:t>
      </w:r>
      <w:r>
        <w:rPr>
          <w:rFonts w:hint="eastAsia" w:ascii="仿宋" w:hAnsi="仿宋" w:eastAsia="仿宋" w:cs="仿宋"/>
          <w:b w:val="0"/>
          <w:bCs/>
          <w:color w:val="auto"/>
          <w:sz w:val="24"/>
          <w:szCs w:val="24"/>
          <w:highlight w:val="none"/>
          <w:lang w:eastAsia="zh-CN"/>
        </w:rPr>
        <w:t>的须为</w:t>
      </w:r>
      <w:r>
        <w:rPr>
          <w:rFonts w:hint="eastAsia" w:ascii="仿宋" w:hAnsi="仿宋" w:eastAsia="仿宋" w:cs="仿宋"/>
          <w:b w:val="0"/>
          <w:bCs/>
          <w:color w:val="auto"/>
          <w:sz w:val="24"/>
          <w:szCs w:val="24"/>
          <w:highlight w:val="none"/>
        </w:rPr>
        <w:t>自然人本人的手印；不接受自然人授权他人参加投标。</w:t>
      </w:r>
    </w:p>
    <w:p w14:paraId="6577517F">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b/>
          <w:bCs w:val="0"/>
          <w:color w:val="auto"/>
          <w:sz w:val="24"/>
          <w:szCs w:val="24"/>
          <w:highlight w:val="none"/>
          <w:lang w:val="en-US" w:eastAsia="zh-CN"/>
        </w:rPr>
        <w:t>3.</w:t>
      </w:r>
      <w:r>
        <w:rPr>
          <w:rFonts w:hint="eastAsia" w:ascii="仿宋" w:hAnsi="仿宋" w:eastAsia="仿宋" w:cs="仿宋"/>
          <w:b/>
          <w:bCs w:val="0"/>
          <w:color w:val="auto"/>
          <w:sz w:val="24"/>
          <w:szCs w:val="24"/>
          <w:highlight w:val="none"/>
          <w:lang w:eastAsia="zh-CN"/>
        </w:rPr>
        <w:t>招标</w:t>
      </w:r>
      <w:r>
        <w:rPr>
          <w:rFonts w:hint="eastAsia" w:ascii="仿宋" w:hAnsi="仿宋" w:eastAsia="仿宋" w:cs="仿宋"/>
          <w:b/>
          <w:bCs w:val="0"/>
          <w:color w:val="auto"/>
          <w:sz w:val="24"/>
          <w:szCs w:val="24"/>
          <w:highlight w:val="none"/>
        </w:rPr>
        <w:t>文件凡是要求法定代表人签字或盖章</w:t>
      </w:r>
      <w:r>
        <w:rPr>
          <w:rFonts w:hint="eastAsia" w:ascii="仿宋" w:hAnsi="仿宋" w:eastAsia="仿宋" w:cs="仿宋"/>
          <w:b/>
          <w:bCs w:val="0"/>
          <w:color w:val="auto"/>
          <w:sz w:val="24"/>
          <w:szCs w:val="24"/>
          <w:highlight w:val="none"/>
          <w:lang w:eastAsia="zh-CN"/>
        </w:rPr>
        <w:t>或附身份证复印件</w:t>
      </w:r>
      <w:r>
        <w:rPr>
          <w:rFonts w:hint="eastAsia" w:ascii="仿宋" w:hAnsi="仿宋" w:eastAsia="仿宋" w:cs="仿宋"/>
          <w:b/>
          <w:bCs w:val="0"/>
          <w:color w:val="auto"/>
          <w:sz w:val="24"/>
          <w:szCs w:val="24"/>
          <w:highlight w:val="none"/>
        </w:rPr>
        <w:t>之处，非法人单位的负责人均参照执行</w:t>
      </w:r>
      <w:r>
        <w:rPr>
          <w:rFonts w:hint="eastAsia" w:ascii="仿宋" w:hAnsi="仿宋" w:eastAsia="仿宋" w:cs="仿宋"/>
          <w:b/>
          <w:bCs w:val="0"/>
          <w:color w:val="auto"/>
          <w:sz w:val="28"/>
          <w:szCs w:val="28"/>
          <w:highlight w:val="none"/>
        </w:rPr>
        <w:t>。</w:t>
      </w:r>
    </w:p>
    <w:bookmarkEnd w:id="33"/>
    <w:bookmarkEnd w:id="34"/>
    <w:bookmarkEnd w:id="35"/>
    <w:p w14:paraId="4BB838F2">
      <w:pPr>
        <w:pStyle w:val="3"/>
        <w:keepNext/>
        <w:keepLines/>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Cs w:val="0"/>
          <w:color w:val="auto"/>
          <w:sz w:val="28"/>
          <w:szCs w:val="28"/>
          <w:highlight w:val="none"/>
        </w:rPr>
      </w:pPr>
      <w:bookmarkStart w:id="36" w:name="_Toc217446038"/>
      <w:bookmarkStart w:id="37" w:name="_Toc32348"/>
      <w:bookmarkStart w:id="38" w:name="_Toc10305"/>
      <w:bookmarkStart w:id="39" w:name="_Toc32338"/>
      <w:bookmarkStart w:id="40" w:name="_Toc89075875"/>
      <w:bookmarkStart w:id="41" w:name="_Toc25898"/>
      <w:bookmarkStart w:id="42" w:name="_Toc183582209"/>
      <w:bookmarkStart w:id="43" w:name="_Toc183682346"/>
      <w:bookmarkStart w:id="44" w:name="_Toc11714"/>
      <w:bookmarkStart w:id="45" w:name="_Toc77400779"/>
      <w:r>
        <w:rPr>
          <w:rFonts w:hint="eastAsia" w:ascii="仿宋" w:hAnsi="仿宋" w:eastAsia="仿宋" w:cs="仿宋"/>
          <w:b/>
          <w:bCs/>
          <w:color w:val="auto"/>
          <w:sz w:val="32"/>
          <w:szCs w:val="32"/>
          <w:highlight w:val="none"/>
        </w:rPr>
        <w:t>三、招标文件</w:t>
      </w:r>
      <w:bookmarkEnd w:id="36"/>
      <w:bookmarkEnd w:id="37"/>
      <w:bookmarkEnd w:id="38"/>
      <w:bookmarkEnd w:id="39"/>
      <w:bookmarkEnd w:id="40"/>
      <w:bookmarkEnd w:id="41"/>
      <w:bookmarkEnd w:id="42"/>
      <w:bookmarkEnd w:id="43"/>
      <w:bookmarkEnd w:id="44"/>
      <w:bookmarkEnd w:id="45"/>
    </w:p>
    <w:p w14:paraId="469F986F">
      <w:pPr>
        <w:keepNext w:val="0"/>
        <w:keepLines w:val="0"/>
        <w:pageBreakBefore w:val="0"/>
        <w:widowControl/>
        <w:kinsoku/>
        <w:wordWrap/>
        <w:overflowPunct/>
        <w:topLinePunct w:val="0"/>
        <w:autoSpaceDE/>
        <w:autoSpaceDN/>
        <w:bidi w:val="0"/>
        <w:adjustRightInd/>
        <w:snapToGrid/>
        <w:spacing w:line="360" w:lineRule="auto"/>
        <w:textAlignment w:val="auto"/>
        <w:outlineLvl w:val="2"/>
        <w:rPr>
          <w:rFonts w:hint="eastAsia" w:ascii="仿宋" w:hAnsi="仿宋" w:eastAsia="仿宋" w:cs="仿宋"/>
          <w:b/>
          <w:bCs/>
          <w:color w:val="auto"/>
          <w:sz w:val="24"/>
          <w:szCs w:val="24"/>
          <w:highlight w:val="none"/>
        </w:rPr>
      </w:pPr>
      <w:bookmarkStart w:id="46" w:name="_Toc183682347"/>
      <w:bookmarkStart w:id="47" w:name="_Toc217446039"/>
      <w:bookmarkStart w:id="48" w:name="_Toc183582210"/>
      <w:r>
        <w:rPr>
          <w:rFonts w:hint="eastAsia" w:ascii="仿宋" w:hAnsi="仿宋" w:eastAsia="仿宋" w:cs="仿宋"/>
          <w:b/>
          <w:bCs/>
          <w:color w:val="auto"/>
          <w:sz w:val="24"/>
          <w:szCs w:val="24"/>
          <w:highlight w:val="none"/>
          <w:lang w:val="en-US" w:eastAsia="zh-CN"/>
        </w:rPr>
        <w:t>（一）</w:t>
      </w:r>
      <w:r>
        <w:rPr>
          <w:rFonts w:hint="eastAsia" w:ascii="仿宋" w:hAnsi="仿宋" w:eastAsia="仿宋" w:cs="仿宋"/>
          <w:b/>
          <w:bCs/>
          <w:color w:val="auto"/>
          <w:sz w:val="24"/>
          <w:szCs w:val="24"/>
          <w:highlight w:val="none"/>
        </w:rPr>
        <w:t>招标文件的构成</w:t>
      </w:r>
      <w:bookmarkEnd w:id="46"/>
      <w:bookmarkEnd w:id="47"/>
      <w:bookmarkEnd w:id="48"/>
    </w:p>
    <w:p w14:paraId="2C3B6384">
      <w:pPr>
        <w:keepNext w:val="0"/>
        <w:keepLines w:val="0"/>
        <w:pageBreakBefore w:val="0"/>
        <w:widowControl/>
        <w:tabs>
          <w:tab w:val="left" w:pos="720"/>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b/>
          <w:bCs/>
          <w:color w:val="auto"/>
          <w:sz w:val="24"/>
          <w:szCs w:val="24"/>
          <w:highlight w:val="none"/>
        </w:rPr>
        <w:t>.</w:t>
      </w:r>
      <w:r>
        <w:rPr>
          <w:rFonts w:hint="eastAsia" w:ascii="仿宋" w:hAnsi="仿宋" w:eastAsia="仿宋" w:cs="仿宋"/>
          <w:color w:val="auto"/>
          <w:sz w:val="24"/>
          <w:szCs w:val="24"/>
          <w:highlight w:val="none"/>
        </w:rPr>
        <w:t>招标文件是</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准备投标文件和参加投标的依据，同时也是评标的重要依据。本</w:t>
      </w:r>
      <w:r>
        <w:rPr>
          <w:rFonts w:hint="eastAsia" w:ascii="仿宋" w:hAnsi="仿宋" w:eastAsia="仿宋" w:cs="仿宋"/>
          <w:color w:val="auto"/>
          <w:sz w:val="24"/>
          <w:szCs w:val="24"/>
          <w:highlight w:val="none"/>
          <w:lang w:eastAsia="zh-CN"/>
        </w:rPr>
        <w:t>项目</w:t>
      </w:r>
      <w:r>
        <w:rPr>
          <w:rFonts w:hint="eastAsia" w:ascii="仿宋" w:hAnsi="仿宋" w:eastAsia="仿宋" w:cs="仿宋"/>
          <w:color w:val="auto"/>
          <w:sz w:val="24"/>
          <w:szCs w:val="24"/>
          <w:highlight w:val="none"/>
        </w:rPr>
        <w:t>招标文件包括以下内容：</w:t>
      </w:r>
    </w:p>
    <w:p w14:paraId="76D8BA2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第一章 招标公告</w:t>
      </w:r>
    </w:p>
    <w:p w14:paraId="0D3AF44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第二章</w:t>
      </w:r>
      <w:r>
        <w:rPr>
          <w:rFonts w:hint="eastAsia" w:ascii="仿宋" w:hAnsi="仿宋" w:eastAsia="仿宋" w:cs="仿宋"/>
          <w:color w:val="auto"/>
          <w:sz w:val="24"/>
          <w:szCs w:val="24"/>
          <w:highlight w:val="none"/>
          <w:lang w:val="en-US" w:eastAsia="zh-CN"/>
        </w:rPr>
        <w:t xml:space="preserve"> 供应商</w:t>
      </w:r>
      <w:r>
        <w:rPr>
          <w:rFonts w:hint="eastAsia" w:ascii="仿宋" w:hAnsi="仿宋" w:eastAsia="仿宋" w:cs="仿宋"/>
          <w:color w:val="auto"/>
          <w:sz w:val="24"/>
          <w:szCs w:val="24"/>
          <w:highlight w:val="none"/>
        </w:rPr>
        <w:t>须知</w:t>
      </w:r>
    </w:p>
    <w:p w14:paraId="610D032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第三章 合同条款（参考格式）</w:t>
      </w:r>
    </w:p>
    <w:p w14:paraId="12A9D38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第四章 </w:t>
      </w:r>
      <w:r>
        <w:rPr>
          <w:rFonts w:hint="eastAsia" w:ascii="仿宋" w:hAnsi="仿宋" w:eastAsia="仿宋" w:cs="仿宋"/>
          <w:color w:val="auto"/>
          <w:sz w:val="24"/>
          <w:szCs w:val="24"/>
          <w:highlight w:val="none"/>
          <w:lang w:eastAsia="zh-CN"/>
        </w:rPr>
        <w:t>招标内容及要求</w:t>
      </w:r>
    </w:p>
    <w:p w14:paraId="21FD022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第五章 评标办法</w:t>
      </w:r>
    </w:p>
    <w:p w14:paraId="24E0F60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第六章 投标文件构成及格式</w:t>
      </w:r>
    </w:p>
    <w:p w14:paraId="63E86FAF">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投标人</w:t>
      </w:r>
      <w:r>
        <w:rPr>
          <w:rFonts w:hint="eastAsia" w:ascii="仿宋" w:hAnsi="仿宋" w:eastAsia="仿宋" w:cs="仿宋"/>
          <w:b w:val="0"/>
          <w:bCs w:val="0"/>
          <w:color w:val="auto"/>
          <w:spacing w:val="0"/>
          <w:kern w:val="2"/>
          <w:sz w:val="24"/>
          <w:szCs w:val="24"/>
          <w:highlight w:val="none"/>
          <w:lang w:val="en-US" w:eastAsia="zh-CN" w:bidi="ar-SA"/>
        </w:rPr>
        <w:t>须从采购代理机构指定渠道获取招标文件，</w:t>
      </w:r>
      <w:r>
        <w:rPr>
          <w:rFonts w:hint="eastAsia" w:ascii="仿宋" w:hAnsi="仿宋" w:eastAsia="仿宋" w:cs="仿宋"/>
          <w:color w:val="auto"/>
          <w:sz w:val="24"/>
          <w:szCs w:val="24"/>
          <w:highlight w:val="none"/>
          <w:lang w:eastAsia="zh-CN"/>
        </w:rPr>
        <w:t>投标人</w:t>
      </w:r>
      <w:r>
        <w:rPr>
          <w:rFonts w:hint="eastAsia" w:ascii="仿宋" w:hAnsi="仿宋" w:eastAsia="仿宋" w:cs="仿宋"/>
          <w:b w:val="0"/>
          <w:bCs w:val="0"/>
          <w:color w:val="auto"/>
          <w:spacing w:val="0"/>
          <w:kern w:val="2"/>
          <w:sz w:val="24"/>
          <w:szCs w:val="24"/>
          <w:highlight w:val="none"/>
          <w:lang w:val="en-US" w:eastAsia="zh-CN" w:bidi="ar-SA"/>
        </w:rPr>
        <w:t>自行转让或复制的招标文件视为无效文件。</w:t>
      </w:r>
    </w:p>
    <w:p w14:paraId="1339A3F5">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招标文件内容与现行法律法规不相符的或招标文件未规定的，以现行政府采购相关法律法规为准。</w:t>
      </w:r>
    </w:p>
    <w:p w14:paraId="12D8D450">
      <w:pPr>
        <w:keepNext w:val="0"/>
        <w:keepLines w:val="0"/>
        <w:pageBreakBefore w:val="0"/>
        <w:widowControl/>
        <w:numPr>
          <w:ilvl w:val="0"/>
          <w:numId w:val="0"/>
        </w:numPr>
        <w:tabs>
          <w:tab w:val="left" w:pos="312"/>
        </w:tabs>
        <w:kinsoku/>
        <w:wordWrap/>
        <w:overflowPunct/>
        <w:topLinePunct w:val="0"/>
        <w:autoSpaceDE/>
        <w:autoSpaceDN/>
        <w:bidi w:val="0"/>
        <w:adjustRightInd/>
        <w:snapToGrid/>
        <w:spacing w:line="360" w:lineRule="auto"/>
        <w:textAlignment w:val="auto"/>
        <w:outlineLvl w:val="2"/>
        <w:rPr>
          <w:rFonts w:hint="eastAsia" w:ascii="仿宋" w:hAnsi="仿宋" w:eastAsia="仿宋" w:cs="仿宋"/>
          <w:color w:val="auto"/>
          <w:sz w:val="24"/>
          <w:szCs w:val="24"/>
          <w:highlight w:val="none"/>
        </w:rPr>
      </w:pPr>
      <w:bookmarkStart w:id="49" w:name="_Toc183682348"/>
      <w:bookmarkStart w:id="50" w:name="_Toc183582211"/>
      <w:bookmarkStart w:id="51" w:name="_Toc217446040"/>
      <w:r>
        <w:rPr>
          <w:rFonts w:hint="eastAsia" w:ascii="仿宋" w:hAnsi="仿宋" w:eastAsia="仿宋" w:cs="仿宋"/>
          <w:b/>
          <w:bCs/>
          <w:color w:val="auto"/>
          <w:sz w:val="24"/>
          <w:szCs w:val="24"/>
          <w:highlight w:val="none"/>
          <w:lang w:val="en-US" w:eastAsia="zh-CN"/>
        </w:rPr>
        <w:t>（二）</w:t>
      </w:r>
      <w:r>
        <w:rPr>
          <w:rFonts w:hint="eastAsia" w:ascii="仿宋" w:hAnsi="仿宋" w:eastAsia="仿宋" w:cs="仿宋"/>
          <w:b/>
          <w:bCs/>
          <w:color w:val="auto"/>
          <w:sz w:val="24"/>
          <w:szCs w:val="24"/>
          <w:highlight w:val="none"/>
        </w:rPr>
        <w:t>招标文件的澄清</w:t>
      </w:r>
      <w:bookmarkEnd w:id="49"/>
      <w:bookmarkEnd w:id="50"/>
      <w:r>
        <w:rPr>
          <w:rFonts w:hint="eastAsia" w:ascii="仿宋" w:hAnsi="仿宋" w:eastAsia="仿宋" w:cs="仿宋"/>
          <w:b/>
          <w:bCs/>
          <w:color w:val="auto"/>
          <w:sz w:val="24"/>
          <w:szCs w:val="24"/>
          <w:highlight w:val="none"/>
        </w:rPr>
        <w:t>和修改</w:t>
      </w:r>
      <w:bookmarkEnd w:id="51"/>
    </w:p>
    <w:p w14:paraId="684B3209">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bookmarkStart w:id="52" w:name="_Toc77400780"/>
      <w:bookmarkStart w:id="53" w:name="_Toc217446042"/>
      <w:bookmarkStart w:id="54" w:name="_Toc22579"/>
      <w:bookmarkStart w:id="55" w:name="_Toc89075876"/>
      <w:bookmarkStart w:id="56" w:name="_Toc183582214"/>
      <w:bookmarkStart w:id="57" w:name="_Toc183682351"/>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提交投标文件截止之日前，采购人或采购代理机构可能对已发出的招标文件进行澄清或者修改，澄清或者修改的内容为招标文件的组成部分。</w:t>
      </w:r>
    </w:p>
    <w:p w14:paraId="03507974">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当需要澄清或修改时，采购代理机构将在提交投标文件截止之日15日前，在财政部门指定的“政府采购信息发布媒体”上发布变更公告；不足15日的，将顺延提交投标文件截止时间。</w:t>
      </w:r>
    </w:p>
    <w:p w14:paraId="0CFDB7FB">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澄清或修改的内容可能影响投标文件编制时，采购代理机构将在发布变更公告的同时，提醒</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下载答疑文件（*.SXSCF，即更新后的电子招标文件）。</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及时从西安市公共资源交易平台〖首页·〉电子交易平台·〉陕西政府采购交易系统·〉企业端〗登录，登录后切换到〖我的项目〗模块，从〖项目流程·〉项目管理·〉答疑文件下载〗获取更新后的电子招标文件（*.SXSCF），使用旧版电子招标文件制作的电子投标文件（*.SXSTF），系统将拒绝接收。</w:t>
      </w:r>
    </w:p>
    <w:p w14:paraId="5F26F03A">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请各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在提交投标文件截止时间之前，务必随时关注“政府采购信息发布媒体”上发布的变更公告，采购代理机构不再另行通知，因</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未及时关注所造成的一切后果由</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自行承担：</w:t>
      </w:r>
    </w:p>
    <w:p w14:paraId="04EB0CE0">
      <w:pPr>
        <w:keepNext w:val="0"/>
        <w:keepLines w:val="0"/>
        <w:pageBreakBefore w:val="0"/>
        <w:widowControl/>
        <w:numPr>
          <w:ilvl w:val="0"/>
          <w:numId w:val="0"/>
        </w:numPr>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bidi="ar-SA"/>
        </w:rPr>
        <w:t>（1）</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"http://www.ccgp-shaanxi.gov.cn"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陕西省政府采购网</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"http://www.ccgp-shaanxi.gov.cn/"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http://www.ccgp-shaanxi.gov.cn/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）中的〖首页·〉信息公告·〉市级·〉西安市〗；</w:t>
      </w:r>
    </w:p>
    <w:p w14:paraId="3B1779F5">
      <w:pPr>
        <w:keepNext w:val="0"/>
        <w:keepLines w:val="0"/>
        <w:pageBreakBefore w:val="0"/>
        <w:widowControl/>
        <w:numPr>
          <w:ilvl w:val="0"/>
          <w:numId w:val="0"/>
        </w:numPr>
        <w:tabs>
          <w:tab w:val="left" w:pos="7665"/>
        </w:tabs>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lang w:val="en-US" w:eastAsia="zh-CN" w:bidi="ar-SA"/>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"http://xa.sxggzyjy.cn/"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全国公共资源交易网（陕西省·西安市）</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"http://sxggzyjy.xa.gov.cn/"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http://sxggzyjy.xa.gov.cn/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）中的〖首页·〉交易大厅·〉政府采购〗。</w:t>
      </w:r>
    </w:p>
    <w:p w14:paraId="1BB702A0">
      <w:pPr>
        <w:pStyle w:val="3"/>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color w:val="auto"/>
          <w:sz w:val="28"/>
          <w:szCs w:val="28"/>
          <w:highlight w:val="none"/>
          <w:lang w:val="en-US" w:eastAsia="zh-CN"/>
        </w:rPr>
      </w:pPr>
      <w:bookmarkStart w:id="58" w:name="_Toc30502"/>
      <w:bookmarkStart w:id="59" w:name="_Toc30743"/>
      <w:bookmarkStart w:id="60" w:name="_Toc18019"/>
      <w:bookmarkStart w:id="61" w:name="_Toc22211"/>
      <w:r>
        <w:rPr>
          <w:rFonts w:hint="eastAsia" w:ascii="仿宋" w:hAnsi="仿宋" w:eastAsia="仿宋" w:cs="仿宋"/>
          <w:b/>
          <w:bCs/>
          <w:color w:val="auto"/>
          <w:sz w:val="32"/>
          <w:szCs w:val="32"/>
          <w:highlight w:val="none"/>
          <w:lang w:eastAsia="zh-CN"/>
        </w:rPr>
        <w:t>四、</w:t>
      </w:r>
      <w:r>
        <w:rPr>
          <w:rFonts w:hint="eastAsia" w:ascii="仿宋" w:hAnsi="仿宋" w:eastAsia="仿宋" w:cs="仿宋"/>
          <w:b/>
          <w:bCs/>
          <w:color w:val="auto"/>
          <w:sz w:val="32"/>
          <w:szCs w:val="32"/>
          <w:highlight w:val="none"/>
        </w:rPr>
        <w:t>投标文件</w:t>
      </w:r>
      <w:bookmarkEnd w:id="52"/>
      <w:bookmarkEnd w:id="53"/>
      <w:bookmarkEnd w:id="54"/>
      <w:bookmarkEnd w:id="55"/>
      <w:bookmarkEnd w:id="56"/>
      <w:bookmarkEnd w:id="57"/>
      <w:bookmarkEnd w:id="58"/>
      <w:bookmarkEnd w:id="59"/>
      <w:bookmarkEnd w:id="60"/>
      <w:bookmarkEnd w:id="61"/>
      <w:bookmarkStart w:id="62" w:name="_Toc183582216"/>
      <w:bookmarkStart w:id="63" w:name="_Toc217446044"/>
      <w:bookmarkStart w:id="64" w:name="_Toc17777"/>
      <w:bookmarkStart w:id="65" w:name="_Toc183682353"/>
    </w:p>
    <w:bookmarkEnd w:id="62"/>
    <w:bookmarkEnd w:id="63"/>
    <w:bookmarkEnd w:id="64"/>
    <w:bookmarkEnd w:id="65"/>
    <w:p w14:paraId="02A1D5B4">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val="0"/>
          <w:color w:val="auto"/>
          <w:sz w:val="24"/>
          <w:szCs w:val="24"/>
          <w:highlight w:val="none"/>
          <w:lang w:val="en-US" w:eastAsia="zh-CN"/>
        </w:rPr>
      </w:pPr>
      <w:bookmarkStart w:id="66" w:name="_Toc22477"/>
      <w:bookmarkStart w:id="67" w:name="_Toc217446046"/>
      <w:r>
        <w:rPr>
          <w:rFonts w:hint="eastAsia" w:ascii="仿宋" w:hAnsi="仿宋" w:eastAsia="仿宋" w:cs="仿宋"/>
          <w:b/>
          <w:bCs w:val="0"/>
          <w:color w:val="auto"/>
          <w:sz w:val="24"/>
          <w:szCs w:val="24"/>
          <w:highlight w:val="none"/>
          <w:lang w:val="en-US" w:eastAsia="zh-CN"/>
        </w:rPr>
        <w:t>（一）投标文件的编写原则和要求</w:t>
      </w:r>
      <w:bookmarkEnd w:id="66"/>
    </w:p>
    <w:p w14:paraId="008365D4">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1.</w:t>
      </w:r>
      <w:r>
        <w:rPr>
          <w:rFonts w:hint="eastAsia" w:ascii="仿宋" w:hAnsi="仿宋" w:eastAsia="仿宋" w:cs="仿宋"/>
          <w:bCs/>
          <w:color w:val="auto"/>
          <w:sz w:val="24"/>
          <w:szCs w:val="24"/>
          <w:highlight w:val="none"/>
        </w:rPr>
        <w:t>真实性原则</w:t>
      </w:r>
    </w:p>
    <w:p w14:paraId="499AEAC0">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1.1投标人</w:t>
      </w:r>
      <w:r>
        <w:rPr>
          <w:rFonts w:hint="eastAsia" w:ascii="仿宋" w:hAnsi="仿宋" w:eastAsia="仿宋" w:cs="仿宋"/>
          <w:bCs/>
          <w:color w:val="auto"/>
          <w:sz w:val="24"/>
          <w:szCs w:val="24"/>
          <w:highlight w:val="none"/>
        </w:rPr>
        <w:t>应保证所提供的</w:t>
      </w:r>
      <w:r>
        <w:rPr>
          <w:rFonts w:hint="eastAsia" w:ascii="仿宋" w:hAnsi="仿宋" w:eastAsia="仿宋" w:cs="仿宋"/>
          <w:bCs/>
          <w:color w:val="auto"/>
          <w:sz w:val="24"/>
          <w:szCs w:val="24"/>
          <w:highlight w:val="none"/>
          <w:lang w:eastAsia="zh-CN"/>
        </w:rPr>
        <w:t>投标</w:t>
      </w:r>
      <w:r>
        <w:rPr>
          <w:rFonts w:hint="eastAsia" w:ascii="仿宋" w:hAnsi="仿宋" w:eastAsia="仿宋" w:cs="仿宋"/>
          <w:bCs/>
          <w:color w:val="auto"/>
          <w:sz w:val="24"/>
          <w:szCs w:val="24"/>
          <w:highlight w:val="none"/>
        </w:rPr>
        <w:t>文件和所有资料真实、准确和完整。</w:t>
      </w:r>
    </w:p>
    <w:p w14:paraId="2F1B54D4">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1.2投标人</w:t>
      </w:r>
      <w:r>
        <w:rPr>
          <w:rFonts w:hint="eastAsia" w:ascii="仿宋" w:hAnsi="仿宋" w:eastAsia="仿宋" w:cs="仿宋"/>
          <w:bCs/>
          <w:color w:val="auto"/>
          <w:sz w:val="24"/>
          <w:szCs w:val="24"/>
          <w:highlight w:val="none"/>
        </w:rPr>
        <w:t>在政府采购过程中提供不真实的材料，无论其材料是否重要，采购人均有权取消其</w:t>
      </w:r>
      <w:r>
        <w:rPr>
          <w:rFonts w:hint="eastAsia" w:ascii="仿宋" w:hAnsi="仿宋" w:eastAsia="仿宋" w:cs="仿宋"/>
          <w:bCs/>
          <w:color w:val="auto"/>
          <w:sz w:val="24"/>
          <w:szCs w:val="24"/>
          <w:highlight w:val="none"/>
          <w:lang w:eastAsia="zh-CN"/>
        </w:rPr>
        <w:t>投标</w:t>
      </w: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lang w:eastAsia="zh-CN"/>
        </w:rPr>
        <w:t>中标</w:t>
      </w:r>
      <w:r>
        <w:rPr>
          <w:rFonts w:hint="eastAsia" w:ascii="仿宋" w:hAnsi="仿宋" w:eastAsia="仿宋" w:cs="仿宋"/>
          <w:bCs/>
          <w:color w:val="auto"/>
          <w:sz w:val="24"/>
          <w:szCs w:val="24"/>
          <w:highlight w:val="none"/>
        </w:rPr>
        <w:t>）资格，</w:t>
      </w:r>
      <w:r>
        <w:rPr>
          <w:rFonts w:hint="eastAsia" w:ascii="仿宋" w:hAnsi="仿宋" w:eastAsia="仿宋" w:cs="仿宋"/>
          <w:bCs/>
          <w:color w:val="auto"/>
          <w:sz w:val="24"/>
          <w:szCs w:val="24"/>
          <w:highlight w:val="none"/>
          <w:lang w:val="en-US" w:eastAsia="zh-CN"/>
        </w:rPr>
        <w:t>投标人</w:t>
      </w:r>
      <w:r>
        <w:rPr>
          <w:rFonts w:hint="eastAsia" w:ascii="仿宋" w:hAnsi="仿宋" w:eastAsia="仿宋" w:cs="仿宋"/>
          <w:bCs/>
          <w:color w:val="auto"/>
          <w:sz w:val="24"/>
          <w:szCs w:val="24"/>
          <w:highlight w:val="none"/>
        </w:rPr>
        <w:t>需承担相应的后果及法律责任。</w:t>
      </w:r>
    </w:p>
    <w:p w14:paraId="395222B1">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2.</w:t>
      </w:r>
      <w:r>
        <w:rPr>
          <w:rFonts w:hint="eastAsia" w:ascii="仿宋" w:hAnsi="仿宋" w:eastAsia="仿宋" w:cs="仿宋"/>
          <w:bCs/>
          <w:color w:val="auto"/>
          <w:sz w:val="24"/>
          <w:szCs w:val="24"/>
          <w:highlight w:val="none"/>
        </w:rPr>
        <w:t>语言文字</w:t>
      </w:r>
    </w:p>
    <w:p w14:paraId="5CEBB74F">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投标人</w:t>
      </w:r>
      <w:r>
        <w:rPr>
          <w:rFonts w:hint="eastAsia" w:ascii="仿宋" w:hAnsi="仿宋" w:eastAsia="仿宋" w:cs="仿宋"/>
          <w:bCs/>
          <w:color w:val="auto"/>
          <w:sz w:val="24"/>
          <w:szCs w:val="24"/>
          <w:highlight w:val="none"/>
        </w:rPr>
        <w:t>提交的</w:t>
      </w:r>
      <w:r>
        <w:rPr>
          <w:rFonts w:hint="eastAsia" w:ascii="仿宋" w:hAnsi="仿宋" w:eastAsia="仿宋" w:cs="仿宋"/>
          <w:bCs/>
          <w:color w:val="auto"/>
          <w:sz w:val="24"/>
          <w:szCs w:val="24"/>
          <w:highlight w:val="none"/>
          <w:lang w:eastAsia="zh-CN"/>
        </w:rPr>
        <w:t>投标</w:t>
      </w:r>
      <w:r>
        <w:rPr>
          <w:rFonts w:hint="eastAsia" w:ascii="仿宋" w:hAnsi="仿宋" w:eastAsia="仿宋" w:cs="仿宋"/>
          <w:bCs/>
          <w:color w:val="auto"/>
          <w:sz w:val="24"/>
          <w:szCs w:val="24"/>
          <w:highlight w:val="none"/>
        </w:rPr>
        <w:t>文件以及</w:t>
      </w:r>
      <w:r>
        <w:rPr>
          <w:rFonts w:hint="eastAsia" w:ascii="仿宋" w:hAnsi="仿宋" w:eastAsia="仿宋" w:cs="仿宋"/>
          <w:bCs/>
          <w:color w:val="auto"/>
          <w:sz w:val="24"/>
          <w:szCs w:val="24"/>
          <w:highlight w:val="none"/>
          <w:lang w:val="en-US" w:eastAsia="zh-CN"/>
        </w:rPr>
        <w:t>投标人</w:t>
      </w:r>
      <w:r>
        <w:rPr>
          <w:rFonts w:hint="eastAsia" w:ascii="仿宋" w:hAnsi="仿宋" w:eastAsia="仿宋" w:cs="仿宋"/>
          <w:bCs/>
          <w:color w:val="auto"/>
          <w:sz w:val="24"/>
          <w:szCs w:val="24"/>
          <w:highlight w:val="none"/>
        </w:rPr>
        <w:t>与采购代理机构就有关</w:t>
      </w:r>
      <w:r>
        <w:rPr>
          <w:rFonts w:hint="eastAsia" w:ascii="仿宋" w:hAnsi="仿宋" w:eastAsia="仿宋" w:cs="仿宋"/>
          <w:bCs/>
          <w:color w:val="auto"/>
          <w:sz w:val="24"/>
          <w:szCs w:val="24"/>
          <w:highlight w:val="none"/>
          <w:lang w:eastAsia="zh-CN"/>
        </w:rPr>
        <w:t>投标</w:t>
      </w:r>
      <w:r>
        <w:rPr>
          <w:rFonts w:hint="eastAsia" w:ascii="仿宋" w:hAnsi="仿宋" w:eastAsia="仿宋" w:cs="仿宋"/>
          <w:bCs/>
          <w:color w:val="auto"/>
          <w:sz w:val="24"/>
          <w:szCs w:val="24"/>
          <w:highlight w:val="none"/>
        </w:rPr>
        <w:t>的所有来往书面文件均须使用</w:t>
      </w:r>
      <w:r>
        <w:rPr>
          <w:rFonts w:hint="eastAsia" w:ascii="仿宋" w:hAnsi="仿宋" w:eastAsia="仿宋" w:cs="仿宋"/>
          <w:bCs/>
          <w:color w:val="auto"/>
          <w:sz w:val="24"/>
          <w:szCs w:val="24"/>
          <w:highlight w:val="none"/>
          <w:lang w:eastAsia="zh-CN"/>
        </w:rPr>
        <w:t>简体</w:t>
      </w:r>
      <w:r>
        <w:rPr>
          <w:rFonts w:hint="eastAsia" w:ascii="仿宋" w:hAnsi="仿宋" w:eastAsia="仿宋" w:cs="仿宋"/>
          <w:bCs/>
          <w:color w:val="auto"/>
          <w:sz w:val="24"/>
          <w:szCs w:val="24"/>
          <w:highlight w:val="none"/>
        </w:rPr>
        <w:t>中文。</w:t>
      </w:r>
    </w:p>
    <w:p w14:paraId="34E78225">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3.</w:t>
      </w:r>
      <w:r>
        <w:rPr>
          <w:rFonts w:hint="eastAsia" w:ascii="仿宋" w:hAnsi="仿宋" w:eastAsia="仿宋" w:cs="仿宋"/>
          <w:bCs/>
          <w:color w:val="auto"/>
          <w:sz w:val="24"/>
          <w:szCs w:val="24"/>
          <w:highlight w:val="none"/>
        </w:rPr>
        <w:t>计量单位</w:t>
      </w:r>
    </w:p>
    <w:p w14:paraId="4303CC8A">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eastAsia="zh-CN"/>
        </w:rPr>
        <w:t>招标</w:t>
      </w:r>
      <w:r>
        <w:rPr>
          <w:rFonts w:hint="eastAsia" w:ascii="仿宋" w:hAnsi="仿宋" w:eastAsia="仿宋" w:cs="仿宋"/>
          <w:bCs/>
          <w:color w:val="auto"/>
          <w:sz w:val="24"/>
          <w:szCs w:val="24"/>
          <w:highlight w:val="none"/>
        </w:rPr>
        <w:t>文件已有明确规定的，使用</w:t>
      </w:r>
      <w:r>
        <w:rPr>
          <w:rFonts w:hint="eastAsia" w:ascii="仿宋" w:hAnsi="仿宋" w:eastAsia="仿宋" w:cs="仿宋"/>
          <w:bCs/>
          <w:color w:val="auto"/>
          <w:sz w:val="24"/>
          <w:szCs w:val="24"/>
          <w:highlight w:val="none"/>
          <w:lang w:eastAsia="zh-CN"/>
        </w:rPr>
        <w:t>招标</w:t>
      </w:r>
      <w:r>
        <w:rPr>
          <w:rFonts w:hint="eastAsia" w:ascii="仿宋" w:hAnsi="仿宋" w:eastAsia="仿宋" w:cs="仿宋"/>
          <w:bCs/>
          <w:color w:val="auto"/>
          <w:sz w:val="24"/>
          <w:szCs w:val="24"/>
          <w:highlight w:val="none"/>
        </w:rPr>
        <w:t>文件规定的计量单位；</w:t>
      </w:r>
      <w:r>
        <w:rPr>
          <w:rFonts w:hint="eastAsia" w:ascii="仿宋" w:hAnsi="仿宋" w:eastAsia="仿宋" w:cs="仿宋"/>
          <w:bCs/>
          <w:color w:val="auto"/>
          <w:sz w:val="24"/>
          <w:szCs w:val="24"/>
          <w:highlight w:val="none"/>
          <w:lang w:eastAsia="zh-CN"/>
        </w:rPr>
        <w:t>招标</w:t>
      </w:r>
      <w:r>
        <w:rPr>
          <w:rFonts w:hint="eastAsia" w:ascii="仿宋" w:hAnsi="仿宋" w:eastAsia="仿宋" w:cs="仿宋"/>
          <w:bCs/>
          <w:color w:val="auto"/>
          <w:sz w:val="24"/>
          <w:szCs w:val="24"/>
          <w:highlight w:val="none"/>
        </w:rPr>
        <w:t>文件没有规定的，应采用中华人民共和国法定计量单位(国际单位制和国家选定的其他计量单位)。</w:t>
      </w:r>
    </w:p>
    <w:bookmarkEnd w:id="67"/>
    <w:p w14:paraId="15457CC5">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val="0"/>
          <w:color w:val="auto"/>
          <w:sz w:val="24"/>
          <w:szCs w:val="24"/>
          <w:highlight w:val="none"/>
          <w:lang w:val="en-US" w:eastAsia="zh-CN"/>
        </w:rPr>
      </w:pPr>
      <w:bookmarkStart w:id="68" w:name="_Toc183582217"/>
      <w:bookmarkStart w:id="69" w:name="_Toc183682354"/>
      <w:bookmarkStart w:id="70" w:name="_Toc217446048"/>
      <w:r>
        <w:rPr>
          <w:rFonts w:hint="eastAsia" w:ascii="仿宋" w:hAnsi="仿宋" w:eastAsia="仿宋" w:cs="仿宋"/>
          <w:b/>
          <w:bCs w:val="0"/>
          <w:color w:val="auto"/>
          <w:sz w:val="24"/>
          <w:szCs w:val="24"/>
          <w:highlight w:val="none"/>
          <w:lang w:val="en-US" w:eastAsia="zh-CN"/>
        </w:rPr>
        <w:t>（二）投标文件的组成</w:t>
      </w:r>
      <w:bookmarkEnd w:id="68"/>
      <w:bookmarkEnd w:id="69"/>
      <w:bookmarkEnd w:id="70"/>
    </w:p>
    <w:p w14:paraId="53DED6E0">
      <w:pPr>
        <w:keepNext w:val="0"/>
        <w:keepLines w:val="0"/>
        <w:pageBreakBefore w:val="0"/>
        <w:widowControl w:val="0"/>
        <w:kinsoku/>
        <w:wordWrap/>
        <w:overflowPunct/>
        <w:topLinePunct w:val="0"/>
        <w:autoSpaceDE/>
        <w:autoSpaceDN/>
        <w:bidi w:val="0"/>
        <w:adjustRightInd/>
        <w:snapToGrid/>
        <w:spacing w:line="360" w:lineRule="auto"/>
        <w:ind w:left="0" w:leftChars="0" w:right="0" w:firstLine="470" w:firstLineChars="196"/>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1.投标人</w:t>
      </w:r>
      <w:r>
        <w:rPr>
          <w:rFonts w:hint="eastAsia" w:ascii="仿宋" w:hAnsi="仿宋" w:eastAsia="仿宋" w:cs="仿宋"/>
          <w:color w:val="auto"/>
          <w:sz w:val="24"/>
          <w:szCs w:val="24"/>
          <w:highlight w:val="none"/>
        </w:rPr>
        <w:t>应按照招标文件的规定和要求编制投标文件。</w:t>
      </w:r>
      <w:r>
        <w:rPr>
          <w:rFonts w:hint="eastAsia" w:ascii="仿宋" w:hAnsi="仿宋" w:eastAsia="仿宋" w:cs="仿宋"/>
          <w:color w:val="auto"/>
          <w:sz w:val="24"/>
          <w:szCs w:val="24"/>
          <w:highlight w:val="none"/>
          <w:lang w:eastAsia="zh-CN"/>
        </w:rPr>
        <w:t>投标人编制</w:t>
      </w:r>
      <w:r>
        <w:rPr>
          <w:rFonts w:hint="eastAsia" w:ascii="仿宋" w:hAnsi="仿宋" w:eastAsia="仿宋" w:cs="仿宋"/>
          <w:color w:val="auto"/>
          <w:sz w:val="24"/>
          <w:szCs w:val="24"/>
          <w:highlight w:val="none"/>
        </w:rPr>
        <w:t>的投标文件应包括下列部分：</w:t>
      </w:r>
    </w:p>
    <w:p w14:paraId="09536832">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第一部分  投标函</w:t>
      </w:r>
    </w:p>
    <w:p w14:paraId="1B845E4A">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第二部分  开标一览表</w:t>
      </w:r>
    </w:p>
    <w:p w14:paraId="51A52B9B">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第三部分  投标方案说明书</w:t>
      </w:r>
    </w:p>
    <w:p w14:paraId="14CAEB81">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第四部分  商务条款偏离表</w:t>
      </w:r>
    </w:p>
    <w:p w14:paraId="181BB8F4">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第五部分  供应商承诺书</w:t>
      </w:r>
    </w:p>
    <w:p w14:paraId="0C2C5AFD">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第六部分  资格证明文件</w:t>
      </w:r>
    </w:p>
    <w:p w14:paraId="3D0E8792">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第七部分  其他应说明的事项</w:t>
      </w:r>
    </w:p>
    <w:p w14:paraId="62448E9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（三）投标保证金</w:t>
      </w:r>
    </w:p>
    <w:p w14:paraId="7DE04549">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根据西安市财政局《关于促进政府采购公平竞争优化营商环境的通知》第三条之规定，服务商参与本项目招标活动时，免交投标保证金。</w:t>
      </w:r>
    </w:p>
    <w:p w14:paraId="42B0E3FA">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（四）投标报价</w:t>
      </w:r>
    </w:p>
    <w:p w14:paraId="0E0BDF03">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1.本项目投标报价为投标人完成采购范围内全部工作内容的含增值税报价，投标人漏报或不报，采购人将视为有关费用已包括在投标报价中而不予支付。所有投标均以人民币报价。</w:t>
      </w:r>
    </w:p>
    <w:p w14:paraId="68A895CF">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2.凡因投标人对招标阅读不深、理解不透、误解、疏漏、或因市场行情了解不清造成的后果和风险均由各投标人自负。</w:t>
      </w:r>
    </w:p>
    <w:p w14:paraId="365B9C84">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bCs/>
          <w:color w:val="auto"/>
          <w:kern w:val="2"/>
          <w:sz w:val="24"/>
          <w:szCs w:val="24"/>
          <w:highlight w:val="none"/>
          <w:lang w:val="en-US" w:eastAsia="zh-CN" w:bidi="ar-SA"/>
        </w:rPr>
        <w:t>3.采购人不接受具有附加条件的报价或多个方案的报价。</w:t>
      </w:r>
    </w:p>
    <w:p w14:paraId="52A9F157">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rPr>
      </w:pPr>
      <w:bookmarkStart w:id="71" w:name="_Toc183582224"/>
      <w:bookmarkStart w:id="72" w:name="_Toc217446051"/>
      <w:bookmarkStart w:id="73" w:name="_Toc183682361"/>
      <w:r>
        <w:rPr>
          <w:rFonts w:hint="eastAsia" w:ascii="仿宋" w:hAnsi="仿宋" w:eastAsia="仿宋" w:cs="仿宋"/>
          <w:b/>
          <w:bCs/>
          <w:color w:val="auto"/>
          <w:sz w:val="24"/>
          <w:szCs w:val="24"/>
          <w:highlight w:val="none"/>
          <w:lang w:val="en-US" w:eastAsia="zh-CN"/>
        </w:rPr>
        <w:t>（五）</w:t>
      </w:r>
      <w:r>
        <w:rPr>
          <w:rFonts w:hint="eastAsia" w:ascii="仿宋" w:hAnsi="仿宋" w:eastAsia="仿宋" w:cs="仿宋"/>
          <w:b/>
          <w:bCs/>
          <w:color w:val="auto"/>
          <w:sz w:val="24"/>
          <w:szCs w:val="24"/>
          <w:highlight w:val="none"/>
        </w:rPr>
        <w:t>投标有效期</w:t>
      </w:r>
      <w:bookmarkEnd w:id="71"/>
      <w:bookmarkEnd w:id="72"/>
      <w:bookmarkEnd w:id="73"/>
    </w:p>
    <w:p w14:paraId="07AB2089">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自投标文件递交截止时间起90</w:t>
      </w:r>
      <w:r>
        <w:rPr>
          <w:rFonts w:hint="eastAsia" w:ascii="仿宋" w:hAnsi="仿宋" w:eastAsia="仿宋" w:cs="仿宋"/>
          <w:color w:val="auto"/>
          <w:sz w:val="24"/>
          <w:szCs w:val="24"/>
          <w:highlight w:val="none"/>
          <w:lang w:eastAsia="zh-CN"/>
        </w:rPr>
        <w:t>日历天</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文件中的有效期不少于</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文件中载明的</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有效期。否则，其</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文件视为无效文件。中标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的投标文件有效期延长至合同执行完毕。</w:t>
      </w:r>
    </w:p>
    <w:p w14:paraId="505D7A7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特殊情况下，采购人可于投标有效期满之前要求</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同意延长有效期，要求与答复均应为书面形式。</w:t>
      </w:r>
    </w:p>
    <w:p w14:paraId="6F59BFAF">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bookmarkStart w:id="74" w:name="_Toc183582231"/>
      <w:bookmarkStart w:id="75" w:name="_Toc217446056"/>
      <w:bookmarkStart w:id="76" w:name="_Toc89075878"/>
      <w:bookmarkStart w:id="77" w:name="_Toc25590"/>
      <w:bookmarkStart w:id="78" w:name="_Toc77400782"/>
      <w:bookmarkStart w:id="79" w:name="_Toc183682368"/>
      <w:r>
        <w:rPr>
          <w:rFonts w:hint="eastAsia" w:ascii="仿宋" w:hAnsi="仿宋" w:eastAsia="仿宋" w:cs="仿宋"/>
          <w:b/>
          <w:bCs/>
          <w:color w:val="auto"/>
          <w:sz w:val="24"/>
          <w:szCs w:val="24"/>
          <w:highlight w:val="none"/>
          <w:lang w:val="en-US" w:eastAsia="zh-CN"/>
        </w:rPr>
        <w:t>（六）投标文件的制作和签章</w:t>
      </w:r>
    </w:p>
    <w:p w14:paraId="2C187A63">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电子投标文件（*.SXSTF）需要使用专用制作软件——“新点投标文件制作软件（陕西公共资源）”进行编制。软件下载地址及操作手册：见西安市公共资源交易平台〖首页〉服务指南〉下载专区〗中的《政府采购项目投标文件制作软件及操作手册》。</w:t>
      </w:r>
    </w:p>
    <w:p w14:paraId="3D6FAD98">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链接地址：</w:t>
      </w:r>
    </w:p>
    <w:p w14:paraId="4F0BD4AD">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"http://sxggzyjy.xa.gov.cn/fwzn/004003/20181115/4d59c184-e8f6-4d5a-a416-c2f6b0601e66.html"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http://sxggzyjy.xa.gov.cn/fwzn/004003/20181115/4d59c184-e8f6-4d5a-a416-c2f6b0601e66.html</w:t>
      </w:r>
      <w:r>
        <w:rPr>
          <w:rFonts w:hint="eastAsia" w:ascii="仿宋" w:hAnsi="仿宋" w:eastAsia="仿宋" w:cs="仿宋"/>
          <w:color w:val="auto"/>
          <w:sz w:val="24"/>
          <w:szCs w:val="24"/>
          <w:highlight w:val="none"/>
        </w:rPr>
        <w:fldChar w:fldCharType="end"/>
      </w:r>
    </w:p>
    <w:p w14:paraId="3625964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编制电子投标文件前，务必先做好电子招标文件的备份工作。然后按操作手册中给出的方法将电子招标文件（*.SXSZF）或答疑文件（*.SXSCF，即更新后的电子招标文件）导入制作软件，最后按照章节分别编制投标文件各个部分。</w:t>
      </w:r>
    </w:p>
    <w:p w14:paraId="512361BF">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再次提醒：</w:t>
      </w:r>
      <w:r>
        <w:rPr>
          <w:rFonts w:hint="eastAsia" w:ascii="仿宋" w:hAnsi="仿宋" w:eastAsia="仿宋" w:cs="仿宋"/>
          <w:color w:val="auto"/>
          <w:sz w:val="24"/>
          <w:szCs w:val="24"/>
          <w:highlight w:val="none"/>
        </w:rPr>
        <w:t>提交投标文件截止时间前，</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应随时留意“政府采购信息发布媒体”上可能发布的变更公告。若变更公告中明确注明本项目伴有变更文件的，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应登录企业端后，从〖项目流程·〉项目管理·〉答疑文件下载〗获取更新后的电子招标文件（*.SXSCF），使用旧版电子招标文件制作的电子投标文件（*.SXSTF），系统将拒绝接收。</w:t>
      </w:r>
    </w:p>
    <w:p w14:paraId="01A018B3">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电子投标文件制作过程中，需要法定代表人签字或盖章的地方，请使用“法人CA锁”进行签章；需要加盖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公章的地方，请使用“企业CA锁”进行签章。</w:t>
      </w:r>
    </w:p>
    <w:p w14:paraId="6CECBE4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若导出的PDF文件里看不到签章，请尝试使用专用制作软件中的“查看投标文件工具”打开未加密的电子投标文件重新导出。在制作过程中，如有其他技术性问题，请先翻阅操作手册，或致电软件开发商</w:t>
      </w:r>
      <w:r>
        <w:rPr>
          <w:rFonts w:hint="eastAsia" w:ascii="仿宋" w:hAnsi="仿宋" w:eastAsia="仿宋" w:cs="仿宋"/>
          <w:color w:val="auto"/>
          <w:sz w:val="24"/>
          <w:szCs w:val="24"/>
          <w:highlight w:val="none"/>
          <w:lang w:eastAsia="zh-CN"/>
        </w:rPr>
        <w:t>。</w:t>
      </w:r>
    </w:p>
    <w:p w14:paraId="630D7DDC">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（七）投标文件的加密和提交</w:t>
      </w:r>
    </w:p>
    <w:p w14:paraId="1BF111E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在生成电子投标文件时，需要使用CA锁对投标文件进行加密。</w:t>
      </w:r>
    </w:p>
    <w:p w14:paraId="0895AE19">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注意：加密投标文件和开标时解密投标文件应当使用同一CA，否则将会导致解密失败。</w:t>
      </w:r>
    </w:p>
    <w:p w14:paraId="5A34A8A3">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电子投标文件可于提交投标文件截止时间前任意时段，登录西安市公共资源交易平台〖首页·〉电子交易平台·〉企业端〗，登录后切换到〖我的项目〗模块下，依次点选〖项目流程·〉项目管理·〉上传响应文件〗，上传加密后的电子投标文件（*.SXSTF）。上传成功后，西安市公共资源交易平台政府采购系统将予以记录。</w:t>
      </w:r>
    </w:p>
    <w:p w14:paraId="1C488AE6">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上传文件有误或需要重新提交的，可先撤销已经上传的文件，然后重新上传新文件。</w:t>
      </w:r>
    </w:p>
    <w:p w14:paraId="333606A9">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（八）投标文件的补充、修改和撤回</w:t>
      </w:r>
    </w:p>
    <w:p w14:paraId="19DFB759">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人在提交投标文件截止时间前，可以对所提交的投标文件进行补充、修改或者撤回，并书面通知采购人、采购代理机构。补充、修改的内容作为投标文件的组成部分。补充、修改的内容与投标文件不一致的，以补充、修改的内容为准。</w:t>
      </w:r>
    </w:p>
    <w:p w14:paraId="1D5125A9">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对已提交的电子投标文件进行补充、修改的，应先从电子交易平台上撤回旧文件，再重新提交新文件；中标后提交的纸质文件（备案用）应从专用制作软件中直接打印，与电子投标文件保持一致，不允许补充和修改。</w:t>
      </w:r>
    </w:p>
    <w:p w14:paraId="209CAC9F">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（九）投标文件被拒绝接收的情形</w:t>
      </w:r>
    </w:p>
    <w:p w14:paraId="6204FA9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1.误投的或采用旧版电子招标文件制作的；</w:t>
      </w:r>
    </w:p>
    <w:p w14:paraId="67718C6C">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2.逾期提交电子投标文件的。</w:t>
      </w:r>
    </w:p>
    <w:p w14:paraId="14112A28">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（十）关于投标文件的雷同性分析</w:t>
      </w:r>
    </w:p>
    <w:p w14:paraId="1921CA60">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根据陕西省公共资源交易中心2021年7月22日印发的《关于在政府采购交易系统中开通标书雷同性分析功能的通知》，在符合性审查环节，将由评标委员会在评标系统中对投标人的电子投标文件进行雷同性分析。</w:t>
      </w:r>
    </w:p>
    <w:p w14:paraId="692A2B3B">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211D9F17">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若“文件制作机器码”一致，则表明不同投标投标人的电子投标文件出自同一台制作设备，根据《陕西省财政厅关于政府采购有关政策的复函》（陕财办采函〔2019〕18号），该情形可以视为投标人串通投标，其投标无效。</w:t>
      </w:r>
    </w:p>
    <w:p w14:paraId="7A5BD82C">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4"/>
          <w:szCs w:val="24"/>
          <w:highlight w:val="none"/>
          <w:lang w:val="en-US" w:eastAsia="zh-CN"/>
        </w:rPr>
        <w:t>若“文件创建标识码”一致，则表示不同投标人使用投标文件制作软件时，使用同一源工程文件，该情形建议由评标委员会结合项目情况综合判定。</w:t>
      </w:r>
    </w:p>
    <w:p w14:paraId="3F85E869">
      <w:pPr>
        <w:pStyle w:val="3"/>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8"/>
          <w:szCs w:val="28"/>
          <w:highlight w:val="none"/>
        </w:rPr>
      </w:pPr>
      <w:bookmarkStart w:id="80" w:name="_Toc23099"/>
      <w:bookmarkStart w:id="81" w:name="_Toc17189"/>
      <w:bookmarkStart w:id="82" w:name="_Toc5283"/>
      <w:bookmarkStart w:id="83" w:name="_Toc638"/>
      <w:r>
        <w:rPr>
          <w:rFonts w:hint="eastAsia" w:ascii="仿宋" w:hAnsi="仿宋" w:eastAsia="仿宋" w:cs="仿宋"/>
          <w:b/>
          <w:bCs/>
          <w:color w:val="auto"/>
          <w:sz w:val="32"/>
          <w:szCs w:val="32"/>
          <w:highlight w:val="none"/>
        </w:rPr>
        <w:t>五、开标和评标</w:t>
      </w:r>
      <w:bookmarkEnd w:id="74"/>
      <w:bookmarkEnd w:id="75"/>
      <w:bookmarkEnd w:id="76"/>
      <w:bookmarkEnd w:id="77"/>
      <w:bookmarkEnd w:id="78"/>
      <w:bookmarkEnd w:id="79"/>
      <w:bookmarkEnd w:id="80"/>
      <w:bookmarkEnd w:id="81"/>
      <w:bookmarkEnd w:id="82"/>
      <w:bookmarkEnd w:id="83"/>
    </w:p>
    <w:p w14:paraId="0B688B13">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lang w:val="en-US" w:eastAsia="zh-CN"/>
        </w:rPr>
      </w:pPr>
      <w:bookmarkStart w:id="84" w:name="_Toc217446058"/>
      <w:r>
        <w:rPr>
          <w:rFonts w:hint="eastAsia" w:ascii="仿宋" w:hAnsi="仿宋" w:eastAsia="仿宋" w:cs="仿宋"/>
          <w:b/>
          <w:bCs/>
          <w:color w:val="auto"/>
          <w:sz w:val="24"/>
          <w:szCs w:val="24"/>
          <w:highlight w:val="none"/>
          <w:lang w:val="en-US" w:eastAsia="zh-CN"/>
        </w:rPr>
        <w:t>（一）开标程序</w:t>
      </w:r>
      <w:bookmarkEnd w:id="84"/>
    </w:p>
    <w:p w14:paraId="0898E88A">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投标人无需抵达开标现场，即可在线实现开标、解密、澄清等操作。</w:t>
      </w:r>
    </w:p>
    <w:p w14:paraId="61279031">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1.投标人登录：开标前，请各投标人至少提前半小时登录西安市公共资源交易平台〖首页·〉不见面开标〗系统。</w:t>
      </w:r>
    </w:p>
    <w:p w14:paraId="3747CDF7">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2.主持人宣布开标：提交投标文件截止时间过后，系统将不再接收任何投标文件。</w:t>
      </w:r>
    </w:p>
    <w:p w14:paraId="2464A130">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解密投标文件：投标人在收到主持人“开始解密”指令后，应使用“加密该投标文件的CA锁（必须是同一把锁）”在线完成投标文件解密。除因【西安市公共资源交易中心】断电、断网、系统故障及其他不可抗力等因素，导致“不见面开标”系统无法正常运行外，投标人应在规定的解密时间内完成解密。</w:t>
      </w:r>
    </w:p>
    <w:p w14:paraId="527E7E85">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4.唱标：“不见面开标”系统将自动展示投标人名单及其投标报价。</w:t>
      </w:r>
    </w:p>
    <w:p w14:paraId="36C8DE87">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5.开标结束：进入评审环节。投标人请保持在线，评审期间评标委员会可能会要求投标人做相应的澄清。因投标人擅自离席造成的不利后果，由投标人自行承担。</w:t>
      </w:r>
    </w:p>
    <w:p w14:paraId="67FFD62F">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“不见面开标”系统操作说明：详见西安市公共资源交易平台〖首页·〉服务指南·〉下载专区〗中的《西安公共资源交易不见面开标大厅供应商操作手册》。链接地址：</w:t>
      </w: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HYPERLINK "http://sxggzyjy.xa.gov.cn/fwzn/004003/20200426/bc8b2c1e-abe2-4168-913c-68ff93345faf.html" </w:instrText>
      </w:r>
      <w:r>
        <w:rPr>
          <w:rFonts w:hint="eastAsia" w:ascii="仿宋" w:hAnsi="仿宋" w:eastAsia="仿宋" w:cs="仿宋"/>
          <w:color w:val="auto"/>
          <w:sz w:val="24"/>
          <w:szCs w:val="24"/>
          <w:highlight w:val="none"/>
          <w:lang w:val="en-US" w:eastAsia="zh-CN"/>
        </w:rPr>
        <w:fldChar w:fldCharType="separate"/>
      </w:r>
      <w:r>
        <w:rPr>
          <w:rFonts w:hint="eastAsia" w:ascii="仿宋" w:hAnsi="仿宋" w:eastAsia="仿宋" w:cs="仿宋"/>
          <w:color w:val="auto"/>
          <w:sz w:val="24"/>
          <w:szCs w:val="24"/>
          <w:highlight w:val="none"/>
          <w:lang w:val="en-US" w:eastAsia="zh-CN"/>
        </w:rPr>
        <w:t>http://sxggzyjy.xa.gov.cn/fwzn/004003/20200426/bc8b2c1e-abe2-4168-913c-68ff93345faf.html</w:t>
      </w:r>
      <w:r>
        <w:rPr>
          <w:rFonts w:hint="eastAsia" w:ascii="仿宋" w:hAnsi="仿宋" w:eastAsia="仿宋" w:cs="仿宋"/>
          <w:color w:val="auto"/>
          <w:sz w:val="24"/>
          <w:szCs w:val="24"/>
          <w:highlight w:val="none"/>
          <w:lang w:val="en-US" w:eastAsia="zh-CN"/>
        </w:rPr>
        <w:fldChar w:fldCharType="end"/>
      </w:r>
    </w:p>
    <w:p w14:paraId="5235753E">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（二）开标环节投标文件视为无效的情形：</w:t>
      </w:r>
    </w:p>
    <w:p w14:paraId="22590096">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1.投标人放弃或拒绝对电子投标文件进行解密的；</w:t>
      </w:r>
    </w:p>
    <w:p w14:paraId="529F1E4B">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2.因投标人自身原因，导致未在规定的解密时限内完整解密的，如忘带CA锁、或携带的CA锁与加密文件的CA锁不同、或使用旧版招标文件编制投标文件等情形；</w:t>
      </w:r>
    </w:p>
    <w:p w14:paraId="772F5929">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3.上传的电子投标文件无法正常打开的；</w:t>
      </w:r>
    </w:p>
    <w:p w14:paraId="13884AE9">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4.政府采购法律法规规定的其他无效情形</w:t>
      </w:r>
      <w:r>
        <w:rPr>
          <w:rFonts w:hint="eastAsia" w:ascii="仿宋" w:hAnsi="仿宋" w:eastAsia="仿宋" w:cs="仿宋"/>
          <w:color w:val="auto"/>
          <w:kern w:val="0"/>
          <w:sz w:val="24"/>
          <w:szCs w:val="24"/>
          <w:highlight w:val="none"/>
          <w:lang w:val="en-US" w:eastAsia="zh-CN"/>
        </w:rPr>
        <w:t>。</w:t>
      </w:r>
    </w:p>
    <w:p w14:paraId="2AD9C992">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lang w:val="en-US" w:eastAsia="zh-CN"/>
        </w:rPr>
        <w:t>（三）</w:t>
      </w:r>
      <w:r>
        <w:rPr>
          <w:rFonts w:hint="eastAsia" w:ascii="仿宋" w:hAnsi="仿宋" w:eastAsia="仿宋" w:cs="仿宋"/>
          <w:b/>
          <w:color w:val="auto"/>
          <w:kern w:val="0"/>
          <w:sz w:val="24"/>
          <w:szCs w:val="24"/>
          <w:highlight w:val="none"/>
        </w:rPr>
        <w:t>评标</w:t>
      </w:r>
      <w:r>
        <w:rPr>
          <w:rFonts w:hint="eastAsia" w:ascii="仿宋" w:hAnsi="仿宋" w:eastAsia="仿宋" w:cs="仿宋"/>
          <w:b/>
          <w:color w:val="auto"/>
          <w:kern w:val="0"/>
          <w:sz w:val="24"/>
          <w:szCs w:val="24"/>
          <w:highlight w:val="none"/>
          <w:lang w:eastAsia="zh-CN"/>
        </w:rPr>
        <w:t>委员会的组成</w:t>
      </w:r>
    </w:p>
    <w:p w14:paraId="6C5C7C37">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val="en-US" w:eastAsia="zh-CN"/>
        </w:rPr>
        <w:t>按照《中华人民共和国政府采购法》、《中华人民共和国政府采购法实施条例》和《政府采购货物和服务招标投标管理办法》等相关法律规定，依法组建评标委员会。评标委员会成员人数为5人</w:t>
      </w:r>
      <w:r>
        <w:rPr>
          <w:rFonts w:hint="eastAsia" w:ascii="仿宋" w:hAnsi="仿宋" w:eastAsia="仿宋" w:cs="仿宋"/>
          <w:color w:val="auto"/>
          <w:kern w:val="0"/>
          <w:sz w:val="24"/>
          <w:szCs w:val="24"/>
          <w:highlight w:val="none"/>
        </w:rPr>
        <w:t>。</w:t>
      </w:r>
    </w:p>
    <w:p w14:paraId="1089CAE1">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lang w:val="en-US" w:eastAsia="zh-CN"/>
        </w:rPr>
        <w:t>（四）</w:t>
      </w:r>
      <w:r>
        <w:rPr>
          <w:rFonts w:hint="eastAsia" w:ascii="仿宋" w:hAnsi="仿宋" w:eastAsia="仿宋" w:cs="仿宋"/>
          <w:b/>
          <w:color w:val="auto"/>
          <w:kern w:val="0"/>
          <w:sz w:val="24"/>
          <w:szCs w:val="24"/>
          <w:highlight w:val="none"/>
        </w:rPr>
        <w:t>评审现场人员的保密责任</w:t>
      </w:r>
    </w:p>
    <w:p w14:paraId="36E20E76">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在采购结果确定前，采购人、采购机构对评审委员会名单负有保密责任。评审委员会成员、采购人和采购代理机构工作人员、相关监督人员等与评审工作有关的人员，对评审情况以及在评审过程中获悉的国家秘密、商业秘密负有保密责任。</w:t>
      </w:r>
    </w:p>
    <w:p w14:paraId="243D0582">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lang w:val="en-US" w:eastAsia="zh-CN"/>
        </w:rPr>
        <w:t>（五）</w:t>
      </w:r>
      <w:r>
        <w:rPr>
          <w:rFonts w:hint="eastAsia" w:ascii="仿宋" w:hAnsi="仿宋" w:eastAsia="仿宋" w:cs="仿宋"/>
          <w:b/>
          <w:color w:val="auto"/>
          <w:kern w:val="0"/>
          <w:sz w:val="24"/>
          <w:szCs w:val="24"/>
          <w:highlight w:val="none"/>
        </w:rPr>
        <w:t>评标</w:t>
      </w:r>
      <w:r>
        <w:rPr>
          <w:rFonts w:hint="eastAsia" w:ascii="仿宋" w:hAnsi="仿宋" w:eastAsia="仿宋" w:cs="仿宋"/>
          <w:b/>
          <w:color w:val="auto"/>
          <w:kern w:val="0"/>
          <w:sz w:val="24"/>
          <w:szCs w:val="24"/>
          <w:highlight w:val="none"/>
          <w:lang w:eastAsia="zh-CN"/>
        </w:rPr>
        <w:t>办</w:t>
      </w:r>
      <w:r>
        <w:rPr>
          <w:rFonts w:hint="eastAsia" w:ascii="仿宋" w:hAnsi="仿宋" w:eastAsia="仿宋" w:cs="仿宋"/>
          <w:b/>
          <w:color w:val="auto"/>
          <w:kern w:val="0"/>
          <w:sz w:val="24"/>
          <w:szCs w:val="24"/>
          <w:highlight w:val="none"/>
        </w:rPr>
        <w:t>法</w:t>
      </w:r>
    </w:p>
    <w:p w14:paraId="336C8455">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按照《中华人民共和国政府采购法实施条例》和《政府采购货物和服务招标投标管理办法》的规定，本次评标采用综合评分法。</w:t>
      </w:r>
    </w:p>
    <w:p w14:paraId="7AA8FA82">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lang w:val="en-US" w:eastAsia="zh-CN"/>
        </w:rPr>
        <w:t>（六）</w:t>
      </w:r>
      <w:r>
        <w:rPr>
          <w:rFonts w:hint="eastAsia" w:ascii="仿宋" w:hAnsi="仿宋" w:eastAsia="仿宋" w:cs="仿宋"/>
          <w:b/>
          <w:color w:val="auto"/>
          <w:kern w:val="0"/>
          <w:sz w:val="24"/>
          <w:szCs w:val="24"/>
          <w:highlight w:val="none"/>
        </w:rPr>
        <w:t>评标程序</w:t>
      </w:r>
    </w:p>
    <w:p w14:paraId="06DD11DA">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按照初审（含资格审查和符合性审查）、澄清有关问题、详细评审、推荐中标候选人名单的工作程序进行评审。在上一步评审中，</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被按无效投标处理的，不进入下一步的评审。</w:t>
      </w:r>
    </w:p>
    <w:p w14:paraId="20153214">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投标文件的初审（含资格</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、符合性审查）</w:t>
      </w:r>
    </w:p>
    <w:p w14:paraId="1947A93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采购人或采购代理机构审查</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资格证明文件是否合格齐全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评标委员会审查投标文件是否</w:t>
      </w:r>
      <w:r>
        <w:rPr>
          <w:rFonts w:hint="eastAsia" w:ascii="仿宋" w:hAnsi="仿宋" w:eastAsia="仿宋" w:cs="仿宋"/>
          <w:color w:val="auto"/>
          <w:sz w:val="24"/>
          <w:szCs w:val="24"/>
          <w:highlight w:val="none"/>
          <w:lang w:eastAsia="zh-CN"/>
        </w:rPr>
        <w:t>满足招标文件的符合性要求。</w:t>
      </w:r>
    </w:p>
    <w:p w14:paraId="3F7B107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在详细评标之前，根据本须知的规定，评标委员会要审查每份投标文件是否实质上响应了招标文件的要求。对关键条文的偏离、保留或反对将被认为是实质上的偏离。评标委员会决定投标的响应性只根据投标文件本身的内容，而不寻求外部的证据。</w:t>
      </w:r>
    </w:p>
    <w:p w14:paraId="544B1A1C">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投标文件的详细评审</w:t>
      </w:r>
    </w:p>
    <w:p w14:paraId="2E4961D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2.1评标委员会应按照招标文件中规定的评标</w:t>
      </w:r>
      <w:r>
        <w:rPr>
          <w:rFonts w:hint="eastAsia" w:ascii="仿宋" w:hAnsi="仿宋" w:eastAsia="仿宋" w:cs="仿宋"/>
          <w:color w:val="auto"/>
          <w:sz w:val="24"/>
          <w:szCs w:val="24"/>
          <w:highlight w:val="none"/>
          <w:lang w:eastAsia="zh-CN"/>
        </w:rPr>
        <w:t>办</w:t>
      </w:r>
      <w:r>
        <w:rPr>
          <w:rFonts w:hint="eastAsia" w:ascii="仿宋" w:hAnsi="仿宋" w:eastAsia="仿宋" w:cs="仿宋"/>
          <w:color w:val="auto"/>
          <w:sz w:val="24"/>
          <w:szCs w:val="24"/>
          <w:highlight w:val="none"/>
        </w:rPr>
        <w:t>法和标准，对符合性审查合格的投标文件进行</w:t>
      </w:r>
      <w:r>
        <w:rPr>
          <w:rFonts w:hint="eastAsia" w:ascii="仿宋" w:hAnsi="仿宋" w:eastAsia="仿宋" w:cs="仿宋"/>
          <w:color w:val="auto"/>
          <w:sz w:val="24"/>
          <w:szCs w:val="24"/>
          <w:highlight w:val="none"/>
          <w:lang w:eastAsia="zh-CN"/>
        </w:rPr>
        <w:t>详细评审</w:t>
      </w:r>
      <w:r>
        <w:rPr>
          <w:rFonts w:hint="eastAsia" w:ascii="仿宋" w:hAnsi="仿宋" w:eastAsia="仿宋" w:cs="仿宋"/>
          <w:color w:val="auto"/>
          <w:sz w:val="24"/>
          <w:szCs w:val="24"/>
          <w:highlight w:val="none"/>
        </w:rPr>
        <w:t>，综合比较与评价。</w:t>
      </w:r>
    </w:p>
    <w:p w14:paraId="4BE2B31C">
      <w:pPr>
        <w:keepNext w:val="0"/>
        <w:keepLines w:val="0"/>
        <w:pageBreakBefore w:val="0"/>
        <w:widowControl w:val="0"/>
        <w:kinsoku/>
        <w:wordWrap/>
        <w:overflowPunct/>
        <w:topLinePunct w:val="0"/>
        <w:autoSpaceDE/>
        <w:autoSpaceDN/>
        <w:bidi w:val="0"/>
        <w:adjustRightInd/>
        <w:snapToGrid/>
        <w:spacing w:line="360" w:lineRule="auto"/>
        <w:ind w:left="0" w:leftChars="0"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2.2详细评审按照第五章“评标</w:t>
      </w:r>
      <w:r>
        <w:rPr>
          <w:rFonts w:hint="eastAsia" w:ascii="仿宋" w:hAnsi="仿宋" w:eastAsia="仿宋" w:cs="仿宋"/>
          <w:color w:val="auto"/>
          <w:sz w:val="24"/>
          <w:szCs w:val="24"/>
          <w:highlight w:val="none"/>
          <w:lang w:eastAsia="zh-CN"/>
        </w:rPr>
        <w:t>办</w:t>
      </w:r>
      <w:r>
        <w:rPr>
          <w:rFonts w:hint="eastAsia" w:ascii="仿宋" w:hAnsi="仿宋" w:eastAsia="仿宋" w:cs="仿宋"/>
          <w:color w:val="auto"/>
          <w:sz w:val="24"/>
          <w:szCs w:val="24"/>
          <w:highlight w:val="none"/>
        </w:rPr>
        <w:t>法”进行。</w:t>
      </w:r>
    </w:p>
    <w:p w14:paraId="0385B64B">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（七）</w:t>
      </w:r>
      <w:r>
        <w:rPr>
          <w:rFonts w:hint="eastAsia" w:ascii="仿宋" w:hAnsi="仿宋" w:eastAsia="仿宋" w:cs="仿宋"/>
          <w:b/>
          <w:bCs/>
          <w:color w:val="auto"/>
          <w:sz w:val="24"/>
          <w:szCs w:val="24"/>
          <w:highlight w:val="none"/>
        </w:rPr>
        <w:t>定标程序</w:t>
      </w:r>
    </w:p>
    <w:p w14:paraId="1AF5FB2D">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评标委员会根据评标</w:t>
      </w:r>
      <w:r>
        <w:rPr>
          <w:rFonts w:hint="eastAsia" w:ascii="仿宋" w:hAnsi="仿宋" w:eastAsia="仿宋" w:cs="仿宋"/>
          <w:color w:val="auto"/>
          <w:sz w:val="24"/>
          <w:szCs w:val="24"/>
          <w:highlight w:val="none"/>
          <w:lang w:eastAsia="zh-CN"/>
        </w:rPr>
        <w:t>办</w:t>
      </w:r>
      <w:r>
        <w:rPr>
          <w:rFonts w:hint="eastAsia" w:ascii="仿宋" w:hAnsi="仿宋" w:eastAsia="仿宋" w:cs="仿宋"/>
          <w:color w:val="auto"/>
          <w:sz w:val="24"/>
          <w:szCs w:val="24"/>
          <w:highlight w:val="none"/>
        </w:rPr>
        <w:t>法的规定对</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进行</w:t>
      </w:r>
      <w:r>
        <w:rPr>
          <w:rFonts w:hint="eastAsia" w:ascii="仿宋" w:hAnsi="仿宋" w:eastAsia="仿宋" w:cs="仿宋"/>
          <w:color w:val="auto"/>
          <w:sz w:val="24"/>
          <w:szCs w:val="24"/>
          <w:highlight w:val="none"/>
          <w:lang w:eastAsia="zh-CN"/>
        </w:rPr>
        <w:t>综合评审，按照评审得分由高到低顺序推荐前3名中标候选人，并编写评标报告。</w:t>
      </w:r>
    </w:p>
    <w:p w14:paraId="0896805F">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2.采购代理机构在评标结束后1个工作日内将评标报告送至采购人。采购人自收到评标报告之日起4个工作日内，在评标报告确定的中标候选人名单中按顺序确定中标人。</w:t>
      </w:r>
    </w:p>
    <w:p w14:paraId="0B25D0E3">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采购代理机构自中标人确定之日起</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个工作日内，在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陕西省政府采购网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西安市公共资源交易平台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上公告中标结果，招标文件随中标结果同时公告。</w:t>
      </w:r>
    </w:p>
    <w:p w14:paraId="612B564D">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rPr>
      </w:pPr>
      <w:bookmarkStart w:id="85" w:name="_Toc183682375"/>
      <w:bookmarkStart w:id="86" w:name="_Toc183582238"/>
      <w:bookmarkStart w:id="87" w:name="_Toc217446063"/>
      <w:r>
        <w:rPr>
          <w:rFonts w:hint="eastAsia" w:ascii="仿宋" w:hAnsi="仿宋" w:eastAsia="仿宋" w:cs="仿宋"/>
          <w:b/>
          <w:bCs/>
          <w:color w:val="auto"/>
          <w:sz w:val="24"/>
          <w:szCs w:val="24"/>
          <w:highlight w:val="none"/>
          <w:lang w:val="en-US" w:eastAsia="zh-CN"/>
        </w:rPr>
        <w:t>（八）</w:t>
      </w:r>
      <w:r>
        <w:rPr>
          <w:rFonts w:hint="eastAsia" w:ascii="仿宋" w:hAnsi="仿宋" w:eastAsia="仿宋" w:cs="仿宋"/>
          <w:b/>
          <w:bCs/>
          <w:color w:val="auto"/>
          <w:sz w:val="24"/>
          <w:szCs w:val="24"/>
          <w:highlight w:val="none"/>
        </w:rPr>
        <w:t>中标通知</w:t>
      </w:r>
      <w:bookmarkEnd w:id="85"/>
      <w:bookmarkEnd w:id="86"/>
      <w:r>
        <w:rPr>
          <w:rFonts w:hint="eastAsia" w:ascii="仿宋" w:hAnsi="仿宋" w:eastAsia="仿宋" w:cs="仿宋"/>
          <w:b/>
          <w:bCs/>
          <w:color w:val="auto"/>
          <w:sz w:val="24"/>
          <w:szCs w:val="24"/>
          <w:highlight w:val="none"/>
        </w:rPr>
        <w:t>书</w:t>
      </w:r>
      <w:bookmarkEnd w:id="87"/>
    </w:p>
    <w:p w14:paraId="79F65B61">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采购代理机构在发布中标公告</w:t>
      </w:r>
      <w:r>
        <w:rPr>
          <w:rFonts w:hint="eastAsia" w:ascii="仿宋" w:hAnsi="仿宋" w:eastAsia="仿宋" w:cs="仿宋"/>
          <w:color w:val="auto"/>
          <w:sz w:val="24"/>
          <w:szCs w:val="24"/>
          <w:highlight w:val="none"/>
          <w:lang w:eastAsia="zh-CN"/>
        </w:rPr>
        <w:t>的同时</w:t>
      </w:r>
      <w:r>
        <w:rPr>
          <w:rFonts w:hint="eastAsia" w:ascii="仿宋" w:hAnsi="仿宋" w:eastAsia="仿宋" w:cs="仿宋"/>
          <w:color w:val="auto"/>
          <w:sz w:val="24"/>
          <w:szCs w:val="24"/>
          <w:highlight w:val="none"/>
        </w:rPr>
        <w:t>向中标人发出《中标通知书》。</w:t>
      </w:r>
    </w:p>
    <w:p w14:paraId="58F3B294">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中标人在领取中标通知书时，</w:t>
      </w:r>
      <w:r>
        <w:rPr>
          <w:rFonts w:hint="eastAsia" w:ascii="仿宋" w:hAnsi="仿宋" w:eastAsia="仿宋" w:cs="仿宋"/>
          <w:color w:val="auto"/>
          <w:sz w:val="24"/>
          <w:szCs w:val="24"/>
          <w:highlight w:val="none"/>
          <w:lang w:eastAsia="zh-CN"/>
        </w:rPr>
        <w:t>采用现金或转账方式</w:t>
      </w:r>
      <w:r>
        <w:rPr>
          <w:rFonts w:hint="eastAsia" w:ascii="仿宋" w:hAnsi="仿宋" w:eastAsia="仿宋" w:cs="仿宋"/>
          <w:color w:val="auto"/>
          <w:sz w:val="24"/>
          <w:szCs w:val="24"/>
          <w:highlight w:val="none"/>
        </w:rPr>
        <w:t>向采购代理机构一次性支付代理服务费</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rPr>
        <w:t>(具体收费标准，详见</w:t>
      </w:r>
      <w:r>
        <w:rPr>
          <w:rFonts w:hint="eastAsia" w:ascii="仿宋" w:hAnsi="仿宋" w:eastAsia="仿宋" w:cs="仿宋"/>
          <w:b w:val="0"/>
          <w:bCs w:val="0"/>
          <w:color w:val="auto"/>
          <w:sz w:val="24"/>
          <w:szCs w:val="24"/>
          <w:highlight w:val="none"/>
          <w:lang w:eastAsia="zh-CN"/>
        </w:rPr>
        <w:t>投标人</w:t>
      </w:r>
      <w:r>
        <w:rPr>
          <w:rFonts w:hint="eastAsia" w:ascii="仿宋" w:hAnsi="仿宋" w:eastAsia="仿宋" w:cs="仿宋"/>
          <w:b w:val="0"/>
          <w:bCs w:val="0"/>
          <w:color w:val="auto"/>
          <w:sz w:val="24"/>
          <w:szCs w:val="24"/>
          <w:highlight w:val="none"/>
        </w:rPr>
        <w:t>须知前附表)</w:t>
      </w:r>
      <w:r>
        <w:rPr>
          <w:rFonts w:hint="eastAsia" w:ascii="仿宋" w:hAnsi="仿宋" w:eastAsia="仿宋" w:cs="仿宋"/>
          <w:color w:val="auto"/>
          <w:sz w:val="24"/>
          <w:szCs w:val="24"/>
          <w:highlight w:val="none"/>
        </w:rPr>
        <w:t>。</w:t>
      </w:r>
      <w:r>
        <w:rPr>
          <w:rFonts w:hint="eastAsia" w:ascii="仿宋" w:hAnsi="仿宋" w:eastAsia="仿宋" w:cs="仿宋"/>
          <w:b/>
          <w:bCs/>
          <w:color w:val="auto"/>
          <w:kern w:val="0"/>
          <w:sz w:val="24"/>
          <w:szCs w:val="24"/>
          <w:highlight w:val="none"/>
          <w:lang w:val="en-US" w:eastAsia="zh-CN" w:bidi="ar-SA"/>
        </w:rPr>
        <w:t>中标人在领取中标通知书时提供一正两副纸质投标文件和电子版投标文件1份（U盘存储）用于备案。注：中标后提交的纸质文件（备案用）应当从专用制作软件中直接打印，与电子投标文件保持一致，不允许补充和修改。</w:t>
      </w:r>
    </w:p>
    <w:p w14:paraId="0EBAAC8C">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lang w:val="en-US" w:eastAsia="zh-CN"/>
        </w:rPr>
      </w:pPr>
      <w:bookmarkStart w:id="88" w:name="_Toc321812017"/>
      <w:bookmarkStart w:id="89" w:name="_Toc290389705"/>
      <w:bookmarkStart w:id="90" w:name="_Toc324521814"/>
      <w:bookmarkStart w:id="91" w:name="_Toc184635078"/>
      <w:r>
        <w:rPr>
          <w:rFonts w:hint="eastAsia" w:ascii="仿宋" w:hAnsi="仿宋" w:eastAsia="仿宋" w:cs="仿宋"/>
          <w:b/>
          <w:bCs/>
          <w:color w:val="auto"/>
          <w:sz w:val="24"/>
          <w:szCs w:val="24"/>
          <w:highlight w:val="none"/>
          <w:lang w:val="en-US" w:eastAsia="zh-CN"/>
        </w:rPr>
        <w:t>（九）重新招标</w:t>
      </w:r>
      <w:bookmarkEnd w:id="88"/>
      <w:bookmarkEnd w:id="89"/>
      <w:bookmarkEnd w:id="90"/>
      <w:bookmarkEnd w:id="91"/>
      <w:r>
        <w:rPr>
          <w:rFonts w:hint="eastAsia" w:ascii="仿宋" w:hAnsi="仿宋" w:eastAsia="仿宋" w:cs="仿宋"/>
          <w:b/>
          <w:bCs/>
          <w:color w:val="auto"/>
          <w:sz w:val="24"/>
          <w:szCs w:val="24"/>
          <w:highlight w:val="none"/>
          <w:lang w:val="en-US" w:eastAsia="zh-CN"/>
        </w:rPr>
        <w:t>或采用其他方式继续采购</w:t>
      </w:r>
    </w:p>
    <w:p w14:paraId="7590BB3D">
      <w:pPr>
        <w:keepNext w:val="0"/>
        <w:keepLines w:val="0"/>
        <w:pageBreakBefore w:val="0"/>
        <w:kinsoku/>
        <w:wordWrap/>
        <w:overflowPunct/>
        <w:topLinePunct w:val="0"/>
        <w:autoSpaceDE/>
        <w:autoSpaceDN/>
        <w:bidi w:val="0"/>
        <w:adjustRightInd/>
        <w:snapToGrid/>
        <w:spacing w:line="360" w:lineRule="auto"/>
        <w:ind w:left="0" w:leftChars="0" w:firstLine="600" w:firstLineChars="250"/>
        <w:textAlignment w:val="auto"/>
        <w:rPr>
          <w:rFonts w:hint="eastAsia" w:ascii="仿宋" w:hAnsi="仿宋" w:eastAsia="仿宋" w:cs="仿宋"/>
          <w:b/>
          <w:bCs/>
          <w:color w:val="auto"/>
          <w:sz w:val="24"/>
          <w:szCs w:val="24"/>
          <w:highlight w:val="none"/>
        </w:rPr>
      </w:pPr>
      <w:bookmarkStart w:id="92" w:name="_Toc217446072"/>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废标的情形</w:t>
      </w:r>
      <w:bookmarkEnd w:id="92"/>
    </w:p>
    <w:p w14:paraId="344C26D4">
      <w:pPr>
        <w:keepNext w:val="0"/>
        <w:keepLines w:val="0"/>
        <w:pageBreakBefore w:val="0"/>
        <w:kinsoku/>
        <w:wordWrap/>
        <w:overflowPunct/>
        <w:topLinePunct w:val="0"/>
        <w:autoSpaceDE/>
        <w:autoSpaceDN/>
        <w:bidi w:val="0"/>
        <w:adjustRightInd/>
        <w:snapToGrid/>
        <w:spacing w:line="360" w:lineRule="auto"/>
        <w:ind w:left="0" w:leftChars="0"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 招标采购中，出现下列情形之一的，应予以废标：</w:t>
      </w:r>
    </w:p>
    <w:p w14:paraId="7E66BB6A">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（1）符合专业条件的投标人或者对招标文件作实质响应的投标人不足3家的；</w:t>
      </w:r>
    </w:p>
    <w:p w14:paraId="3D0A9BA8">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（2）出现影响采购公正的违法、违规行为的；</w:t>
      </w:r>
    </w:p>
    <w:p w14:paraId="062C23E9">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（3）投标人的报价均超过了采购预算或最高限价，采购人不能支付的；</w:t>
      </w:r>
    </w:p>
    <w:p w14:paraId="453662A4">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（4）因重大变故，采购任务取消的。</w:t>
      </w:r>
    </w:p>
    <w:p w14:paraId="388CD0AD">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firstLine="720" w:firstLine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 废标后，采购代理机构</w:t>
      </w:r>
      <w:r>
        <w:rPr>
          <w:rFonts w:hint="eastAsia" w:ascii="仿宋" w:hAnsi="仿宋" w:eastAsia="仿宋" w:cs="仿宋"/>
          <w:color w:val="auto"/>
          <w:sz w:val="24"/>
          <w:szCs w:val="24"/>
          <w:highlight w:val="none"/>
          <w:lang w:eastAsia="zh-CN"/>
        </w:rPr>
        <w:t>在</w:t>
      </w:r>
      <w:r>
        <w:rPr>
          <w:rFonts w:hint="eastAsia" w:ascii="仿宋" w:hAnsi="仿宋" w:eastAsia="仿宋" w:cs="仿宋"/>
          <w:color w:val="auto"/>
          <w:kern w:val="2"/>
          <w:sz w:val="24"/>
          <w:szCs w:val="24"/>
          <w:highlight w:val="none"/>
          <w:lang w:val="en-US" w:eastAsia="zh-CN" w:bidi="ar-SA"/>
        </w:rPr>
        <w:t>《陕西省政府采购网》、全国公共资源交易平台（陕西省·西安市）发布废标</w:t>
      </w:r>
      <w:r>
        <w:rPr>
          <w:rFonts w:hint="eastAsia" w:ascii="仿宋" w:hAnsi="仿宋" w:eastAsia="仿宋" w:cs="仿宋"/>
          <w:color w:val="auto"/>
          <w:sz w:val="24"/>
          <w:szCs w:val="24"/>
          <w:highlight w:val="none"/>
        </w:rPr>
        <w:t>公告</w:t>
      </w:r>
      <w:r>
        <w:rPr>
          <w:rFonts w:hint="eastAsia" w:ascii="仿宋" w:hAnsi="仿宋" w:eastAsia="仿宋" w:cs="仿宋"/>
          <w:color w:val="auto"/>
          <w:sz w:val="24"/>
          <w:szCs w:val="24"/>
          <w:highlight w:val="none"/>
          <w:lang w:eastAsia="zh-CN"/>
        </w:rPr>
        <w:t>及废标原因</w:t>
      </w:r>
      <w:r>
        <w:rPr>
          <w:rFonts w:hint="eastAsia" w:ascii="仿宋" w:hAnsi="仿宋" w:eastAsia="仿宋" w:cs="仿宋"/>
          <w:color w:val="auto"/>
          <w:sz w:val="24"/>
          <w:szCs w:val="24"/>
          <w:highlight w:val="none"/>
        </w:rPr>
        <w:t>。</w:t>
      </w:r>
    </w:p>
    <w:p w14:paraId="6B4FFC5A">
      <w:pPr>
        <w:keepNext w:val="0"/>
        <w:keepLines w:val="0"/>
        <w:pageBreakBefore w:val="0"/>
        <w:kinsoku/>
        <w:wordWrap/>
        <w:overflowPunct/>
        <w:topLinePunct w:val="0"/>
        <w:autoSpaceDE/>
        <w:autoSpaceDN/>
        <w:bidi w:val="0"/>
        <w:adjustRightInd/>
        <w:snapToGrid/>
        <w:spacing w:line="360" w:lineRule="auto"/>
        <w:ind w:left="0" w:leftChars="0" w:firstLine="600" w:firstLineChars="25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 xml:space="preserve"> 变更采购方式</w:t>
      </w:r>
    </w:p>
    <w:p w14:paraId="047D82DA">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4"/>
          <w:szCs w:val="24"/>
          <w:highlight w:val="none"/>
        </w:rPr>
        <w:t>2.1 在递交投标文件阶段、密封性等形式检查阶段、资格审查阶段或评标委员会评标阶段，当出现有效投标服务商不足3家时，本项目将依据西安市财政局《关于进一步规范市级预算单位变更政府采购人式审批管理的通知》（市财发〔2017〕186号）的有关规定，按政府采购监管部门事前批准的采购</w:t>
      </w:r>
      <w:r>
        <w:rPr>
          <w:rFonts w:hint="eastAsia" w:ascii="仿宋" w:hAnsi="仿宋" w:eastAsia="仿宋" w:cs="仿宋"/>
          <w:color w:val="auto"/>
          <w:sz w:val="24"/>
          <w:szCs w:val="24"/>
          <w:highlight w:val="none"/>
          <w:lang w:val="en-US" w:eastAsia="zh-CN"/>
        </w:rPr>
        <w:t>方</w:t>
      </w:r>
      <w:r>
        <w:rPr>
          <w:rFonts w:hint="eastAsia" w:ascii="仿宋" w:hAnsi="仿宋" w:eastAsia="仿宋" w:cs="仿宋"/>
          <w:color w:val="auto"/>
          <w:sz w:val="24"/>
          <w:szCs w:val="24"/>
          <w:highlight w:val="none"/>
        </w:rPr>
        <w:t>式继续进行。</w:t>
      </w:r>
    </w:p>
    <w:p w14:paraId="6460134E">
      <w:pPr>
        <w:pStyle w:val="3"/>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color w:val="auto"/>
          <w:sz w:val="28"/>
          <w:szCs w:val="28"/>
          <w:highlight w:val="none"/>
        </w:rPr>
      </w:pPr>
      <w:bookmarkStart w:id="93" w:name="_Toc9829"/>
      <w:bookmarkStart w:id="94" w:name="_Toc10878"/>
      <w:bookmarkStart w:id="95" w:name="_Toc11901"/>
      <w:bookmarkStart w:id="96" w:name="_Toc474"/>
      <w:bookmarkStart w:id="97" w:name="_Toc8789"/>
      <w:r>
        <w:rPr>
          <w:rFonts w:hint="eastAsia" w:ascii="仿宋" w:hAnsi="仿宋" w:eastAsia="仿宋" w:cs="仿宋"/>
          <w:b/>
          <w:bCs/>
          <w:color w:val="auto"/>
          <w:sz w:val="32"/>
          <w:szCs w:val="32"/>
          <w:highlight w:val="none"/>
        </w:rPr>
        <w:t>六、质疑和投诉</w:t>
      </w:r>
      <w:bookmarkEnd w:id="93"/>
      <w:bookmarkEnd w:id="94"/>
      <w:bookmarkEnd w:id="95"/>
      <w:bookmarkEnd w:id="96"/>
      <w:bookmarkEnd w:id="97"/>
      <w:bookmarkStart w:id="98" w:name="_Toc217446079"/>
    </w:p>
    <w:p w14:paraId="7FA21A11">
      <w:pPr>
        <w:keepNext w:val="0"/>
        <w:keepLines w:val="0"/>
        <w:pageBreakBefore w:val="0"/>
        <w:kinsoku/>
        <w:wordWrap/>
        <w:overflowPunct/>
        <w:topLinePunct w:val="0"/>
        <w:autoSpaceDE/>
        <w:autoSpaceDN/>
        <w:bidi w:val="0"/>
        <w:adjustRightInd/>
        <w:snapToGrid/>
        <w:spacing w:line="360" w:lineRule="auto"/>
        <w:textAlignment w:val="auto"/>
        <w:outlineLvl w:val="2"/>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（一）</w:t>
      </w:r>
      <w:r>
        <w:rPr>
          <w:rFonts w:hint="eastAsia" w:ascii="仿宋" w:hAnsi="仿宋" w:eastAsia="仿宋" w:cs="仿宋"/>
          <w:b/>
          <w:bCs/>
          <w:color w:val="auto"/>
          <w:sz w:val="24"/>
          <w:szCs w:val="24"/>
          <w:highlight w:val="none"/>
          <w:lang w:eastAsia="zh-CN"/>
        </w:rPr>
        <w:t>质疑</w:t>
      </w:r>
    </w:p>
    <w:bookmarkEnd w:id="98"/>
    <w:p w14:paraId="303572AE">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1.投标人须在法定质疑期内一次性提出针对同一采购程序环节的质疑。</w:t>
      </w:r>
    </w:p>
    <w:p w14:paraId="701B412C">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2.投标人认为采购文件、采购过程、中标或者成交结果使自己的权益受到损害的，可以在知道或者应知其权益受到损害之日起7个工作日内，以书面形式向采购人、采购代理机构提出质疑，否则不予接受。</w:t>
      </w:r>
    </w:p>
    <w:p w14:paraId="50AA1862">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en-US"/>
        </w:rPr>
        <w:t>质疑人可以授权代表办理质疑事项，授权代表办理质疑事项时，除递交质疑函外，还应当递交质疑人的授权委托书及授权代表的有效身份证明，授权委托书应当载明委托代理的具体权限和事项。质疑</w:t>
      </w:r>
      <w:r>
        <w:rPr>
          <w:rFonts w:hint="eastAsia" w:ascii="仿宋" w:hAnsi="仿宋" w:eastAsia="仿宋" w:cs="仿宋"/>
          <w:color w:val="auto"/>
          <w:sz w:val="24"/>
          <w:szCs w:val="24"/>
          <w:highlight w:val="none"/>
          <w:lang w:val="en-US" w:eastAsia="zh-CN"/>
        </w:rPr>
        <w:t>函</w:t>
      </w:r>
      <w:r>
        <w:rPr>
          <w:rFonts w:hint="eastAsia" w:ascii="仿宋" w:hAnsi="仿宋" w:eastAsia="仿宋" w:cs="仿宋"/>
          <w:color w:val="auto"/>
          <w:sz w:val="24"/>
          <w:szCs w:val="24"/>
          <w:highlight w:val="none"/>
          <w:lang w:val="en-US"/>
        </w:rPr>
        <w:t>公章不得以合同章或其他印章代替。</w:t>
      </w:r>
    </w:p>
    <w:p w14:paraId="2BF00F12">
      <w:pPr>
        <w:keepNext w:val="0"/>
        <w:keepLines w:val="0"/>
        <w:pageBreakBefore w:val="0"/>
        <w:widowControl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质疑函内容按照财政部令第94号规定执行。质疑函范本格式在中国政府采购网站（http://www.ccgp.gov.cn/）自行下载。</w:t>
      </w:r>
    </w:p>
    <w:p w14:paraId="29DA95D2">
      <w:pPr>
        <w:keepNext w:val="0"/>
        <w:keepLines w:val="0"/>
        <w:pageBreakBefore w:val="0"/>
        <w:widowControl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有下列情形之一的，属于无效质疑：</w:t>
      </w:r>
    </w:p>
    <w:p w14:paraId="70BC7F10">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（1）质疑人不是参与本次政府采购项目的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p>
    <w:p w14:paraId="0507D02E">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（2）质疑人与质疑事项不存在利害关系的；</w:t>
      </w:r>
    </w:p>
    <w:p w14:paraId="21BA6D3F">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（3）未在法定期限内提出质疑的；</w:t>
      </w:r>
    </w:p>
    <w:p w14:paraId="33F69DEA">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（4）质疑未以书面形式提出，以传真、电子邮件、移动通信等形式提交的质疑材料；</w:t>
      </w:r>
    </w:p>
    <w:p w14:paraId="36C0D3F2">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（5）质疑未按质疑函范本格式提出的；</w:t>
      </w:r>
    </w:p>
    <w:p w14:paraId="329B9E32">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（6）质疑</w:t>
      </w:r>
      <w:r>
        <w:rPr>
          <w:rFonts w:hint="eastAsia" w:ascii="仿宋" w:hAnsi="仿宋" w:eastAsia="仿宋" w:cs="仿宋"/>
          <w:color w:val="auto"/>
          <w:sz w:val="24"/>
          <w:szCs w:val="24"/>
          <w:highlight w:val="none"/>
          <w:lang w:eastAsia="zh-CN"/>
        </w:rPr>
        <w:t>函</w:t>
      </w:r>
      <w:r>
        <w:rPr>
          <w:rFonts w:hint="eastAsia" w:ascii="仿宋" w:hAnsi="仿宋" w:eastAsia="仿宋" w:cs="仿宋"/>
          <w:color w:val="auto"/>
          <w:sz w:val="24"/>
          <w:szCs w:val="24"/>
          <w:highlight w:val="none"/>
        </w:rPr>
        <w:t>主要内容构成不完整的；</w:t>
      </w:r>
    </w:p>
    <w:p w14:paraId="78491EF0">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（7）质疑</w:t>
      </w:r>
      <w:r>
        <w:rPr>
          <w:rFonts w:hint="eastAsia" w:ascii="仿宋" w:hAnsi="仿宋" w:eastAsia="仿宋" w:cs="仿宋"/>
          <w:color w:val="auto"/>
          <w:sz w:val="24"/>
          <w:szCs w:val="24"/>
          <w:highlight w:val="none"/>
          <w:lang w:eastAsia="zh-CN"/>
        </w:rPr>
        <w:t>函</w:t>
      </w:r>
      <w:r>
        <w:rPr>
          <w:rFonts w:hint="eastAsia" w:ascii="仿宋" w:hAnsi="仿宋" w:eastAsia="仿宋" w:cs="仿宋"/>
          <w:color w:val="auto"/>
          <w:sz w:val="24"/>
          <w:szCs w:val="24"/>
          <w:highlight w:val="none"/>
        </w:rPr>
        <w:t>没有合法有效的签字、盖章或授权的；</w:t>
      </w:r>
    </w:p>
    <w:p w14:paraId="0EAD60DB">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（8）以非法手段取得证据、材料的；</w:t>
      </w:r>
    </w:p>
    <w:p w14:paraId="5F3F156C">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（9）质疑答复后，同一质疑人就同一事项再次提出质疑的；</w:t>
      </w:r>
    </w:p>
    <w:p w14:paraId="076ADA8A">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（10）不符合法律、法规、规章和政府采购监管机构规定的其他条件的。</w:t>
      </w:r>
    </w:p>
    <w:p w14:paraId="3A2F6975">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其他需要说明的事项</w:t>
      </w:r>
    </w:p>
    <w:p w14:paraId="34A83270">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（1）递交质疑函的方式：质疑函以书面形式由其法定代表人或</w:t>
      </w:r>
      <w:r>
        <w:rPr>
          <w:rFonts w:hint="eastAsia" w:ascii="仿宋" w:hAnsi="仿宋" w:eastAsia="仿宋" w:cs="仿宋"/>
          <w:color w:val="auto"/>
          <w:sz w:val="24"/>
          <w:szCs w:val="24"/>
          <w:highlight w:val="none"/>
          <w:lang w:eastAsia="zh-CN"/>
        </w:rPr>
        <w:t>授权代表</w:t>
      </w:r>
      <w:r>
        <w:rPr>
          <w:rFonts w:hint="eastAsia" w:ascii="仿宋" w:hAnsi="仿宋" w:eastAsia="仿宋" w:cs="仿宋"/>
          <w:color w:val="auto"/>
          <w:sz w:val="24"/>
          <w:szCs w:val="24"/>
          <w:highlight w:val="none"/>
        </w:rPr>
        <w:t>递交到采购代理机构</w:t>
      </w:r>
      <w:r>
        <w:rPr>
          <w:rFonts w:hint="eastAsia" w:ascii="仿宋" w:hAnsi="仿宋" w:eastAsia="仿宋" w:cs="仿宋"/>
          <w:color w:val="auto"/>
          <w:sz w:val="24"/>
          <w:szCs w:val="24"/>
          <w:highlight w:val="none"/>
          <w:lang w:eastAsia="zh-CN"/>
        </w:rPr>
        <w:t>指定联系人。</w:t>
      </w:r>
    </w:p>
    <w:p w14:paraId="1AA50970">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联系部门：华夏国际项目管理（西安）有限公司招标部</w:t>
      </w:r>
    </w:p>
    <w:p w14:paraId="3118B6D4">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）联系人：</w:t>
      </w:r>
      <w:r>
        <w:rPr>
          <w:rFonts w:hint="eastAsia" w:ascii="仿宋" w:hAnsi="仿宋" w:eastAsia="仿宋" w:cs="仿宋"/>
          <w:color w:val="auto"/>
          <w:sz w:val="24"/>
          <w:szCs w:val="24"/>
          <w:highlight w:val="none"/>
          <w:lang w:val="en-US" w:eastAsia="zh-CN"/>
        </w:rPr>
        <w:t>见供应商须知前附表</w:t>
      </w:r>
    </w:p>
    <w:p w14:paraId="7DE80F85">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）通讯地</w:t>
      </w:r>
      <w:r>
        <w:rPr>
          <w:rFonts w:hint="eastAsia" w:ascii="仿宋" w:hAnsi="仿宋" w:eastAsia="仿宋" w:cs="仿宋"/>
          <w:color w:val="auto"/>
          <w:sz w:val="24"/>
          <w:szCs w:val="24"/>
          <w:highlight w:val="none"/>
        </w:rPr>
        <w:t>址：</w:t>
      </w:r>
      <w:r>
        <w:rPr>
          <w:rFonts w:hint="eastAsia" w:ascii="仿宋" w:hAnsi="仿宋" w:eastAsia="仿宋" w:cs="仿宋"/>
          <w:color w:val="auto"/>
          <w:sz w:val="24"/>
          <w:szCs w:val="24"/>
          <w:highlight w:val="none"/>
          <w:lang w:val="en-US" w:eastAsia="zh-CN"/>
        </w:rPr>
        <w:t>西安市莲湖区二环南路西段202号九座花园16楼1605室</w:t>
      </w:r>
    </w:p>
    <w:p w14:paraId="23C6DA17">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采购人或采购代理机构将在收到书面质疑后7个工作日内做出答复，并以书面形式通知质疑人和其他有关</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p>
    <w:p w14:paraId="11BF9578">
      <w:pPr>
        <w:keepNext w:val="0"/>
        <w:keepLines w:val="0"/>
        <w:pageBreakBefore w:val="0"/>
        <w:kinsoku/>
        <w:wordWrap/>
        <w:overflowPunct/>
        <w:topLinePunct w:val="0"/>
        <w:autoSpaceDE/>
        <w:autoSpaceDN/>
        <w:bidi w:val="0"/>
        <w:adjustRightInd/>
        <w:snapToGrid/>
        <w:spacing w:line="360" w:lineRule="auto"/>
        <w:textAlignment w:val="auto"/>
        <w:outlineLvl w:val="2"/>
        <w:rPr>
          <w:rFonts w:hint="eastAsia" w:ascii="仿宋" w:hAnsi="仿宋" w:eastAsia="仿宋" w:cs="仿宋"/>
          <w:b/>
          <w:bCs/>
          <w:color w:val="auto"/>
          <w:sz w:val="24"/>
          <w:szCs w:val="24"/>
          <w:highlight w:val="none"/>
        </w:rPr>
      </w:pPr>
      <w:bookmarkStart w:id="99" w:name="_Toc6295"/>
      <w:r>
        <w:rPr>
          <w:rFonts w:hint="eastAsia" w:ascii="仿宋" w:hAnsi="仿宋" w:eastAsia="仿宋" w:cs="仿宋"/>
          <w:b/>
          <w:bCs/>
          <w:color w:val="auto"/>
          <w:sz w:val="24"/>
          <w:szCs w:val="24"/>
          <w:highlight w:val="none"/>
          <w:lang w:val="en-US" w:eastAsia="zh-CN"/>
        </w:rPr>
        <w:t>（二）</w:t>
      </w:r>
      <w:r>
        <w:rPr>
          <w:rFonts w:hint="eastAsia" w:ascii="仿宋" w:hAnsi="仿宋" w:eastAsia="仿宋" w:cs="仿宋"/>
          <w:b/>
          <w:bCs/>
          <w:color w:val="auto"/>
          <w:sz w:val="24"/>
          <w:szCs w:val="24"/>
          <w:highlight w:val="none"/>
        </w:rPr>
        <w:t>投诉</w:t>
      </w:r>
      <w:bookmarkEnd w:id="99"/>
    </w:p>
    <w:p w14:paraId="2F2096A0">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lang w:val="zh-CN"/>
        </w:rPr>
        <w:t>和其他利害关系人认为本次</w:t>
      </w:r>
      <w:r>
        <w:rPr>
          <w:rFonts w:hint="eastAsia" w:ascii="仿宋" w:hAnsi="仿宋" w:eastAsia="仿宋" w:cs="仿宋"/>
          <w:color w:val="auto"/>
          <w:sz w:val="24"/>
          <w:szCs w:val="24"/>
          <w:highlight w:val="none"/>
          <w:lang w:val="zh-CN" w:eastAsia="zh-CN"/>
        </w:rPr>
        <w:t>招标</w:t>
      </w:r>
      <w:r>
        <w:rPr>
          <w:rFonts w:hint="eastAsia" w:ascii="仿宋" w:hAnsi="仿宋" w:eastAsia="仿宋" w:cs="仿宋"/>
          <w:color w:val="auto"/>
          <w:sz w:val="24"/>
          <w:szCs w:val="24"/>
          <w:highlight w:val="none"/>
          <w:lang w:val="zh-CN"/>
        </w:rPr>
        <w:t>活动违反法律、法规和规章规定的，有权向有关行政监督机构投诉。</w:t>
      </w:r>
    </w:p>
    <w:p w14:paraId="6F732554">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val="zh-CN"/>
        </w:rPr>
        <w:t>质疑人对采购人或</w:t>
      </w:r>
      <w:r>
        <w:rPr>
          <w:rFonts w:hint="eastAsia" w:ascii="仿宋" w:hAnsi="仿宋" w:eastAsia="仿宋" w:cs="仿宋"/>
          <w:color w:val="auto"/>
          <w:sz w:val="24"/>
          <w:szCs w:val="24"/>
          <w:highlight w:val="none"/>
          <w:lang w:val="zh-CN" w:eastAsia="zh-CN"/>
        </w:rPr>
        <w:t>采购</w:t>
      </w:r>
      <w:r>
        <w:rPr>
          <w:rFonts w:hint="eastAsia" w:ascii="仿宋" w:hAnsi="仿宋" w:eastAsia="仿宋" w:cs="仿宋"/>
          <w:color w:val="auto"/>
          <w:sz w:val="24"/>
          <w:szCs w:val="24"/>
          <w:highlight w:val="none"/>
          <w:lang w:val="zh-CN"/>
        </w:rPr>
        <w:t>代理机构的答复不满意，以及采购人或</w:t>
      </w:r>
      <w:r>
        <w:rPr>
          <w:rFonts w:hint="eastAsia" w:ascii="仿宋" w:hAnsi="仿宋" w:eastAsia="仿宋" w:cs="仿宋"/>
          <w:color w:val="auto"/>
          <w:sz w:val="24"/>
          <w:szCs w:val="24"/>
          <w:highlight w:val="none"/>
          <w:lang w:val="zh-CN" w:eastAsia="zh-CN"/>
        </w:rPr>
        <w:t>采购</w:t>
      </w:r>
      <w:r>
        <w:rPr>
          <w:rFonts w:hint="eastAsia" w:ascii="仿宋" w:hAnsi="仿宋" w:eastAsia="仿宋" w:cs="仿宋"/>
          <w:color w:val="auto"/>
          <w:sz w:val="24"/>
          <w:szCs w:val="24"/>
          <w:highlight w:val="none"/>
          <w:lang w:val="zh-CN"/>
        </w:rPr>
        <w:t>代理机构未在规定时间内做出答复的，可以在答复期满后15个工作日内向政府采购监管机构提出投诉。</w:t>
      </w:r>
    </w:p>
    <w:p w14:paraId="7367198D">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lang w:val="zh-CN"/>
        </w:rPr>
        <w:t>投诉的事项不得超出已质疑事项的范围。</w:t>
      </w:r>
    </w:p>
    <w:p w14:paraId="22602F90">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zh-CN"/>
        </w:rPr>
        <w:t>投诉书范本格式在中国政府采购网站（http://www.ccgp.gov.cn/）自行下载。</w:t>
      </w:r>
    </w:p>
    <w:p w14:paraId="48FCDA28">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lang w:val="zh-CN"/>
        </w:rPr>
        <w:t>投诉人在全国范围12个月内三次以上投诉查无实据的，由财政部门列入不良行为记录名单。</w:t>
      </w:r>
    </w:p>
    <w:p w14:paraId="2CB729B9">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lang w:val="zh-CN"/>
        </w:rPr>
        <w:t>投诉人有下列行为之一的，属于虚假、恶意投诉，由财政部门列入不良行为记录名单，禁止其1至3年内参加政府采购活动：</w:t>
      </w:r>
    </w:p>
    <w:p w14:paraId="3DC00271">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①</w:t>
      </w:r>
      <w:r>
        <w:rPr>
          <w:rFonts w:hint="eastAsia" w:ascii="仿宋" w:hAnsi="仿宋" w:eastAsia="仿宋" w:cs="仿宋"/>
          <w:b/>
          <w:bCs/>
          <w:color w:val="auto"/>
          <w:sz w:val="24"/>
          <w:szCs w:val="24"/>
          <w:highlight w:val="none"/>
          <w:lang w:val="zh-CN"/>
        </w:rPr>
        <w:t>捏造事实；</w:t>
      </w:r>
    </w:p>
    <w:p w14:paraId="672397BE">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②提供虚假材料；</w:t>
      </w:r>
    </w:p>
    <w:p w14:paraId="5609CABC">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③以非法手段取得证明材料。证据来源的合法性存在明显疑问，投诉人无法证明其取得方式合法的，视为以非法手段取得证明材料。</w:t>
      </w:r>
    </w:p>
    <w:p w14:paraId="61253D30">
      <w:pPr>
        <w:keepNext w:val="0"/>
        <w:keepLines w:val="0"/>
        <w:pageBreakBefore w:val="0"/>
        <w:widowControl w:val="0"/>
        <w:tabs>
          <w:tab w:val="left" w:pos="7665"/>
        </w:tabs>
        <w:kinsoku/>
        <w:wordWrap/>
        <w:overflowPunct/>
        <w:topLinePunct w:val="0"/>
        <w:autoSpaceDE/>
        <w:autoSpaceDN/>
        <w:bidi w:val="0"/>
        <w:adjustRightInd/>
        <w:snapToGrid/>
        <w:spacing w:before="260" w:after="260" w:line="240" w:lineRule="auto"/>
        <w:ind w:firstLine="0" w:firstLineChars="0"/>
        <w:jc w:val="center"/>
        <w:textAlignment w:val="auto"/>
        <w:outlineLvl w:val="1"/>
        <w:rPr>
          <w:rFonts w:hint="eastAsia" w:ascii="仿宋" w:hAnsi="仿宋" w:eastAsia="仿宋" w:cs="仿宋"/>
          <w:color w:val="auto"/>
          <w:sz w:val="28"/>
          <w:szCs w:val="28"/>
          <w:highlight w:val="none"/>
        </w:rPr>
      </w:pPr>
      <w:bookmarkStart w:id="100" w:name="_Toc217446064"/>
      <w:bookmarkStart w:id="101" w:name="_Toc32085"/>
      <w:bookmarkStart w:id="102" w:name="_Toc11365"/>
      <w:bookmarkStart w:id="103" w:name="_Toc147"/>
      <w:bookmarkStart w:id="104" w:name="_Toc32281"/>
      <w:bookmarkStart w:id="105" w:name="_Toc9945"/>
      <w:bookmarkStart w:id="106" w:name="_Toc183682377"/>
      <w:bookmarkStart w:id="107" w:name="_Toc183582240"/>
      <w:r>
        <w:rPr>
          <w:rFonts w:hint="eastAsia" w:ascii="仿宋" w:hAnsi="仿宋" w:eastAsia="仿宋" w:cs="仿宋"/>
          <w:b/>
          <w:color w:val="auto"/>
          <w:sz w:val="32"/>
          <w:szCs w:val="32"/>
          <w:highlight w:val="none"/>
        </w:rPr>
        <w:t>七、签订</w:t>
      </w:r>
      <w:bookmarkEnd w:id="100"/>
      <w:r>
        <w:rPr>
          <w:rFonts w:hint="eastAsia" w:ascii="仿宋" w:hAnsi="仿宋" w:eastAsia="仿宋" w:cs="仿宋"/>
          <w:b/>
          <w:color w:val="auto"/>
          <w:sz w:val="32"/>
          <w:szCs w:val="32"/>
          <w:highlight w:val="none"/>
        </w:rPr>
        <w:t>合同</w:t>
      </w:r>
      <w:bookmarkEnd w:id="101"/>
      <w:bookmarkEnd w:id="102"/>
      <w:bookmarkEnd w:id="103"/>
      <w:bookmarkEnd w:id="104"/>
      <w:bookmarkEnd w:id="105"/>
    </w:p>
    <w:p w14:paraId="7A2EED96">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（一）</w:t>
      </w:r>
      <w:r>
        <w:rPr>
          <w:rFonts w:hint="eastAsia" w:ascii="仿宋" w:hAnsi="仿宋" w:eastAsia="仿宋" w:cs="仿宋"/>
          <w:color w:val="auto"/>
          <w:sz w:val="24"/>
          <w:szCs w:val="24"/>
          <w:highlight w:val="none"/>
        </w:rPr>
        <w:t>采购人与中标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在中标通知书发出之日起</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日内，按照招标文件和中标人投标文件的</w:t>
      </w:r>
      <w:r>
        <w:rPr>
          <w:rFonts w:hint="eastAsia" w:ascii="仿宋" w:hAnsi="仿宋" w:eastAsia="仿宋" w:cs="仿宋"/>
          <w:color w:val="auto"/>
          <w:sz w:val="24"/>
          <w:szCs w:val="24"/>
          <w:highlight w:val="none"/>
          <w:lang w:eastAsia="zh-CN"/>
        </w:rPr>
        <w:t>约定签订合同，</w:t>
      </w:r>
      <w:r>
        <w:rPr>
          <w:rFonts w:hint="eastAsia" w:ascii="仿宋" w:hAnsi="仿宋" w:eastAsia="仿宋" w:cs="仿宋"/>
          <w:color w:val="auto"/>
          <w:sz w:val="24"/>
          <w:szCs w:val="24"/>
          <w:highlight w:val="none"/>
          <w:lang w:val="en-US" w:eastAsia="zh-CN"/>
        </w:rPr>
        <w:t>所签订的合同不得对招标文件确定的事项和中标人投标文件做实质性修改</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任何人不得擅自变更、中止、终止政府采购合同</w:t>
      </w:r>
      <w:r>
        <w:rPr>
          <w:rFonts w:hint="eastAsia" w:ascii="仿宋" w:hAnsi="仿宋" w:eastAsia="仿宋" w:cs="仿宋"/>
          <w:color w:val="auto"/>
          <w:sz w:val="24"/>
          <w:szCs w:val="24"/>
          <w:highlight w:val="none"/>
        </w:rPr>
        <w:t>。</w:t>
      </w:r>
    </w:p>
    <w:p w14:paraId="7CE43ABE">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（二）中标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无正当理由拒签合同，或者在签订合同时向采购人提出附件条件，采购人有权取消其</w:t>
      </w:r>
      <w:r>
        <w:rPr>
          <w:rFonts w:hint="eastAsia" w:ascii="仿宋" w:hAnsi="仿宋" w:eastAsia="仿宋" w:cs="仿宋"/>
          <w:color w:val="auto"/>
          <w:sz w:val="24"/>
          <w:szCs w:val="24"/>
          <w:highlight w:val="none"/>
          <w:lang w:eastAsia="zh-CN"/>
        </w:rPr>
        <w:t>中标</w:t>
      </w:r>
      <w:r>
        <w:rPr>
          <w:rFonts w:hint="eastAsia" w:ascii="仿宋" w:hAnsi="仿宋" w:eastAsia="仿宋" w:cs="仿宋"/>
          <w:color w:val="auto"/>
          <w:sz w:val="24"/>
          <w:szCs w:val="24"/>
          <w:highlight w:val="none"/>
        </w:rPr>
        <w:t>资格，给采购人造成的损失的，</w:t>
      </w:r>
      <w:r>
        <w:rPr>
          <w:rFonts w:hint="eastAsia" w:ascii="仿宋" w:hAnsi="仿宋" w:eastAsia="仿宋" w:cs="仿宋"/>
          <w:color w:val="auto"/>
          <w:sz w:val="24"/>
          <w:szCs w:val="24"/>
          <w:highlight w:val="none"/>
          <w:lang w:eastAsia="zh-CN"/>
        </w:rPr>
        <w:t>中标人</w:t>
      </w:r>
      <w:r>
        <w:rPr>
          <w:rFonts w:hint="eastAsia" w:ascii="仿宋" w:hAnsi="仿宋" w:eastAsia="仿宋" w:cs="仿宋"/>
          <w:color w:val="auto"/>
          <w:sz w:val="24"/>
          <w:szCs w:val="24"/>
          <w:highlight w:val="none"/>
        </w:rPr>
        <w:t>予以赔偿。</w:t>
      </w:r>
      <w:r>
        <w:rPr>
          <w:rFonts w:hint="eastAsia" w:ascii="仿宋" w:hAnsi="仿宋" w:eastAsia="仿宋" w:cs="仿宋"/>
          <w:color w:val="auto"/>
          <w:sz w:val="24"/>
          <w:szCs w:val="24"/>
          <w:highlight w:val="none"/>
          <w:lang w:val="zh-CN"/>
        </w:rPr>
        <w:t>采购人可以按照评标报告推荐的中标候选人名单排序与下一个中标候选</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lang w:val="zh-CN"/>
        </w:rPr>
        <w:t>签订政府采购合同或者重新开展政府采购活动</w:t>
      </w:r>
      <w:r>
        <w:rPr>
          <w:rFonts w:hint="eastAsia" w:ascii="仿宋" w:hAnsi="仿宋" w:eastAsia="仿宋" w:cs="仿宋"/>
          <w:color w:val="auto"/>
          <w:sz w:val="24"/>
          <w:szCs w:val="24"/>
          <w:highlight w:val="none"/>
        </w:rPr>
        <w:t>。</w:t>
      </w:r>
    </w:p>
    <w:p w14:paraId="29F11F6C">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lang w:val="en-US" w:eastAsia="zh-CN"/>
        </w:rPr>
        <w:t>（三）中标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因不可抗力原因不能履行采购合同或放弃</w:t>
      </w:r>
      <w:r>
        <w:rPr>
          <w:rFonts w:hint="eastAsia" w:ascii="仿宋" w:hAnsi="仿宋" w:eastAsia="仿宋" w:cs="仿宋"/>
          <w:color w:val="auto"/>
          <w:sz w:val="24"/>
          <w:szCs w:val="24"/>
          <w:highlight w:val="none"/>
          <w:lang w:eastAsia="zh-CN"/>
        </w:rPr>
        <w:t>中标</w:t>
      </w:r>
      <w:r>
        <w:rPr>
          <w:rFonts w:hint="eastAsia" w:ascii="仿宋" w:hAnsi="仿宋" w:eastAsia="仿宋" w:cs="仿宋"/>
          <w:color w:val="auto"/>
          <w:sz w:val="24"/>
          <w:szCs w:val="24"/>
          <w:highlight w:val="none"/>
        </w:rPr>
        <w:t>资格的，采购人可以</w:t>
      </w:r>
      <w:r>
        <w:rPr>
          <w:rFonts w:hint="eastAsia" w:ascii="仿宋" w:hAnsi="仿宋" w:eastAsia="仿宋" w:cs="仿宋"/>
          <w:color w:val="auto"/>
          <w:sz w:val="24"/>
          <w:szCs w:val="24"/>
          <w:highlight w:val="none"/>
          <w:lang w:val="zh-CN"/>
        </w:rPr>
        <w:t>按照评标报告推荐的中标候选</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lang w:val="zh-CN"/>
        </w:rPr>
        <w:t>名单排序与下一个中标候选</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lang w:val="zh-CN"/>
        </w:rPr>
        <w:t>签订政府采购合同，</w:t>
      </w:r>
      <w:r>
        <w:rPr>
          <w:rFonts w:hint="eastAsia" w:ascii="仿宋" w:hAnsi="仿宋" w:eastAsia="仿宋" w:cs="仿宋"/>
          <w:color w:val="auto"/>
          <w:sz w:val="24"/>
          <w:szCs w:val="24"/>
          <w:highlight w:val="none"/>
        </w:rPr>
        <w:t>以此类推。</w:t>
      </w:r>
      <w:r>
        <w:rPr>
          <w:rFonts w:hint="eastAsia" w:ascii="仿宋" w:hAnsi="仿宋" w:eastAsia="仿宋" w:cs="仿宋"/>
          <w:color w:val="auto"/>
          <w:sz w:val="24"/>
          <w:szCs w:val="24"/>
          <w:highlight w:val="none"/>
          <w:lang w:val="zh-CN"/>
        </w:rPr>
        <w:t>或者重新开展政府采购活动</w:t>
      </w:r>
      <w:r>
        <w:rPr>
          <w:rFonts w:hint="eastAsia" w:ascii="仿宋" w:hAnsi="仿宋" w:eastAsia="仿宋" w:cs="仿宋"/>
          <w:color w:val="auto"/>
          <w:sz w:val="24"/>
          <w:szCs w:val="24"/>
          <w:highlight w:val="none"/>
        </w:rPr>
        <w:t>。</w:t>
      </w:r>
    </w:p>
    <w:p w14:paraId="1FF47DCD">
      <w:pPr>
        <w:keepNext w:val="0"/>
        <w:keepLines w:val="0"/>
        <w:pageBreakBefore w:val="0"/>
        <w:widowControl w:val="0"/>
        <w:tabs>
          <w:tab w:val="left" w:pos="7665"/>
        </w:tabs>
        <w:kinsoku/>
        <w:wordWrap/>
        <w:overflowPunct/>
        <w:topLinePunct w:val="0"/>
        <w:autoSpaceDE/>
        <w:autoSpaceDN/>
        <w:bidi w:val="0"/>
        <w:adjustRightInd/>
        <w:snapToGrid/>
        <w:spacing w:before="260" w:after="260" w:line="240" w:lineRule="auto"/>
        <w:jc w:val="center"/>
        <w:textAlignment w:val="auto"/>
        <w:outlineLvl w:val="1"/>
        <w:rPr>
          <w:rFonts w:hint="eastAsia" w:ascii="仿宋" w:hAnsi="仿宋" w:eastAsia="仿宋" w:cs="仿宋"/>
          <w:b/>
          <w:color w:val="auto"/>
          <w:sz w:val="28"/>
          <w:szCs w:val="28"/>
          <w:highlight w:val="none"/>
        </w:rPr>
      </w:pPr>
      <w:bookmarkStart w:id="108" w:name="_Toc17014"/>
      <w:bookmarkStart w:id="109" w:name="_Toc30950"/>
      <w:bookmarkStart w:id="110" w:name="_Toc357"/>
      <w:bookmarkStart w:id="111" w:name="_Toc15849"/>
      <w:bookmarkStart w:id="112" w:name="_Toc26390"/>
      <w:r>
        <w:rPr>
          <w:rFonts w:hint="eastAsia" w:ascii="仿宋" w:hAnsi="仿宋" w:eastAsia="仿宋" w:cs="仿宋"/>
          <w:b/>
          <w:color w:val="auto"/>
          <w:sz w:val="32"/>
          <w:szCs w:val="32"/>
          <w:highlight w:val="none"/>
          <w:lang w:eastAsia="zh-CN"/>
        </w:rPr>
        <w:t>八</w:t>
      </w:r>
      <w:r>
        <w:rPr>
          <w:rFonts w:hint="eastAsia" w:ascii="仿宋" w:hAnsi="仿宋" w:eastAsia="仿宋" w:cs="仿宋"/>
          <w:b/>
          <w:color w:val="auto"/>
          <w:sz w:val="32"/>
          <w:szCs w:val="32"/>
          <w:highlight w:val="none"/>
        </w:rPr>
        <w:t>、合同的履约验收</w:t>
      </w:r>
      <w:bookmarkEnd w:id="108"/>
      <w:bookmarkEnd w:id="109"/>
      <w:bookmarkEnd w:id="110"/>
      <w:bookmarkEnd w:id="111"/>
      <w:bookmarkEnd w:id="112"/>
    </w:p>
    <w:p w14:paraId="18AEC6E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采购人按照政府采购合同约定的</w:t>
      </w:r>
      <w:r>
        <w:rPr>
          <w:rFonts w:hint="eastAsia" w:ascii="仿宋" w:hAnsi="仿宋" w:eastAsia="仿宋" w:cs="仿宋"/>
          <w:color w:val="auto"/>
          <w:sz w:val="24"/>
          <w:szCs w:val="24"/>
          <w:highlight w:val="none"/>
          <w:lang w:val="en-US" w:eastAsia="zh-CN"/>
        </w:rPr>
        <w:t>采购内容和要求</w:t>
      </w:r>
      <w:r>
        <w:rPr>
          <w:rFonts w:hint="eastAsia" w:ascii="仿宋" w:hAnsi="仿宋" w:eastAsia="仿宋" w:cs="仿宋"/>
          <w:color w:val="auto"/>
          <w:sz w:val="24"/>
          <w:szCs w:val="24"/>
          <w:highlight w:val="none"/>
        </w:rPr>
        <w:t>组织对投标人的履约情况进行验收，并出具验收</w:t>
      </w:r>
      <w:r>
        <w:rPr>
          <w:rFonts w:hint="eastAsia" w:ascii="仿宋" w:hAnsi="仿宋" w:eastAsia="仿宋" w:cs="仿宋"/>
          <w:color w:val="auto"/>
          <w:sz w:val="24"/>
          <w:szCs w:val="24"/>
          <w:highlight w:val="none"/>
          <w:lang w:eastAsia="zh-CN"/>
        </w:rPr>
        <w:t>报告</w:t>
      </w:r>
      <w:r>
        <w:rPr>
          <w:rFonts w:hint="eastAsia" w:ascii="仿宋" w:hAnsi="仿宋" w:eastAsia="仿宋" w:cs="仿宋"/>
          <w:color w:val="auto"/>
          <w:sz w:val="24"/>
          <w:szCs w:val="24"/>
          <w:highlight w:val="none"/>
        </w:rPr>
        <w:t>。</w:t>
      </w:r>
    </w:p>
    <w:bookmarkEnd w:id="106"/>
    <w:bookmarkEnd w:id="107"/>
    <w:p w14:paraId="0EC0534A">
      <w:pPr>
        <w:keepNext w:val="0"/>
        <w:keepLines w:val="0"/>
        <w:pageBreakBefore w:val="0"/>
        <w:widowControl w:val="0"/>
        <w:kinsoku/>
        <w:wordWrap/>
        <w:overflowPunct/>
        <w:topLinePunct w:val="0"/>
        <w:autoSpaceDE/>
        <w:autoSpaceDN/>
        <w:bidi w:val="0"/>
        <w:adjustRightInd/>
        <w:snapToGrid/>
        <w:spacing w:before="260" w:after="260" w:line="240" w:lineRule="auto"/>
        <w:jc w:val="center"/>
        <w:textAlignment w:val="auto"/>
        <w:outlineLvl w:val="1"/>
        <w:rPr>
          <w:rFonts w:hint="eastAsia" w:ascii="仿宋" w:hAnsi="仿宋" w:eastAsia="仿宋" w:cs="仿宋"/>
          <w:b/>
          <w:color w:val="auto"/>
          <w:sz w:val="28"/>
          <w:szCs w:val="28"/>
          <w:highlight w:val="none"/>
        </w:rPr>
      </w:pPr>
      <w:bookmarkStart w:id="113" w:name="_Toc28639"/>
      <w:bookmarkStart w:id="114" w:name="_Toc19114"/>
      <w:bookmarkStart w:id="115" w:name="_Toc24835"/>
      <w:bookmarkStart w:id="116" w:name="_Toc24150"/>
      <w:bookmarkStart w:id="117" w:name="_Toc14929"/>
      <w:r>
        <w:rPr>
          <w:rFonts w:hint="eastAsia" w:ascii="仿宋" w:hAnsi="仿宋" w:eastAsia="仿宋" w:cs="仿宋"/>
          <w:b/>
          <w:color w:val="auto"/>
          <w:sz w:val="32"/>
          <w:szCs w:val="32"/>
          <w:highlight w:val="none"/>
          <w:lang w:eastAsia="zh-CN"/>
        </w:rPr>
        <w:t>九、</w:t>
      </w:r>
      <w:r>
        <w:rPr>
          <w:rFonts w:hint="eastAsia" w:ascii="仿宋" w:hAnsi="仿宋" w:eastAsia="仿宋" w:cs="仿宋"/>
          <w:b/>
          <w:color w:val="auto"/>
          <w:sz w:val="32"/>
          <w:szCs w:val="32"/>
          <w:highlight w:val="none"/>
        </w:rPr>
        <w:t>需要落实的政府采购政策</w:t>
      </w:r>
      <w:bookmarkEnd w:id="113"/>
      <w:bookmarkEnd w:id="114"/>
      <w:bookmarkEnd w:id="115"/>
      <w:bookmarkEnd w:id="116"/>
      <w:bookmarkEnd w:id="117"/>
    </w:p>
    <w:p w14:paraId="7D18CAE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（一）《关于印发&lt;政府采购促进中小企业发展管理办法&gt;的通知》（财库(2020〕46号）</w:t>
      </w:r>
    </w:p>
    <w:p w14:paraId="02AD54A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在政府采购活动中，供应商提供的货物、工程或者服务符合下列情形的，享受《办法》规定的中小企业扶持政策:</w:t>
      </w:r>
    </w:p>
    <w:p w14:paraId="7CE7848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1.在货物采购项目中，货物由中小企业制造，即货物由中小企业生产且使用该中小企业商号或者注册商标；</w:t>
      </w:r>
    </w:p>
    <w:p w14:paraId="48F9104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2.在工程采购项目中，工程由中小企业承建，即工程施工单位为中小企业；</w:t>
      </w:r>
    </w:p>
    <w:p w14:paraId="66573FB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3.在服务采购项目中，服务由中小企业承接，即提供服务的人员为中小企业依照《中华人民共和国劳动民法典》订立劳动合同的从业人员。</w:t>
      </w:r>
    </w:p>
    <w:p w14:paraId="36E00B4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在货物采购项目中，供应商提供的货物既有中小企业制造货物，也有大型企业制造货物的，不享受《办法》规定的中小企业扶持政策。</w:t>
      </w:r>
    </w:p>
    <w:p w14:paraId="42B6631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依据《办法》规定享受扶持政策获得政府采购合同的，小微企业不得将合同分包给大中型企业，中型企业不得将合同分包给大型企业。</w:t>
      </w:r>
    </w:p>
    <w:p w14:paraId="23F415C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政府采购促进中小企业发展管理办法》的通知（财库〔2020〕46号）规定，参加政府采购活动的中小企业应当提供《中小企业声明函》。供应商提供的《中小企业声明函》资料必须真实，否则，按照有关规定予以处理。</w:t>
      </w:r>
    </w:p>
    <w:p w14:paraId="455F790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（二）《财政部司法部关于政府采购支持监狱企业发展有关问题的通知》（财库〔2014〕68号）</w:t>
      </w:r>
    </w:p>
    <w:p w14:paraId="6E66273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关于政府采购支持监狱企业发展有关问题的通知》（财库（2014）68号）规定，在政府采购活动中，监狱企业视同小型、微型企业，享受政府采购促进中小企业发展的政府采购政策。监狱企业参加政府采购活动时，应当提供由省级以上监狱管理局、戒毒管理局（含新疆生产建设兵团）出具的属于监狱企业的证明文件。</w:t>
      </w:r>
    </w:p>
    <w:p w14:paraId="276A794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（三）《国务院办公厅关于建立政府强制采购节能产品制度的通知》（国办发〔2007〕51号）</w:t>
      </w:r>
    </w:p>
    <w:p w14:paraId="168C458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在技术、服务等指标满足采购需求的前提下，优先采购节能产品。对部分节能效果、性能等达到要求的产品，且涉及国家规定的强制采购范围内，不管采购文件是否要求提供，供应商必须按照国家要求提供，并提供相关证明材料；若未提供，供应商自行承担由此带来的后果。优先采购范围内的产品按招标文件约定执行。</w:t>
      </w:r>
    </w:p>
    <w:p w14:paraId="42C38CC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根据《国务院办公厅关于在政府采购中实施本国产品标准及相关政策的通知》（国办发〔2025〕34号，的规定，供应商对其提供的产品出具《声明函》，是其产品享受政府采购对本国产品支持政策的先决条件。</w:t>
      </w:r>
    </w:p>
    <w:p w14:paraId="7CF85B6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当采购项目或采购包的采购标的仅包含单一产品时，政府采购活动中既有本国产品又有非本国产品参与竞争的，依法对本国产品给予价格评审优惠，对本国产品的报价给予20%的价格扣除，用扣除后的价格参与评审。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则依法对该供应商提供的全部产品给予价格评审优惠，即对该供应商提供的全部产品的总报价给予20%的价格扣除，用扣除后的价格参与评审。全部产品是指货物或服务采购项目或采购包中包含的全部货物、服务产品。</w:t>
      </w:r>
    </w:p>
    <w:p w14:paraId="36A4E32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06235F5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五</w:t>
      </w:r>
      <w:r>
        <w:rPr>
          <w:rFonts w:hint="eastAsia" w:ascii="仿宋" w:hAnsi="仿宋" w:eastAsia="仿宋" w:cs="仿宋"/>
          <w:color w:val="auto"/>
          <w:sz w:val="24"/>
          <w:szCs w:val="24"/>
          <w:highlight w:val="none"/>
        </w:rPr>
        <w:t>）《关于印发节能产品政府采购品目清单的通知》（财库〔2019〕19号）</w:t>
      </w:r>
    </w:p>
    <w:p w14:paraId="635306A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根据《关于印发节能产品政府采购品目清单的通知》（财库〔2019〕19号）规定，采购人采购的产品在品目清单中并具有认证证书的，在技术、服务等指标同等条件下，应当优先采购。</w:t>
      </w:r>
    </w:p>
    <w:p w14:paraId="661052DC">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品属于品目清单范围中实施政府强制采购的，需提供依据国家确定的认证机构出具的、处于有效期之内的节能产品认证证书，属于品目清单范围中实施政府优先采购的，依据提供的品目清单和认证证书实施政府优先采购。</w:t>
      </w:r>
    </w:p>
    <w:p w14:paraId="75A0378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）《关于调整优化节能产品、环境标志产品政府采购执行机制的通知》（财库〔2019〕9号）、《关于印发环境标志产品政府采购品目清单的通知》（财库〔2019〕18号）</w:t>
      </w:r>
    </w:p>
    <w:p w14:paraId="24EF961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关于调整优化节能产品、环境标志产品政府采购执行机制的通知》（财库〔2019〕9号）、《关于印发环境标志产品政府采购品目清单的通知》（财库〔2019〕18号）规定，采购人采购的产品在品目清单中并具有认证证书的，在性能、技术、服务等指标同等条件下，应当优先采购清单中的产品。</w:t>
      </w:r>
    </w:p>
    <w:p w14:paraId="119D611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品属于品目清单范围中实施政府强制采购的，需提供依据国家确定的认证机构出具的、处于有效期之内的环境标志产品认证证书，属于品目清单范围中实施政府优先采购的，依据提供的品目清单和认证证书实施政府优先采购。</w:t>
      </w:r>
    </w:p>
    <w:p w14:paraId="2233961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rPr>
        <w:t>）《关于促进残疾人就业政府采购政策的通知》（财库〔2017〕141号）</w:t>
      </w:r>
    </w:p>
    <w:p w14:paraId="650C249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符合条件的残疾人福利性单位在参加政府采购活动时，应提供本通知规定的《残疾人福利性单位声明函》，并对声明的真实性负责。</w:t>
      </w:r>
    </w:p>
    <w:p w14:paraId="57E889F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政府采购活动中，残疾人福利性单位视同小型、微型企业，享受促进中小企业发展的政府采购政策。向残疾人福利性单位采购的金额，计入面向中小企业采购的统计数据。残疾人福利性单位属于小型、微型企业的，不重复享受政策。</w:t>
      </w:r>
    </w:p>
    <w:p w14:paraId="2C07DE9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八</w:t>
      </w:r>
      <w:r>
        <w:rPr>
          <w:rFonts w:hint="eastAsia" w:ascii="仿宋" w:hAnsi="仿宋" w:eastAsia="仿宋" w:cs="仿宋"/>
          <w:color w:val="auto"/>
          <w:sz w:val="24"/>
          <w:szCs w:val="24"/>
          <w:highlight w:val="none"/>
        </w:rPr>
        <w:t>）融资政策</w:t>
      </w:r>
    </w:p>
    <w:p w14:paraId="09E9E14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陕西省财政厅关于印发&lt;陕西省中小企业政府采购信用融资办法&gt;的通知》（陕财办采〔2018〕23号）相关政策，有融资需求的供应商可根据自身情况，在陕西省政府采购信用融资平台（网址http://www.ccgp-shaanxi.gov.cn/zcdservice/zcd/shanxi/）按照相关业务流程自主选择金融机构及其融资产品，凭政府采购中标（成交）通知书或政府采购合同向金融机构提出融资申请。</w:t>
      </w:r>
    </w:p>
    <w:p w14:paraId="053EDAD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九</w:t>
      </w:r>
      <w:r>
        <w:rPr>
          <w:rFonts w:hint="eastAsia" w:ascii="仿宋" w:hAnsi="仿宋" w:eastAsia="仿宋" w:cs="仿宋"/>
          <w:color w:val="auto"/>
          <w:sz w:val="24"/>
          <w:szCs w:val="24"/>
          <w:highlight w:val="none"/>
        </w:rPr>
        <w:t>）招标文件中与法律法规不符的，以相关法律法规为准。</w:t>
      </w:r>
    </w:p>
    <w:p w14:paraId="06478FE7">
      <w:pPr>
        <w:rPr>
          <w:rFonts w:hint="eastAsia" w:ascii="仿宋" w:hAnsi="仿宋" w:eastAsia="仿宋" w:cs="仿宋"/>
          <w:color w:val="auto"/>
          <w:sz w:val="32"/>
          <w:szCs w:val="32"/>
          <w:highlight w:val="none"/>
        </w:rPr>
      </w:pPr>
      <w:bookmarkStart w:id="118" w:name="_Toc100219614"/>
      <w:r>
        <w:rPr>
          <w:rFonts w:hint="eastAsia" w:ascii="仿宋" w:hAnsi="仿宋" w:eastAsia="仿宋" w:cs="仿宋"/>
          <w:color w:val="auto"/>
          <w:sz w:val="32"/>
          <w:szCs w:val="32"/>
          <w:highlight w:val="none"/>
        </w:rPr>
        <w:br w:type="page"/>
      </w:r>
    </w:p>
    <w:p w14:paraId="3B5C9848">
      <w:pPr>
        <w:pStyle w:val="2"/>
        <w:rPr>
          <w:rFonts w:hint="eastAsia" w:ascii="仿宋" w:eastAsia="仿宋" w:cs="仿宋"/>
          <w:color w:val="auto"/>
          <w:highlight w:val="none"/>
        </w:rPr>
      </w:pPr>
      <w:bookmarkStart w:id="119" w:name="_Toc1278"/>
      <w:r>
        <w:rPr>
          <w:rFonts w:hint="eastAsia" w:ascii="仿宋" w:eastAsia="仿宋" w:cs="仿宋"/>
          <w:color w:val="auto"/>
          <w:highlight w:val="none"/>
        </w:rPr>
        <w:t xml:space="preserve">第三章  </w:t>
      </w:r>
      <w:bookmarkEnd w:id="118"/>
      <w:r>
        <w:rPr>
          <w:rFonts w:hint="eastAsia" w:ascii="仿宋" w:eastAsia="仿宋" w:cs="仿宋"/>
          <w:color w:val="auto"/>
          <w:highlight w:val="none"/>
        </w:rPr>
        <w:t>合同条款（参考格式）</w:t>
      </w:r>
      <w:bookmarkEnd w:id="119"/>
    </w:p>
    <w:p w14:paraId="565297BA">
      <w:pPr>
        <w:pStyle w:val="17"/>
        <w:ind w:firstLine="420" w:firstLineChars="200"/>
        <w:rPr>
          <w:rFonts w:ascii="仿宋" w:hAnsi="仿宋"/>
          <w:color w:val="auto"/>
          <w:szCs w:val="32"/>
        </w:rPr>
      </w:pPr>
    </w:p>
    <w:p w14:paraId="70FFA401">
      <w:pPr>
        <w:pStyle w:val="17"/>
        <w:ind w:firstLine="420" w:firstLineChars="200"/>
        <w:rPr>
          <w:rFonts w:ascii="仿宋" w:hAnsi="仿宋"/>
          <w:color w:val="auto"/>
          <w:szCs w:val="32"/>
        </w:rPr>
      </w:pPr>
    </w:p>
    <w:p w14:paraId="01314A4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44"/>
          <w:szCs w:val="44"/>
          <w:u w:val="none"/>
          <w:lang w:eastAsia="zh-CN"/>
        </w:rPr>
      </w:pPr>
    </w:p>
    <w:p w14:paraId="0041750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44"/>
          <w:szCs w:val="44"/>
          <w:u w:val="none"/>
          <w:lang w:eastAsia="zh-CN"/>
        </w:rPr>
      </w:pPr>
    </w:p>
    <w:p w14:paraId="2B4C418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lang w:eastAsia="zh-CN"/>
        </w:rPr>
      </w:pPr>
      <w:r>
        <w:rPr>
          <w:rFonts w:hint="eastAsia" w:ascii="仿宋" w:hAnsi="仿宋" w:eastAsia="仿宋" w:cs="仿宋"/>
          <w:color w:val="auto"/>
          <w:sz w:val="44"/>
          <w:szCs w:val="44"/>
          <w:u w:val="none"/>
          <w:lang w:eastAsia="zh-CN"/>
        </w:rPr>
        <w:t>非集采中药饮片招标采购项目（2包）二次</w:t>
      </w:r>
    </w:p>
    <w:p w14:paraId="0E5291CA">
      <w:pPr>
        <w:pStyle w:val="17"/>
        <w:ind w:firstLine="420" w:firstLineChars="200"/>
        <w:jc w:val="center"/>
        <w:rPr>
          <w:rFonts w:hint="eastAsia" w:ascii="仿宋" w:hAnsi="仿宋" w:eastAsia="仿宋" w:cs="仿宋"/>
          <w:color w:val="auto"/>
          <w:szCs w:val="32"/>
        </w:rPr>
      </w:pPr>
    </w:p>
    <w:p w14:paraId="2211B8C2">
      <w:pPr>
        <w:pStyle w:val="17"/>
        <w:ind w:firstLine="420" w:firstLineChars="200"/>
        <w:jc w:val="center"/>
        <w:rPr>
          <w:rFonts w:hint="eastAsia" w:ascii="仿宋" w:hAnsi="仿宋" w:eastAsia="仿宋" w:cs="仿宋"/>
          <w:color w:val="auto"/>
          <w:szCs w:val="32"/>
        </w:rPr>
      </w:pPr>
    </w:p>
    <w:p w14:paraId="38F4011B">
      <w:pPr>
        <w:pStyle w:val="17"/>
        <w:ind w:firstLine="420" w:firstLineChars="200"/>
        <w:rPr>
          <w:rFonts w:hint="eastAsia" w:ascii="仿宋" w:hAnsi="仿宋" w:eastAsia="仿宋" w:cs="仿宋"/>
          <w:color w:val="auto"/>
          <w:szCs w:val="32"/>
        </w:rPr>
      </w:pPr>
    </w:p>
    <w:p w14:paraId="6863249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sz w:val="48"/>
          <w:szCs w:val="48"/>
        </w:rPr>
      </w:pPr>
    </w:p>
    <w:p w14:paraId="6FF364A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sz w:val="48"/>
          <w:szCs w:val="48"/>
        </w:rPr>
      </w:pPr>
    </w:p>
    <w:p w14:paraId="5AD6AE4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rPr>
      </w:pPr>
      <w:r>
        <w:rPr>
          <w:rFonts w:hint="eastAsia" w:ascii="仿宋" w:hAnsi="仿宋" w:eastAsia="仿宋" w:cs="仿宋"/>
          <w:b/>
          <w:color w:val="auto"/>
          <w:sz w:val="48"/>
          <w:szCs w:val="48"/>
        </w:rPr>
        <w:t>采购合同</w:t>
      </w:r>
    </w:p>
    <w:p w14:paraId="6BA6DCAA">
      <w:pPr>
        <w:pStyle w:val="17"/>
        <w:ind w:firstLine="420" w:firstLineChars="200"/>
        <w:rPr>
          <w:rFonts w:hint="eastAsia" w:ascii="仿宋" w:hAnsi="仿宋" w:eastAsia="仿宋" w:cs="仿宋"/>
          <w:color w:val="auto"/>
          <w:szCs w:val="32"/>
        </w:rPr>
      </w:pPr>
    </w:p>
    <w:p w14:paraId="3E13641C">
      <w:pPr>
        <w:pStyle w:val="17"/>
        <w:ind w:firstLine="420" w:firstLineChars="200"/>
        <w:rPr>
          <w:rFonts w:hint="eastAsia" w:ascii="仿宋" w:hAnsi="仿宋" w:eastAsia="仿宋" w:cs="仿宋"/>
          <w:color w:val="auto"/>
          <w:szCs w:val="32"/>
        </w:rPr>
      </w:pPr>
    </w:p>
    <w:p w14:paraId="11A8F5E9">
      <w:pPr>
        <w:rPr>
          <w:rFonts w:hint="eastAsia" w:ascii="仿宋" w:hAnsi="仿宋" w:eastAsia="仿宋" w:cs="仿宋"/>
          <w:color w:val="auto"/>
        </w:rPr>
      </w:pPr>
    </w:p>
    <w:p w14:paraId="53A84F59">
      <w:pPr>
        <w:rPr>
          <w:rFonts w:hint="eastAsia" w:ascii="仿宋" w:hAnsi="仿宋" w:eastAsia="仿宋" w:cs="仿宋"/>
          <w:color w:val="auto"/>
        </w:rPr>
      </w:pPr>
    </w:p>
    <w:p w14:paraId="46D0733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32"/>
          <w:szCs w:val="32"/>
        </w:rPr>
      </w:pPr>
    </w:p>
    <w:p w14:paraId="16EE32F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32"/>
          <w:szCs w:val="32"/>
        </w:rPr>
      </w:pPr>
    </w:p>
    <w:p w14:paraId="59262FED">
      <w:pPr>
        <w:keepNext w:val="0"/>
        <w:keepLines w:val="0"/>
        <w:pageBreakBefore w:val="0"/>
        <w:widowControl w:val="0"/>
        <w:kinsoku/>
        <w:wordWrap/>
        <w:overflowPunct/>
        <w:topLinePunct w:val="0"/>
        <w:autoSpaceDE/>
        <w:autoSpaceDN/>
        <w:bidi w:val="0"/>
        <w:adjustRightInd/>
        <w:snapToGrid/>
        <w:spacing w:line="360" w:lineRule="auto"/>
        <w:ind w:firstLine="1920" w:firstLineChars="600"/>
        <w:jc w:val="both"/>
        <w:textAlignment w:val="auto"/>
        <w:rPr>
          <w:rFonts w:hint="eastAsia" w:ascii="仿宋" w:hAnsi="仿宋" w:eastAsia="仿宋" w:cs="仿宋"/>
          <w:color w:val="auto"/>
          <w:sz w:val="32"/>
          <w:szCs w:val="32"/>
          <w:lang w:eastAsia="zh-CN"/>
        </w:rPr>
      </w:pPr>
      <w:r>
        <w:rPr>
          <w:rFonts w:hint="eastAsia" w:ascii="仿宋" w:hAnsi="仿宋" w:eastAsia="仿宋" w:cs="仿宋"/>
          <w:color w:val="auto"/>
          <w:sz w:val="32"/>
          <w:szCs w:val="32"/>
        </w:rPr>
        <w:t>甲</w:t>
      </w: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rPr>
        <w:t>方：</w:t>
      </w:r>
      <w:r>
        <w:rPr>
          <w:rFonts w:hint="eastAsia" w:ascii="仿宋" w:hAnsi="仿宋" w:eastAsia="仿宋" w:cs="仿宋"/>
          <w:color w:val="auto"/>
          <w:sz w:val="32"/>
          <w:szCs w:val="32"/>
          <w:lang w:eastAsia="zh-CN"/>
        </w:rPr>
        <w:t>西安市鄠邑区中医医院</w:t>
      </w:r>
    </w:p>
    <w:p w14:paraId="48BB6E79">
      <w:pPr>
        <w:keepNext w:val="0"/>
        <w:keepLines w:val="0"/>
        <w:pageBreakBefore w:val="0"/>
        <w:widowControl w:val="0"/>
        <w:kinsoku/>
        <w:wordWrap/>
        <w:overflowPunct/>
        <w:topLinePunct w:val="0"/>
        <w:autoSpaceDE/>
        <w:autoSpaceDN/>
        <w:bidi w:val="0"/>
        <w:adjustRightInd/>
        <w:snapToGrid/>
        <w:spacing w:line="360" w:lineRule="auto"/>
        <w:ind w:firstLine="1920" w:firstLineChars="600"/>
        <w:jc w:val="both"/>
        <w:textAlignment w:val="auto"/>
        <w:rPr>
          <w:rFonts w:hint="eastAsia" w:ascii="仿宋" w:hAnsi="仿宋" w:eastAsia="仿宋" w:cs="仿宋"/>
          <w:color w:val="auto"/>
        </w:rPr>
      </w:pPr>
      <w:r>
        <w:rPr>
          <w:rFonts w:hint="eastAsia" w:ascii="仿宋" w:hAnsi="仿宋" w:eastAsia="仿宋" w:cs="仿宋"/>
          <w:color w:val="auto"/>
          <w:sz w:val="32"/>
          <w:szCs w:val="32"/>
        </w:rPr>
        <w:t>乙</w:t>
      </w: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rPr>
        <w:t>方：</w:t>
      </w:r>
    </w:p>
    <w:p w14:paraId="7168AD16">
      <w:pPr>
        <w:pStyle w:val="15"/>
        <w:keepNext w:val="0"/>
        <w:keepLines w:val="0"/>
        <w:pageBreakBefore w:val="0"/>
        <w:widowControl w:val="0"/>
        <w:kinsoku/>
        <w:wordWrap/>
        <w:overflowPunct/>
        <w:topLinePunct w:val="0"/>
        <w:autoSpaceDE/>
        <w:autoSpaceDN/>
        <w:bidi w:val="0"/>
        <w:adjustRightInd/>
        <w:snapToGrid/>
        <w:spacing w:after="0" w:afterLines="0" w:line="360" w:lineRule="auto"/>
        <w:textAlignment w:val="auto"/>
        <w:rPr>
          <w:color w:val="auto"/>
        </w:rPr>
      </w:pPr>
      <w:r>
        <w:rPr>
          <w:rFonts w:hint="eastAsia" w:ascii="仿宋" w:hAnsi="仿宋" w:eastAsia="仿宋" w:cs="仿宋"/>
          <w:color w:val="auto"/>
        </w:rPr>
        <w:br w:type="page"/>
      </w:r>
    </w:p>
    <w:p w14:paraId="21091420">
      <w:pPr>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rPr>
        <w:t>（合同具体条款以双方签订的正式合同为准）</w:t>
      </w:r>
    </w:p>
    <w:p w14:paraId="209AC2DA">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color w:val="auto"/>
          <w:spacing w:val="0"/>
          <w:sz w:val="24"/>
          <w:szCs w:val="24"/>
        </w:rPr>
      </w:pPr>
    </w:p>
    <w:p w14:paraId="1B256F62">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color w:val="auto"/>
          <w:spacing w:val="0"/>
          <w:sz w:val="24"/>
          <w:szCs w:val="24"/>
        </w:rPr>
      </w:pPr>
    </w:p>
    <w:p w14:paraId="49543C8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甲方（委托方）：</w:t>
      </w:r>
      <w:r>
        <w:rPr>
          <w:rFonts w:hint="eastAsia" w:ascii="仿宋" w:hAnsi="仿宋" w:eastAsia="仿宋" w:cs="仿宋"/>
          <w:color w:val="auto"/>
          <w:spacing w:val="0"/>
          <w:sz w:val="24"/>
          <w:szCs w:val="24"/>
          <w:u w:val="single" w:color="auto"/>
        </w:rPr>
        <w:t xml:space="preserve"> </w:t>
      </w:r>
      <w:r>
        <w:rPr>
          <w:rFonts w:hint="eastAsia" w:ascii="仿宋" w:hAnsi="仿宋" w:eastAsia="仿宋" w:cs="仿宋"/>
          <w:color w:val="auto"/>
          <w:spacing w:val="0"/>
          <w:sz w:val="24"/>
          <w:szCs w:val="24"/>
          <w:u w:val="single" w:color="auto"/>
          <w:lang w:eastAsia="zh-CN"/>
        </w:rPr>
        <w:t>西安市鄠邑区中医医院</w:t>
      </w:r>
      <w:r>
        <w:rPr>
          <w:rFonts w:hint="eastAsia" w:ascii="仿宋" w:hAnsi="仿宋" w:eastAsia="仿宋" w:cs="仿宋"/>
          <w:color w:val="auto"/>
          <w:spacing w:val="0"/>
          <w:sz w:val="24"/>
          <w:szCs w:val="24"/>
          <w:u w:val="single" w:color="333333"/>
        </w:rPr>
        <w:t xml:space="preserve">  </w:t>
      </w:r>
      <w:r>
        <w:rPr>
          <w:rFonts w:hint="eastAsia" w:ascii="仿宋" w:hAnsi="仿宋" w:eastAsia="仿宋" w:cs="仿宋"/>
          <w:color w:val="auto"/>
          <w:spacing w:val="0"/>
          <w:sz w:val="24"/>
          <w:szCs w:val="24"/>
        </w:rPr>
        <w:t xml:space="preserve"> </w:t>
      </w:r>
    </w:p>
    <w:p w14:paraId="0ACC915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乙方（受托方）：</w:t>
      </w:r>
      <w:r>
        <w:rPr>
          <w:rFonts w:hint="eastAsia" w:ascii="仿宋" w:hAnsi="仿宋" w:eastAsia="仿宋" w:cs="仿宋"/>
          <w:color w:val="auto"/>
          <w:spacing w:val="0"/>
          <w:sz w:val="24"/>
          <w:szCs w:val="24"/>
          <w:u w:val="single" w:color="auto"/>
        </w:rPr>
        <w:t xml:space="preserve">                               </w:t>
      </w:r>
    </w:p>
    <w:p w14:paraId="0BF7C8BD">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color w:val="auto"/>
          <w:spacing w:val="0"/>
          <w:sz w:val="24"/>
          <w:szCs w:val="24"/>
        </w:rPr>
      </w:pPr>
    </w:p>
    <w:p w14:paraId="7A61AD6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根据</w:t>
      </w:r>
      <w:r>
        <w:rPr>
          <w:rFonts w:hint="eastAsia" w:ascii="仿宋" w:hAnsi="仿宋" w:eastAsia="仿宋" w:cs="仿宋"/>
          <w:color w:val="auto"/>
          <w:spacing w:val="0"/>
          <w:sz w:val="24"/>
          <w:szCs w:val="24"/>
          <w:u w:val="single" w:color="auto"/>
        </w:rPr>
        <w:t xml:space="preserve"> </w:t>
      </w:r>
      <w:r>
        <w:rPr>
          <w:rFonts w:hint="eastAsia" w:ascii="仿宋" w:hAnsi="仿宋" w:eastAsia="仿宋" w:cs="仿宋"/>
          <w:color w:val="auto"/>
          <w:spacing w:val="0"/>
          <w:sz w:val="24"/>
          <w:szCs w:val="24"/>
          <w:u w:val="single" w:color="auto"/>
          <w:lang w:eastAsia="zh-CN"/>
        </w:rPr>
        <w:t>非集采中药饮片招标采购项目（2包）二次</w:t>
      </w:r>
      <w:r>
        <w:rPr>
          <w:rFonts w:hint="eastAsia" w:ascii="仿宋" w:hAnsi="仿宋" w:eastAsia="仿宋" w:cs="仿宋"/>
          <w:color w:val="auto"/>
          <w:spacing w:val="0"/>
          <w:sz w:val="24"/>
          <w:szCs w:val="24"/>
        </w:rPr>
        <w:t>的采购结果，按照《中华人民共和国政府采购法》、《中华人民共和国民法典》及其他有关法律、法规，遵循平等</w:t>
      </w:r>
      <w:r>
        <w:rPr>
          <w:rFonts w:hint="eastAsia" w:ascii="仿宋" w:hAnsi="仿宋" w:eastAsia="仿宋" w:cs="仿宋"/>
          <w:color w:val="auto"/>
          <w:spacing w:val="0"/>
          <w:sz w:val="24"/>
          <w:szCs w:val="24"/>
          <w:lang w:eastAsia="zh-CN"/>
        </w:rPr>
        <w:t>、</w:t>
      </w:r>
      <w:r>
        <w:rPr>
          <w:rFonts w:hint="eastAsia" w:ascii="仿宋" w:hAnsi="仿宋" w:eastAsia="仿宋" w:cs="仿宋"/>
          <w:color w:val="auto"/>
          <w:spacing w:val="0"/>
          <w:sz w:val="24"/>
          <w:szCs w:val="24"/>
        </w:rPr>
        <w:t>自愿、公平和诚信的原则，双方就下述项目范围与相关服务事项协商一致，订立本合同。</w:t>
      </w:r>
    </w:p>
    <w:p w14:paraId="0DCB8DA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rPr>
        <w:t>一、项目概况</w:t>
      </w:r>
    </w:p>
    <w:p w14:paraId="0ECC343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1.项目名称：</w:t>
      </w:r>
      <w:r>
        <w:rPr>
          <w:rFonts w:hint="eastAsia" w:ascii="仿宋" w:hAnsi="仿宋" w:eastAsia="仿宋" w:cs="仿宋"/>
          <w:color w:val="auto"/>
          <w:spacing w:val="0"/>
          <w:sz w:val="24"/>
          <w:szCs w:val="24"/>
          <w:u w:val="single" w:color="auto"/>
          <w:lang w:eastAsia="zh-CN"/>
        </w:rPr>
        <w:t>非集采中药饮片招标采购项目（2包）二次</w:t>
      </w:r>
      <w:r>
        <w:rPr>
          <w:rFonts w:hint="eastAsia" w:ascii="仿宋" w:hAnsi="仿宋" w:eastAsia="仿宋" w:cs="仿宋"/>
          <w:color w:val="auto"/>
          <w:spacing w:val="0"/>
          <w:sz w:val="24"/>
          <w:szCs w:val="24"/>
        </w:rPr>
        <w:t>；</w:t>
      </w:r>
    </w:p>
    <w:p w14:paraId="419C73C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2.项目地点：</w:t>
      </w:r>
      <w:r>
        <w:rPr>
          <w:rFonts w:hint="eastAsia" w:ascii="仿宋" w:hAnsi="仿宋" w:eastAsia="仿宋" w:cs="仿宋"/>
          <w:color w:val="auto"/>
          <w:spacing w:val="0"/>
          <w:sz w:val="24"/>
          <w:szCs w:val="24"/>
          <w:u w:val="single" w:color="auto"/>
        </w:rPr>
        <w:t>采购人指定地点</w:t>
      </w:r>
      <w:r>
        <w:rPr>
          <w:rFonts w:hint="eastAsia" w:ascii="仿宋" w:hAnsi="仿宋" w:eastAsia="仿宋" w:cs="仿宋"/>
          <w:color w:val="auto"/>
          <w:spacing w:val="0"/>
          <w:sz w:val="24"/>
          <w:szCs w:val="24"/>
        </w:rPr>
        <w:t>；</w:t>
      </w:r>
    </w:p>
    <w:p w14:paraId="7D8BEB7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rPr>
        <w:t>二、组成本合同的文件</w:t>
      </w:r>
    </w:p>
    <w:p w14:paraId="5249ECD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1.合同书；</w:t>
      </w:r>
    </w:p>
    <w:p w14:paraId="24250A8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2.中标通知书、投标文件、招标文件、澄清、补充文件；</w:t>
      </w:r>
    </w:p>
    <w:p w14:paraId="2119DCD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3.相关服务建议书；</w:t>
      </w:r>
    </w:p>
    <w:p w14:paraId="3BD3964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4.附录，即：附表内相关服务的范围和内容；</w:t>
      </w:r>
    </w:p>
    <w:p w14:paraId="01BC031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本合同签订后，双方依法签订的补充协议也是本合同文件的组成部分，具有同等法律效力。</w:t>
      </w:r>
    </w:p>
    <w:p w14:paraId="2BC01CA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rPr>
        <w:t>三、合同价款</w:t>
      </w:r>
    </w:p>
    <w:p w14:paraId="45184FC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val="en-US" w:eastAsia="zh-CN"/>
        </w:rPr>
        <w:t>本项目为</w:t>
      </w:r>
      <w:r>
        <w:rPr>
          <w:rFonts w:hint="eastAsia" w:ascii="仿宋" w:hAnsi="仿宋" w:eastAsia="仿宋" w:cs="仿宋"/>
          <w:color w:val="auto"/>
          <w:spacing w:val="0"/>
          <w:sz w:val="24"/>
          <w:szCs w:val="24"/>
        </w:rPr>
        <w:t>固定单价</w:t>
      </w:r>
      <w:r>
        <w:rPr>
          <w:rFonts w:hint="eastAsia" w:ascii="仿宋" w:hAnsi="仿宋" w:eastAsia="仿宋" w:cs="仿宋"/>
          <w:color w:val="auto"/>
          <w:spacing w:val="0"/>
          <w:sz w:val="24"/>
          <w:szCs w:val="24"/>
          <w:lang w:val="en-US" w:eastAsia="zh-CN"/>
        </w:rPr>
        <w:t>合同</w:t>
      </w:r>
      <w:r>
        <w:rPr>
          <w:rFonts w:hint="eastAsia" w:ascii="仿宋" w:hAnsi="仿宋" w:eastAsia="仿宋" w:cs="仿宋"/>
          <w:color w:val="auto"/>
          <w:spacing w:val="0"/>
          <w:sz w:val="24"/>
          <w:szCs w:val="24"/>
        </w:rPr>
        <w:t>。合同价格为含税价，供应商提供产品发生的一切税（包括增值税）费等都已包含于合同价款中。</w:t>
      </w:r>
      <w:r>
        <w:rPr>
          <w:rFonts w:hint="eastAsia" w:ascii="仿宋" w:hAnsi="仿宋" w:eastAsia="仿宋" w:cs="仿宋"/>
          <w:color w:val="auto"/>
          <w:spacing w:val="0"/>
          <w:sz w:val="24"/>
          <w:szCs w:val="24"/>
          <w:lang w:val="en-US" w:eastAsia="zh-CN"/>
        </w:rPr>
        <w:t>中标</w:t>
      </w:r>
      <w:r>
        <w:rPr>
          <w:rFonts w:hint="eastAsia" w:ascii="仿宋" w:hAnsi="仿宋" w:eastAsia="仿宋" w:cs="仿宋"/>
          <w:color w:val="auto"/>
          <w:spacing w:val="0"/>
          <w:sz w:val="24"/>
          <w:szCs w:val="24"/>
        </w:rPr>
        <w:t>供应商应及时进行供应服务，不得随意更改中药饮片供应价格；不得以价格波动为由而对饮片进行“存而不供”，对于此类恶意断供行为，采购人有权终止合同。</w:t>
      </w:r>
    </w:p>
    <w:p w14:paraId="24B88BF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附分项清单：</w:t>
      </w:r>
    </w:p>
    <w:tbl>
      <w:tblPr>
        <w:tblStyle w:val="3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6"/>
        <w:gridCol w:w="937"/>
        <w:gridCol w:w="1325"/>
        <w:gridCol w:w="1745"/>
        <w:gridCol w:w="834"/>
        <w:gridCol w:w="809"/>
        <w:gridCol w:w="1131"/>
        <w:gridCol w:w="1525"/>
      </w:tblGrid>
      <w:tr w14:paraId="01944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exact"/>
          <w:jc w:val="center"/>
        </w:trPr>
        <w:tc>
          <w:tcPr>
            <w:tcW w:w="526" w:type="pct"/>
            <w:noWrap w:val="0"/>
            <w:vAlign w:val="center"/>
          </w:tcPr>
          <w:p w14:paraId="1CC509BA">
            <w:pPr>
              <w:shd w:val="clear"/>
              <w:adjustRightInd w:val="0"/>
              <w:snapToGrid w:val="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505" w:type="pct"/>
            <w:noWrap w:val="0"/>
            <w:vAlign w:val="center"/>
          </w:tcPr>
          <w:p w14:paraId="6350A0F5">
            <w:pPr>
              <w:shd w:val="clear"/>
              <w:adjustRightInd w:val="0"/>
              <w:snapToGrid w:val="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名称</w:t>
            </w:r>
          </w:p>
        </w:tc>
        <w:tc>
          <w:tcPr>
            <w:tcW w:w="714" w:type="pct"/>
            <w:noWrap w:val="0"/>
            <w:vAlign w:val="center"/>
          </w:tcPr>
          <w:p w14:paraId="0E23BC9E">
            <w:pPr>
              <w:shd w:val="clear"/>
              <w:adjustRightInd w:val="0"/>
              <w:snapToGrid w:val="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品牌</w:t>
            </w:r>
          </w:p>
        </w:tc>
        <w:tc>
          <w:tcPr>
            <w:tcW w:w="940" w:type="pct"/>
            <w:noWrap w:val="0"/>
            <w:vAlign w:val="center"/>
          </w:tcPr>
          <w:p w14:paraId="6AAD7218">
            <w:pPr>
              <w:shd w:val="clear"/>
              <w:adjustRightInd w:val="0"/>
              <w:snapToGrid w:val="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规格型号</w:t>
            </w:r>
          </w:p>
        </w:tc>
        <w:tc>
          <w:tcPr>
            <w:tcW w:w="449" w:type="pct"/>
            <w:noWrap w:val="0"/>
            <w:vAlign w:val="center"/>
          </w:tcPr>
          <w:p w14:paraId="2F0CBE5C">
            <w:pPr>
              <w:shd w:val="clear"/>
              <w:adjustRightInd w:val="0"/>
              <w:snapToGrid w:val="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436" w:type="pct"/>
            <w:noWrap w:val="0"/>
            <w:vAlign w:val="center"/>
          </w:tcPr>
          <w:p w14:paraId="0D3A56B0">
            <w:pPr>
              <w:shd w:val="clear"/>
              <w:adjustRightInd w:val="0"/>
              <w:snapToGrid w:val="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w:t>
            </w:r>
          </w:p>
        </w:tc>
        <w:tc>
          <w:tcPr>
            <w:tcW w:w="609" w:type="pct"/>
            <w:noWrap w:val="0"/>
            <w:vAlign w:val="center"/>
          </w:tcPr>
          <w:p w14:paraId="7F5F2380">
            <w:pPr>
              <w:shd w:val="clear"/>
              <w:adjustRightInd w:val="0"/>
              <w:snapToGrid w:val="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单价</w:t>
            </w:r>
          </w:p>
          <w:p w14:paraId="0B225924">
            <w:pPr>
              <w:shd w:val="clear"/>
              <w:adjustRightInd w:val="0"/>
              <w:snapToGrid w:val="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（元）</w:t>
            </w:r>
          </w:p>
        </w:tc>
        <w:tc>
          <w:tcPr>
            <w:tcW w:w="818" w:type="pct"/>
            <w:noWrap w:val="0"/>
            <w:vAlign w:val="center"/>
          </w:tcPr>
          <w:p w14:paraId="05FF027D">
            <w:pPr>
              <w:shd w:val="clear"/>
              <w:adjustRightInd w:val="0"/>
              <w:snapToGrid w:val="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合计</w:t>
            </w:r>
          </w:p>
          <w:p w14:paraId="5C4665D2">
            <w:pPr>
              <w:shd w:val="clear"/>
              <w:adjustRightInd w:val="0"/>
              <w:snapToGrid w:val="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（元）</w:t>
            </w:r>
          </w:p>
        </w:tc>
      </w:tr>
      <w:tr w14:paraId="6F722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526" w:type="pct"/>
            <w:noWrap w:val="0"/>
            <w:vAlign w:val="center"/>
          </w:tcPr>
          <w:p w14:paraId="076CEF66">
            <w:pPr>
              <w:shd w:val="clear"/>
              <w:adjustRightInd w:val="0"/>
              <w:snapToGrid w:val="0"/>
              <w:jc w:val="center"/>
              <w:outlineLvl w:val="9"/>
              <w:rPr>
                <w:rFonts w:hint="eastAsia" w:ascii="仿宋" w:hAnsi="仿宋" w:eastAsia="仿宋" w:cs="仿宋"/>
                <w:color w:val="auto"/>
                <w:sz w:val="24"/>
                <w:szCs w:val="24"/>
                <w:highlight w:val="none"/>
              </w:rPr>
            </w:pPr>
          </w:p>
        </w:tc>
        <w:tc>
          <w:tcPr>
            <w:tcW w:w="505" w:type="pct"/>
            <w:noWrap w:val="0"/>
            <w:vAlign w:val="center"/>
          </w:tcPr>
          <w:p w14:paraId="39003B75">
            <w:pPr>
              <w:shd w:val="clear"/>
              <w:adjustRightInd w:val="0"/>
              <w:snapToGrid w:val="0"/>
              <w:jc w:val="center"/>
              <w:outlineLvl w:val="9"/>
              <w:rPr>
                <w:rFonts w:hint="eastAsia" w:ascii="仿宋" w:hAnsi="仿宋" w:eastAsia="仿宋" w:cs="仿宋"/>
                <w:color w:val="auto"/>
                <w:sz w:val="24"/>
                <w:szCs w:val="24"/>
                <w:highlight w:val="none"/>
              </w:rPr>
            </w:pPr>
          </w:p>
        </w:tc>
        <w:tc>
          <w:tcPr>
            <w:tcW w:w="714" w:type="pct"/>
            <w:noWrap w:val="0"/>
            <w:vAlign w:val="center"/>
          </w:tcPr>
          <w:p w14:paraId="6FEA35C4">
            <w:pPr>
              <w:shd w:val="clear"/>
              <w:adjustRightInd w:val="0"/>
              <w:snapToGrid w:val="0"/>
              <w:jc w:val="center"/>
              <w:outlineLvl w:val="9"/>
              <w:rPr>
                <w:rFonts w:hint="eastAsia" w:ascii="仿宋" w:hAnsi="仿宋" w:eastAsia="仿宋" w:cs="仿宋"/>
                <w:color w:val="auto"/>
                <w:sz w:val="24"/>
                <w:szCs w:val="24"/>
                <w:highlight w:val="none"/>
              </w:rPr>
            </w:pPr>
          </w:p>
        </w:tc>
        <w:tc>
          <w:tcPr>
            <w:tcW w:w="940" w:type="pct"/>
            <w:noWrap w:val="0"/>
            <w:vAlign w:val="center"/>
          </w:tcPr>
          <w:p w14:paraId="336A7F16">
            <w:pPr>
              <w:shd w:val="clear"/>
              <w:adjustRightInd w:val="0"/>
              <w:snapToGrid w:val="0"/>
              <w:jc w:val="center"/>
              <w:outlineLvl w:val="9"/>
              <w:rPr>
                <w:rFonts w:hint="eastAsia" w:ascii="仿宋" w:hAnsi="仿宋" w:eastAsia="仿宋" w:cs="仿宋"/>
                <w:color w:val="auto"/>
                <w:sz w:val="24"/>
                <w:szCs w:val="24"/>
                <w:highlight w:val="none"/>
              </w:rPr>
            </w:pPr>
          </w:p>
        </w:tc>
        <w:tc>
          <w:tcPr>
            <w:tcW w:w="449" w:type="pct"/>
            <w:noWrap w:val="0"/>
            <w:vAlign w:val="center"/>
          </w:tcPr>
          <w:p w14:paraId="04D1AA5C">
            <w:pPr>
              <w:shd w:val="clear"/>
              <w:adjustRightInd w:val="0"/>
              <w:snapToGrid w:val="0"/>
              <w:jc w:val="center"/>
              <w:outlineLvl w:val="9"/>
              <w:rPr>
                <w:rFonts w:hint="eastAsia" w:ascii="仿宋" w:hAnsi="仿宋" w:eastAsia="仿宋" w:cs="仿宋"/>
                <w:color w:val="auto"/>
                <w:sz w:val="24"/>
                <w:szCs w:val="24"/>
                <w:highlight w:val="none"/>
              </w:rPr>
            </w:pPr>
          </w:p>
        </w:tc>
        <w:tc>
          <w:tcPr>
            <w:tcW w:w="436" w:type="pct"/>
            <w:noWrap w:val="0"/>
            <w:vAlign w:val="center"/>
          </w:tcPr>
          <w:p w14:paraId="17217C58">
            <w:pPr>
              <w:shd w:val="clear"/>
              <w:adjustRightInd w:val="0"/>
              <w:snapToGrid w:val="0"/>
              <w:jc w:val="center"/>
              <w:outlineLvl w:val="9"/>
              <w:rPr>
                <w:rFonts w:hint="eastAsia" w:ascii="仿宋" w:hAnsi="仿宋" w:eastAsia="仿宋" w:cs="仿宋"/>
                <w:color w:val="auto"/>
                <w:sz w:val="24"/>
                <w:szCs w:val="24"/>
                <w:highlight w:val="none"/>
              </w:rPr>
            </w:pPr>
          </w:p>
        </w:tc>
        <w:tc>
          <w:tcPr>
            <w:tcW w:w="609" w:type="pct"/>
            <w:noWrap w:val="0"/>
            <w:vAlign w:val="center"/>
          </w:tcPr>
          <w:p w14:paraId="0451974D">
            <w:pPr>
              <w:shd w:val="clear"/>
              <w:adjustRightInd w:val="0"/>
              <w:snapToGrid w:val="0"/>
              <w:jc w:val="center"/>
              <w:outlineLvl w:val="9"/>
              <w:rPr>
                <w:rFonts w:hint="eastAsia" w:ascii="仿宋" w:hAnsi="仿宋" w:eastAsia="仿宋" w:cs="仿宋"/>
                <w:color w:val="auto"/>
                <w:sz w:val="24"/>
                <w:szCs w:val="24"/>
                <w:highlight w:val="none"/>
              </w:rPr>
            </w:pPr>
          </w:p>
        </w:tc>
        <w:tc>
          <w:tcPr>
            <w:tcW w:w="818" w:type="pct"/>
            <w:noWrap w:val="0"/>
            <w:vAlign w:val="center"/>
          </w:tcPr>
          <w:p w14:paraId="7F6F7153">
            <w:pPr>
              <w:shd w:val="clear"/>
              <w:adjustRightInd w:val="0"/>
              <w:snapToGrid w:val="0"/>
              <w:jc w:val="center"/>
              <w:outlineLvl w:val="9"/>
              <w:rPr>
                <w:rFonts w:hint="eastAsia" w:ascii="仿宋" w:hAnsi="仿宋" w:eastAsia="仿宋" w:cs="仿宋"/>
                <w:color w:val="auto"/>
                <w:sz w:val="24"/>
                <w:szCs w:val="24"/>
                <w:highlight w:val="none"/>
              </w:rPr>
            </w:pPr>
          </w:p>
        </w:tc>
      </w:tr>
      <w:tr w14:paraId="78D84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526" w:type="pct"/>
            <w:noWrap w:val="0"/>
            <w:vAlign w:val="center"/>
          </w:tcPr>
          <w:p w14:paraId="36BF992F">
            <w:pPr>
              <w:shd w:val="clear"/>
              <w:adjustRightInd w:val="0"/>
              <w:snapToGrid w:val="0"/>
              <w:jc w:val="center"/>
              <w:outlineLvl w:val="9"/>
              <w:rPr>
                <w:rFonts w:hint="eastAsia" w:ascii="仿宋" w:hAnsi="仿宋" w:eastAsia="仿宋" w:cs="仿宋"/>
                <w:color w:val="auto"/>
                <w:sz w:val="24"/>
                <w:szCs w:val="24"/>
                <w:highlight w:val="none"/>
              </w:rPr>
            </w:pPr>
          </w:p>
        </w:tc>
        <w:tc>
          <w:tcPr>
            <w:tcW w:w="505" w:type="pct"/>
            <w:noWrap w:val="0"/>
            <w:vAlign w:val="center"/>
          </w:tcPr>
          <w:p w14:paraId="58134F9E">
            <w:pPr>
              <w:shd w:val="clear"/>
              <w:adjustRightInd w:val="0"/>
              <w:snapToGrid w:val="0"/>
              <w:jc w:val="center"/>
              <w:outlineLvl w:val="9"/>
              <w:rPr>
                <w:rFonts w:hint="eastAsia" w:ascii="仿宋" w:hAnsi="仿宋" w:eastAsia="仿宋" w:cs="仿宋"/>
                <w:color w:val="auto"/>
                <w:sz w:val="24"/>
                <w:szCs w:val="24"/>
                <w:highlight w:val="none"/>
              </w:rPr>
            </w:pPr>
          </w:p>
        </w:tc>
        <w:tc>
          <w:tcPr>
            <w:tcW w:w="714" w:type="pct"/>
            <w:noWrap w:val="0"/>
            <w:vAlign w:val="center"/>
          </w:tcPr>
          <w:p w14:paraId="03FC6AFE">
            <w:pPr>
              <w:shd w:val="clear"/>
              <w:adjustRightInd w:val="0"/>
              <w:snapToGrid w:val="0"/>
              <w:jc w:val="center"/>
              <w:outlineLvl w:val="9"/>
              <w:rPr>
                <w:rFonts w:hint="eastAsia" w:ascii="仿宋" w:hAnsi="仿宋" w:eastAsia="仿宋" w:cs="仿宋"/>
                <w:color w:val="auto"/>
                <w:sz w:val="24"/>
                <w:szCs w:val="24"/>
                <w:highlight w:val="none"/>
              </w:rPr>
            </w:pPr>
          </w:p>
        </w:tc>
        <w:tc>
          <w:tcPr>
            <w:tcW w:w="940" w:type="pct"/>
            <w:noWrap w:val="0"/>
            <w:vAlign w:val="center"/>
          </w:tcPr>
          <w:p w14:paraId="4B588147">
            <w:pPr>
              <w:shd w:val="clear"/>
              <w:adjustRightInd w:val="0"/>
              <w:snapToGrid w:val="0"/>
              <w:jc w:val="center"/>
              <w:outlineLvl w:val="9"/>
              <w:rPr>
                <w:rFonts w:hint="eastAsia" w:ascii="仿宋" w:hAnsi="仿宋" w:eastAsia="仿宋" w:cs="仿宋"/>
                <w:color w:val="auto"/>
                <w:sz w:val="24"/>
                <w:szCs w:val="24"/>
                <w:highlight w:val="none"/>
              </w:rPr>
            </w:pPr>
          </w:p>
        </w:tc>
        <w:tc>
          <w:tcPr>
            <w:tcW w:w="449" w:type="pct"/>
            <w:noWrap w:val="0"/>
            <w:vAlign w:val="center"/>
          </w:tcPr>
          <w:p w14:paraId="30E6CBFE">
            <w:pPr>
              <w:shd w:val="clear"/>
              <w:adjustRightInd w:val="0"/>
              <w:snapToGrid w:val="0"/>
              <w:jc w:val="center"/>
              <w:outlineLvl w:val="9"/>
              <w:rPr>
                <w:rFonts w:hint="eastAsia" w:ascii="仿宋" w:hAnsi="仿宋" w:eastAsia="仿宋" w:cs="仿宋"/>
                <w:color w:val="auto"/>
                <w:sz w:val="24"/>
                <w:szCs w:val="24"/>
                <w:highlight w:val="none"/>
              </w:rPr>
            </w:pPr>
          </w:p>
        </w:tc>
        <w:tc>
          <w:tcPr>
            <w:tcW w:w="436" w:type="pct"/>
            <w:noWrap w:val="0"/>
            <w:vAlign w:val="center"/>
          </w:tcPr>
          <w:p w14:paraId="1DD0D621">
            <w:pPr>
              <w:shd w:val="clear"/>
              <w:adjustRightInd w:val="0"/>
              <w:snapToGrid w:val="0"/>
              <w:jc w:val="center"/>
              <w:outlineLvl w:val="9"/>
              <w:rPr>
                <w:rFonts w:hint="eastAsia" w:ascii="仿宋" w:hAnsi="仿宋" w:eastAsia="仿宋" w:cs="仿宋"/>
                <w:color w:val="auto"/>
                <w:sz w:val="24"/>
                <w:szCs w:val="24"/>
                <w:highlight w:val="none"/>
              </w:rPr>
            </w:pPr>
          </w:p>
        </w:tc>
        <w:tc>
          <w:tcPr>
            <w:tcW w:w="609" w:type="pct"/>
            <w:noWrap w:val="0"/>
            <w:vAlign w:val="center"/>
          </w:tcPr>
          <w:p w14:paraId="336E8504">
            <w:pPr>
              <w:shd w:val="clear"/>
              <w:adjustRightInd w:val="0"/>
              <w:snapToGrid w:val="0"/>
              <w:jc w:val="center"/>
              <w:outlineLvl w:val="9"/>
              <w:rPr>
                <w:rFonts w:hint="eastAsia" w:ascii="仿宋" w:hAnsi="仿宋" w:eastAsia="仿宋" w:cs="仿宋"/>
                <w:color w:val="auto"/>
                <w:sz w:val="24"/>
                <w:szCs w:val="24"/>
                <w:highlight w:val="none"/>
              </w:rPr>
            </w:pPr>
          </w:p>
        </w:tc>
        <w:tc>
          <w:tcPr>
            <w:tcW w:w="818" w:type="pct"/>
            <w:noWrap w:val="0"/>
            <w:vAlign w:val="center"/>
          </w:tcPr>
          <w:p w14:paraId="0FFA0042">
            <w:pPr>
              <w:shd w:val="clear"/>
              <w:adjustRightInd w:val="0"/>
              <w:snapToGrid w:val="0"/>
              <w:jc w:val="center"/>
              <w:outlineLvl w:val="9"/>
              <w:rPr>
                <w:rFonts w:hint="eastAsia" w:ascii="仿宋" w:hAnsi="仿宋" w:eastAsia="仿宋" w:cs="仿宋"/>
                <w:color w:val="auto"/>
                <w:sz w:val="24"/>
                <w:szCs w:val="24"/>
                <w:highlight w:val="none"/>
              </w:rPr>
            </w:pPr>
          </w:p>
        </w:tc>
      </w:tr>
      <w:tr w14:paraId="307A3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526" w:type="pct"/>
            <w:noWrap w:val="0"/>
            <w:vAlign w:val="center"/>
          </w:tcPr>
          <w:p w14:paraId="65CF8F60">
            <w:pPr>
              <w:shd w:val="clear"/>
              <w:adjustRightInd w:val="0"/>
              <w:snapToGrid w:val="0"/>
              <w:jc w:val="center"/>
              <w:outlineLvl w:val="9"/>
              <w:rPr>
                <w:rFonts w:hint="eastAsia" w:ascii="仿宋" w:hAnsi="仿宋" w:eastAsia="仿宋" w:cs="仿宋"/>
                <w:color w:val="auto"/>
                <w:sz w:val="24"/>
                <w:szCs w:val="24"/>
                <w:highlight w:val="none"/>
              </w:rPr>
            </w:pPr>
          </w:p>
        </w:tc>
        <w:tc>
          <w:tcPr>
            <w:tcW w:w="505" w:type="pct"/>
            <w:noWrap w:val="0"/>
            <w:vAlign w:val="center"/>
          </w:tcPr>
          <w:p w14:paraId="43FF642D">
            <w:pPr>
              <w:shd w:val="clear"/>
              <w:adjustRightInd w:val="0"/>
              <w:snapToGrid w:val="0"/>
              <w:jc w:val="center"/>
              <w:outlineLvl w:val="9"/>
              <w:rPr>
                <w:rFonts w:hint="eastAsia" w:ascii="仿宋" w:hAnsi="仿宋" w:eastAsia="仿宋" w:cs="仿宋"/>
                <w:color w:val="auto"/>
                <w:sz w:val="24"/>
                <w:szCs w:val="24"/>
                <w:highlight w:val="none"/>
              </w:rPr>
            </w:pPr>
          </w:p>
        </w:tc>
        <w:tc>
          <w:tcPr>
            <w:tcW w:w="714" w:type="pct"/>
            <w:noWrap w:val="0"/>
            <w:vAlign w:val="center"/>
          </w:tcPr>
          <w:p w14:paraId="08A28B6E">
            <w:pPr>
              <w:shd w:val="clear"/>
              <w:adjustRightInd w:val="0"/>
              <w:snapToGrid w:val="0"/>
              <w:jc w:val="center"/>
              <w:outlineLvl w:val="9"/>
              <w:rPr>
                <w:rFonts w:hint="eastAsia" w:ascii="仿宋" w:hAnsi="仿宋" w:eastAsia="仿宋" w:cs="仿宋"/>
                <w:color w:val="auto"/>
                <w:sz w:val="24"/>
                <w:szCs w:val="24"/>
                <w:highlight w:val="none"/>
              </w:rPr>
            </w:pPr>
          </w:p>
        </w:tc>
        <w:tc>
          <w:tcPr>
            <w:tcW w:w="940" w:type="pct"/>
            <w:noWrap w:val="0"/>
            <w:vAlign w:val="center"/>
          </w:tcPr>
          <w:p w14:paraId="767C4F5F">
            <w:pPr>
              <w:shd w:val="clear"/>
              <w:adjustRightInd w:val="0"/>
              <w:snapToGrid w:val="0"/>
              <w:jc w:val="center"/>
              <w:outlineLvl w:val="9"/>
              <w:rPr>
                <w:rFonts w:hint="eastAsia" w:ascii="仿宋" w:hAnsi="仿宋" w:eastAsia="仿宋" w:cs="仿宋"/>
                <w:color w:val="auto"/>
                <w:sz w:val="24"/>
                <w:szCs w:val="24"/>
                <w:highlight w:val="none"/>
              </w:rPr>
            </w:pPr>
          </w:p>
        </w:tc>
        <w:tc>
          <w:tcPr>
            <w:tcW w:w="449" w:type="pct"/>
            <w:noWrap w:val="0"/>
            <w:vAlign w:val="center"/>
          </w:tcPr>
          <w:p w14:paraId="60845309">
            <w:pPr>
              <w:shd w:val="clear"/>
              <w:adjustRightInd w:val="0"/>
              <w:snapToGrid w:val="0"/>
              <w:jc w:val="center"/>
              <w:outlineLvl w:val="9"/>
              <w:rPr>
                <w:rFonts w:hint="eastAsia" w:ascii="仿宋" w:hAnsi="仿宋" w:eastAsia="仿宋" w:cs="仿宋"/>
                <w:color w:val="auto"/>
                <w:sz w:val="24"/>
                <w:szCs w:val="24"/>
                <w:highlight w:val="none"/>
              </w:rPr>
            </w:pPr>
          </w:p>
        </w:tc>
        <w:tc>
          <w:tcPr>
            <w:tcW w:w="436" w:type="pct"/>
            <w:noWrap w:val="0"/>
            <w:vAlign w:val="center"/>
          </w:tcPr>
          <w:p w14:paraId="2E2BA341">
            <w:pPr>
              <w:shd w:val="clear"/>
              <w:adjustRightInd w:val="0"/>
              <w:snapToGrid w:val="0"/>
              <w:jc w:val="center"/>
              <w:outlineLvl w:val="9"/>
              <w:rPr>
                <w:rFonts w:hint="eastAsia" w:ascii="仿宋" w:hAnsi="仿宋" w:eastAsia="仿宋" w:cs="仿宋"/>
                <w:color w:val="auto"/>
                <w:sz w:val="24"/>
                <w:szCs w:val="24"/>
                <w:highlight w:val="none"/>
              </w:rPr>
            </w:pPr>
          </w:p>
        </w:tc>
        <w:tc>
          <w:tcPr>
            <w:tcW w:w="609" w:type="pct"/>
            <w:noWrap w:val="0"/>
            <w:vAlign w:val="center"/>
          </w:tcPr>
          <w:p w14:paraId="37D811E1">
            <w:pPr>
              <w:shd w:val="clear"/>
              <w:adjustRightInd w:val="0"/>
              <w:snapToGrid w:val="0"/>
              <w:jc w:val="center"/>
              <w:outlineLvl w:val="9"/>
              <w:rPr>
                <w:rFonts w:hint="eastAsia" w:ascii="仿宋" w:hAnsi="仿宋" w:eastAsia="仿宋" w:cs="仿宋"/>
                <w:color w:val="auto"/>
                <w:sz w:val="24"/>
                <w:szCs w:val="24"/>
                <w:highlight w:val="none"/>
              </w:rPr>
            </w:pPr>
          </w:p>
        </w:tc>
        <w:tc>
          <w:tcPr>
            <w:tcW w:w="818" w:type="pct"/>
            <w:noWrap w:val="0"/>
            <w:vAlign w:val="center"/>
          </w:tcPr>
          <w:p w14:paraId="022B0001">
            <w:pPr>
              <w:shd w:val="clear"/>
              <w:adjustRightInd w:val="0"/>
              <w:snapToGrid w:val="0"/>
              <w:jc w:val="center"/>
              <w:outlineLvl w:val="9"/>
              <w:rPr>
                <w:rFonts w:hint="eastAsia" w:ascii="仿宋" w:hAnsi="仿宋" w:eastAsia="仿宋" w:cs="仿宋"/>
                <w:color w:val="auto"/>
                <w:sz w:val="24"/>
                <w:szCs w:val="24"/>
                <w:highlight w:val="none"/>
              </w:rPr>
            </w:pPr>
          </w:p>
        </w:tc>
      </w:tr>
      <w:tr w14:paraId="432EB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exact"/>
          <w:jc w:val="center"/>
        </w:trPr>
        <w:tc>
          <w:tcPr>
            <w:tcW w:w="5000" w:type="pct"/>
            <w:gridSpan w:val="8"/>
            <w:noWrap w:val="0"/>
            <w:vAlign w:val="center"/>
          </w:tcPr>
          <w:p w14:paraId="0D1CCC22">
            <w:pPr>
              <w:shd w:val="clear"/>
              <w:adjustRightInd w:val="0"/>
              <w:snapToGrid w:val="0"/>
              <w:jc w:val="left"/>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合计金额：¥          元；     大写：</w:t>
            </w:r>
          </w:p>
        </w:tc>
      </w:tr>
    </w:tbl>
    <w:p w14:paraId="74EFC6B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rPr>
        <w:t>四、结算方式：</w:t>
      </w:r>
    </w:p>
    <w:p w14:paraId="193B0791">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（1）结算方式：银行转账。</w:t>
      </w:r>
    </w:p>
    <w:p w14:paraId="69C6900F">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（2）付款方式：</w:t>
      </w:r>
    </w:p>
    <w:p w14:paraId="5B94E335">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按</w:t>
      </w:r>
      <w:r>
        <w:rPr>
          <w:rFonts w:hint="eastAsia" w:ascii="仿宋" w:hAnsi="仿宋" w:eastAsia="仿宋" w:cs="仿宋"/>
          <w:color w:val="auto"/>
          <w:spacing w:val="0"/>
          <w:sz w:val="24"/>
          <w:szCs w:val="24"/>
          <w:lang w:val="en-US" w:eastAsia="zh-CN"/>
        </w:rPr>
        <w:t>月</w:t>
      </w:r>
      <w:r>
        <w:rPr>
          <w:rFonts w:hint="eastAsia" w:ascii="仿宋" w:hAnsi="仿宋" w:eastAsia="仿宋" w:cs="仿宋"/>
          <w:color w:val="auto"/>
          <w:spacing w:val="0"/>
          <w:sz w:val="24"/>
          <w:szCs w:val="24"/>
        </w:rPr>
        <w:t>据实结算，乙方应按有关要求向甲方提交上一</w:t>
      </w:r>
      <w:r>
        <w:rPr>
          <w:rFonts w:hint="eastAsia" w:ascii="仿宋" w:hAnsi="仿宋" w:eastAsia="仿宋" w:cs="仿宋"/>
          <w:color w:val="auto"/>
          <w:spacing w:val="0"/>
          <w:sz w:val="24"/>
          <w:szCs w:val="24"/>
          <w:lang w:val="en-US" w:eastAsia="zh-CN"/>
        </w:rPr>
        <w:t>月</w:t>
      </w:r>
      <w:r>
        <w:rPr>
          <w:rFonts w:hint="eastAsia" w:ascii="仿宋" w:hAnsi="仿宋" w:eastAsia="仿宋" w:cs="仿宋"/>
          <w:color w:val="auto"/>
          <w:spacing w:val="0"/>
          <w:sz w:val="24"/>
          <w:szCs w:val="24"/>
        </w:rPr>
        <w:t>已交易药品的发票等相关单据，以及合同规定的其他义务已经履行的证明。</w:t>
      </w:r>
    </w:p>
    <w:p w14:paraId="41E5E1DB">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甲方核对交易单据及明细无误后，</w:t>
      </w:r>
      <w:r>
        <w:rPr>
          <w:rFonts w:hint="eastAsia" w:ascii="仿宋" w:hAnsi="仿宋" w:eastAsia="仿宋" w:cs="仿宋"/>
          <w:color w:val="auto"/>
          <w:spacing w:val="0"/>
          <w:sz w:val="24"/>
          <w:szCs w:val="24"/>
          <w:lang w:val="en-US" w:eastAsia="zh-CN"/>
        </w:rPr>
        <w:t>达到付款条件</w:t>
      </w:r>
      <w:r>
        <w:rPr>
          <w:rFonts w:hint="eastAsia" w:ascii="仿宋" w:hAnsi="仿宋" w:eastAsia="仿宋" w:cs="仿宋"/>
          <w:color w:val="auto"/>
          <w:spacing w:val="0"/>
          <w:sz w:val="24"/>
          <w:szCs w:val="24"/>
        </w:rPr>
        <w:t>之日起</w:t>
      </w:r>
      <w:r>
        <w:rPr>
          <w:rFonts w:hint="eastAsia" w:ascii="仿宋" w:hAnsi="仿宋" w:eastAsia="仿宋" w:cs="仿宋"/>
          <w:color w:val="auto"/>
          <w:spacing w:val="0"/>
          <w:sz w:val="24"/>
          <w:szCs w:val="24"/>
          <w:lang w:val="en-US" w:eastAsia="zh-CN"/>
        </w:rPr>
        <w:t>9</w:t>
      </w:r>
      <w:r>
        <w:rPr>
          <w:rFonts w:hint="eastAsia" w:ascii="仿宋" w:hAnsi="仿宋" w:eastAsia="仿宋" w:cs="仿宋"/>
          <w:color w:val="auto"/>
          <w:spacing w:val="0"/>
          <w:sz w:val="24"/>
          <w:szCs w:val="24"/>
        </w:rPr>
        <w:t>0日内向乙方付款。</w:t>
      </w:r>
    </w:p>
    <w:p w14:paraId="1754A8B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rPr>
        <w:t>五、交货地点及合同履行期限</w:t>
      </w:r>
    </w:p>
    <w:p w14:paraId="02088B9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1、交货地点：采购人指定地点</w:t>
      </w:r>
    </w:p>
    <w:p w14:paraId="45FD23C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2、交货期：</w:t>
      </w:r>
      <w:r>
        <w:rPr>
          <w:rFonts w:hint="eastAsia" w:ascii="仿宋" w:hAnsi="仿宋" w:eastAsia="仿宋" w:cs="仿宋"/>
          <w:color w:val="auto"/>
          <w:spacing w:val="0"/>
          <w:sz w:val="24"/>
          <w:szCs w:val="24"/>
          <w:lang w:eastAsia="zh-CN"/>
        </w:rPr>
        <w:t>服务期：1年，供货周期：接到采购计划后3个工作日内送达。</w:t>
      </w:r>
    </w:p>
    <w:p w14:paraId="1DC51F9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rPr>
        <w:t>六、双方权利和义务</w:t>
      </w:r>
    </w:p>
    <w:p w14:paraId="1D424E4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（一）甲方的权利和义务</w:t>
      </w:r>
    </w:p>
    <w:p w14:paraId="692953B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甲方权利：组织使用单位严格按照</w:t>
      </w:r>
      <w:r>
        <w:rPr>
          <w:rFonts w:hint="eastAsia" w:ascii="仿宋" w:hAnsi="仿宋" w:eastAsia="仿宋" w:cs="仿宋"/>
          <w:color w:val="auto"/>
          <w:spacing w:val="0"/>
          <w:sz w:val="24"/>
          <w:szCs w:val="24"/>
          <w:lang w:eastAsia="zh-CN"/>
        </w:rPr>
        <w:t>招标文件</w:t>
      </w:r>
      <w:r>
        <w:rPr>
          <w:rFonts w:hint="eastAsia" w:ascii="仿宋" w:hAnsi="仿宋" w:eastAsia="仿宋" w:cs="仿宋"/>
          <w:color w:val="auto"/>
          <w:spacing w:val="0"/>
          <w:sz w:val="24"/>
          <w:szCs w:val="24"/>
        </w:rPr>
        <w:t>及</w:t>
      </w:r>
      <w:r>
        <w:rPr>
          <w:rFonts w:hint="eastAsia" w:ascii="仿宋" w:hAnsi="仿宋" w:eastAsia="仿宋" w:cs="仿宋"/>
          <w:color w:val="auto"/>
          <w:spacing w:val="0"/>
          <w:sz w:val="24"/>
          <w:szCs w:val="24"/>
          <w:lang w:eastAsia="zh-CN"/>
        </w:rPr>
        <w:t>投标文件</w:t>
      </w:r>
      <w:r>
        <w:rPr>
          <w:rFonts w:hint="eastAsia" w:ascii="仿宋" w:hAnsi="仿宋" w:eastAsia="仿宋" w:cs="仿宋"/>
          <w:color w:val="auto"/>
          <w:spacing w:val="0"/>
          <w:sz w:val="24"/>
          <w:szCs w:val="24"/>
        </w:rPr>
        <w:t>要求和标准验收</w:t>
      </w:r>
      <w:r>
        <w:rPr>
          <w:rFonts w:hint="eastAsia" w:ascii="仿宋" w:hAnsi="仿宋" w:eastAsia="仿宋" w:cs="仿宋"/>
          <w:color w:val="auto"/>
          <w:spacing w:val="0"/>
          <w:sz w:val="24"/>
          <w:szCs w:val="24"/>
          <w:lang w:val="en-US" w:eastAsia="zh-CN"/>
        </w:rPr>
        <w:t>货物</w:t>
      </w:r>
      <w:r>
        <w:rPr>
          <w:rFonts w:hint="eastAsia" w:ascii="仿宋" w:hAnsi="仿宋" w:eastAsia="仿宋" w:cs="仿宋"/>
          <w:color w:val="auto"/>
          <w:spacing w:val="0"/>
          <w:sz w:val="24"/>
          <w:szCs w:val="24"/>
        </w:rPr>
        <w:t>甲方义务：积极配合乙方验收工作。</w:t>
      </w:r>
    </w:p>
    <w:p w14:paraId="3857B39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（二）乙方的权利和义务</w:t>
      </w:r>
    </w:p>
    <w:p w14:paraId="4D44919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乙方权利：按照合同约定要求甲方及时付款。</w:t>
      </w:r>
    </w:p>
    <w:p w14:paraId="777E51F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乙方义务：按照合同约定时间，按甲方指定地点提供货物。</w:t>
      </w:r>
    </w:p>
    <w:p w14:paraId="5209D9D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rPr>
        <w:t>七、内容及要求</w:t>
      </w:r>
    </w:p>
    <w:p w14:paraId="52E8960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即交付的产品、服务内容、数量与</w:t>
      </w:r>
      <w:r>
        <w:rPr>
          <w:rFonts w:hint="eastAsia" w:ascii="仿宋" w:hAnsi="仿宋" w:eastAsia="仿宋" w:cs="仿宋"/>
          <w:color w:val="auto"/>
          <w:spacing w:val="0"/>
          <w:sz w:val="24"/>
          <w:szCs w:val="24"/>
          <w:lang w:eastAsia="zh-CN"/>
        </w:rPr>
        <w:t>投标文件</w:t>
      </w:r>
      <w:r>
        <w:rPr>
          <w:rFonts w:hint="eastAsia" w:ascii="仿宋" w:hAnsi="仿宋" w:eastAsia="仿宋" w:cs="仿宋"/>
          <w:color w:val="auto"/>
          <w:spacing w:val="0"/>
          <w:sz w:val="24"/>
          <w:szCs w:val="24"/>
        </w:rPr>
        <w:t>、</w:t>
      </w:r>
      <w:r>
        <w:rPr>
          <w:rFonts w:hint="eastAsia" w:ascii="仿宋" w:hAnsi="仿宋" w:eastAsia="仿宋" w:cs="仿宋"/>
          <w:color w:val="auto"/>
          <w:spacing w:val="0"/>
          <w:sz w:val="24"/>
          <w:szCs w:val="24"/>
          <w:lang w:eastAsia="zh-CN"/>
        </w:rPr>
        <w:t>招标文件</w:t>
      </w:r>
      <w:r>
        <w:rPr>
          <w:rFonts w:hint="eastAsia" w:ascii="仿宋" w:hAnsi="仿宋" w:eastAsia="仿宋" w:cs="仿宋"/>
          <w:color w:val="auto"/>
          <w:spacing w:val="0"/>
          <w:sz w:val="24"/>
          <w:szCs w:val="24"/>
        </w:rPr>
        <w:t>等所指明的，或者与本合同所指明的产品、服务内容相一致。</w:t>
      </w:r>
    </w:p>
    <w:p w14:paraId="0A420BD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rPr>
        <w:t>供货内容一览表</w:t>
      </w:r>
    </w:p>
    <w:tbl>
      <w:tblPr>
        <w:tblStyle w:val="3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675"/>
        <w:gridCol w:w="960"/>
        <w:gridCol w:w="1485"/>
        <w:gridCol w:w="1695"/>
        <w:gridCol w:w="825"/>
        <w:gridCol w:w="735"/>
        <w:gridCol w:w="1050"/>
        <w:gridCol w:w="1215"/>
        <w:gridCol w:w="903"/>
      </w:tblGrid>
      <w:tr w14:paraId="05FB8A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center"/>
          </w:tcPr>
          <w:p w14:paraId="72B68B54">
            <w:pPr>
              <w:keepNext w:val="0"/>
              <w:keepLines w:val="0"/>
              <w:pageBreakBefore w:val="0"/>
              <w:widowControl/>
              <w:shd w:val="clear"/>
              <w:kinsoku/>
              <w:wordWrap/>
              <w:overflowPunct/>
              <w:topLinePunct w:val="0"/>
              <w:autoSpaceDE/>
              <w:autoSpaceDN/>
              <w:bidi w:val="0"/>
              <w:spacing w:line="360" w:lineRule="auto"/>
              <w:ind w:firstLine="0" w:firstLineChars="0"/>
              <w:jc w:val="center"/>
              <w:textAlignment w:val="auto"/>
              <w:outlineLvl w:val="9"/>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t>序号</w:t>
            </w:r>
          </w:p>
        </w:tc>
        <w:tc>
          <w:tcPr>
            <w:tcW w:w="960" w:type="dxa"/>
            <w:noWrap w:val="0"/>
            <w:vAlign w:val="center"/>
          </w:tcPr>
          <w:p w14:paraId="1BEA0863">
            <w:pPr>
              <w:keepNext w:val="0"/>
              <w:keepLines w:val="0"/>
              <w:pageBreakBefore w:val="0"/>
              <w:widowControl/>
              <w:shd w:val="clear"/>
              <w:kinsoku/>
              <w:wordWrap/>
              <w:overflowPunct/>
              <w:topLinePunct w:val="0"/>
              <w:autoSpaceDE/>
              <w:autoSpaceDN/>
              <w:bidi w:val="0"/>
              <w:spacing w:line="360" w:lineRule="auto"/>
              <w:ind w:firstLine="0" w:firstLineChars="0"/>
              <w:jc w:val="center"/>
              <w:textAlignment w:val="auto"/>
              <w:outlineLvl w:val="9"/>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t>名称</w:t>
            </w:r>
          </w:p>
        </w:tc>
        <w:tc>
          <w:tcPr>
            <w:tcW w:w="1485" w:type="dxa"/>
            <w:tcBorders>
              <w:right w:val="single" w:color="auto" w:sz="4" w:space="0"/>
            </w:tcBorders>
            <w:noWrap w:val="0"/>
            <w:vAlign w:val="center"/>
          </w:tcPr>
          <w:p w14:paraId="247E0914">
            <w:pPr>
              <w:keepNext w:val="0"/>
              <w:keepLines w:val="0"/>
              <w:pageBreakBefore w:val="0"/>
              <w:widowControl/>
              <w:shd w:val="clear"/>
              <w:kinsoku/>
              <w:wordWrap/>
              <w:overflowPunct/>
              <w:topLinePunct w:val="0"/>
              <w:autoSpaceDE/>
              <w:autoSpaceDN/>
              <w:bidi w:val="0"/>
              <w:adjustRightInd w:val="0"/>
              <w:snapToGrid w:val="0"/>
              <w:ind w:left="0" w:firstLine="0" w:firstLineChars="0"/>
              <w:jc w:val="center"/>
              <w:textAlignment w:val="auto"/>
              <w:outlineLvl w:val="9"/>
              <w:rPr>
                <w:rFonts w:hint="eastAsia" w:ascii="仿宋" w:hAnsi="仿宋" w:eastAsia="仿宋" w:cs="仿宋"/>
                <w:color w:val="auto"/>
                <w:sz w:val="24"/>
                <w:szCs w:val="24"/>
                <w:highlight w:val="none"/>
              </w:rPr>
            </w:pPr>
            <w:bookmarkStart w:id="120" w:name="_Toc16506"/>
            <w:bookmarkStart w:id="121" w:name="_Toc21512"/>
            <w:bookmarkStart w:id="122" w:name="_Toc30417"/>
            <w:bookmarkStart w:id="123" w:name="_Toc27392"/>
            <w:r>
              <w:rPr>
                <w:rFonts w:hint="eastAsia" w:ascii="仿宋" w:hAnsi="仿宋" w:eastAsia="仿宋" w:cs="仿宋"/>
                <w:color w:val="auto"/>
                <w:sz w:val="24"/>
                <w:szCs w:val="24"/>
                <w:highlight w:val="none"/>
              </w:rPr>
              <w:t>品牌、规格及型号</w:t>
            </w:r>
            <w:bookmarkEnd w:id="120"/>
            <w:bookmarkEnd w:id="121"/>
            <w:bookmarkEnd w:id="122"/>
            <w:bookmarkEnd w:id="123"/>
          </w:p>
        </w:tc>
        <w:tc>
          <w:tcPr>
            <w:tcW w:w="1695" w:type="dxa"/>
            <w:tcBorders>
              <w:left w:val="single" w:color="auto" w:sz="4" w:space="0"/>
            </w:tcBorders>
            <w:noWrap w:val="0"/>
            <w:vAlign w:val="center"/>
          </w:tcPr>
          <w:p w14:paraId="653A6DD0">
            <w:pPr>
              <w:keepNext w:val="0"/>
              <w:keepLines w:val="0"/>
              <w:pageBreakBefore w:val="0"/>
              <w:widowControl/>
              <w:shd w:val="clear"/>
              <w:kinsoku/>
              <w:wordWrap/>
              <w:overflowPunct/>
              <w:topLinePunct w:val="0"/>
              <w:autoSpaceDE/>
              <w:autoSpaceDN/>
              <w:bidi w:val="0"/>
              <w:adjustRightInd w:val="0"/>
              <w:snapToGrid w:val="0"/>
              <w:ind w:left="0" w:firstLine="0" w:firstLineChars="0"/>
              <w:jc w:val="center"/>
              <w:textAlignment w:val="auto"/>
              <w:outlineLvl w:val="9"/>
              <w:rPr>
                <w:rFonts w:hint="eastAsia" w:ascii="仿宋" w:hAnsi="仿宋" w:eastAsia="仿宋" w:cs="仿宋"/>
                <w:color w:val="auto"/>
                <w:sz w:val="24"/>
                <w:szCs w:val="24"/>
                <w:highlight w:val="none"/>
              </w:rPr>
            </w:pPr>
            <w:bookmarkStart w:id="124" w:name="_Toc8981"/>
            <w:bookmarkStart w:id="125" w:name="_Toc15345"/>
            <w:bookmarkStart w:id="126" w:name="_Toc27421"/>
            <w:bookmarkStart w:id="127" w:name="_Toc109"/>
            <w:r>
              <w:rPr>
                <w:rFonts w:hint="eastAsia" w:ascii="仿宋" w:hAnsi="仿宋" w:eastAsia="仿宋" w:cs="仿宋"/>
                <w:color w:val="auto"/>
                <w:sz w:val="24"/>
                <w:szCs w:val="24"/>
                <w:highlight w:val="none"/>
              </w:rPr>
              <w:t>原产地及 制造厂名</w:t>
            </w:r>
            <w:bookmarkEnd w:id="124"/>
            <w:bookmarkEnd w:id="125"/>
            <w:bookmarkEnd w:id="126"/>
            <w:bookmarkEnd w:id="127"/>
          </w:p>
        </w:tc>
        <w:tc>
          <w:tcPr>
            <w:tcW w:w="825" w:type="dxa"/>
            <w:tcBorders>
              <w:right w:val="single" w:color="auto" w:sz="4" w:space="0"/>
            </w:tcBorders>
            <w:noWrap w:val="0"/>
            <w:vAlign w:val="center"/>
          </w:tcPr>
          <w:p w14:paraId="473EE579">
            <w:pPr>
              <w:keepNext w:val="0"/>
              <w:keepLines w:val="0"/>
              <w:pageBreakBefore w:val="0"/>
              <w:widowControl/>
              <w:shd w:val="clear"/>
              <w:kinsoku/>
              <w:wordWrap/>
              <w:overflowPunct/>
              <w:topLinePunct w:val="0"/>
              <w:autoSpaceDE/>
              <w:autoSpaceDN/>
              <w:bidi w:val="0"/>
              <w:adjustRightInd w:val="0"/>
              <w:snapToGrid w:val="0"/>
              <w:ind w:left="0" w:firstLine="0" w:firstLineChars="0"/>
              <w:jc w:val="center"/>
              <w:textAlignment w:val="auto"/>
              <w:outlineLvl w:val="9"/>
              <w:rPr>
                <w:rFonts w:hint="eastAsia" w:ascii="仿宋" w:hAnsi="仿宋" w:eastAsia="仿宋" w:cs="仿宋"/>
                <w:color w:val="auto"/>
                <w:sz w:val="24"/>
                <w:szCs w:val="24"/>
                <w:highlight w:val="none"/>
              </w:rPr>
            </w:pPr>
            <w:bookmarkStart w:id="128" w:name="_Toc10570"/>
            <w:bookmarkStart w:id="129" w:name="_Toc20611"/>
            <w:bookmarkStart w:id="130" w:name="_Toc14339"/>
            <w:bookmarkStart w:id="131" w:name="_Toc14127"/>
            <w:r>
              <w:rPr>
                <w:rFonts w:hint="eastAsia" w:ascii="仿宋" w:hAnsi="仿宋" w:eastAsia="仿宋" w:cs="仿宋"/>
                <w:color w:val="auto"/>
                <w:sz w:val="24"/>
                <w:szCs w:val="24"/>
                <w:highlight w:val="none"/>
              </w:rPr>
              <w:t>单价</w:t>
            </w:r>
            <w:bookmarkEnd w:id="128"/>
            <w:bookmarkEnd w:id="129"/>
            <w:bookmarkEnd w:id="130"/>
            <w:bookmarkEnd w:id="131"/>
          </w:p>
        </w:tc>
        <w:tc>
          <w:tcPr>
            <w:tcW w:w="735" w:type="dxa"/>
            <w:tcBorders>
              <w:left w:val="single" w:color="auto" w:sz="4" w:space="0"/>
              <w:right w:val="single" w:color="auto" w:sz="4" w:space="0"/>
            </w:tcBorders>
            <w:noWrap w:val="0"/>
            <w:vAlign w:val="center"/>
          </w:tcPr>
          <w:p w14:paraId="07E72DCB">
            <w:pPr>
              <w:keepNext w:val="0"/>
              <w:keepLines w:val="0"/>
              <w:pageBreakBefore w:val="0"/>
              <w:widowControl/>
              <w:shd w:val="clear"/>
              <w:kinsoku/>
              <w:wordWrap/>
              <w:overflowPunct/>
              <w:topLinePunct w:val="0"/>
              <w:autoSpaceDE/>
              <w:autoSpaceDN/>
              <w:bidi w:val="0"/>
              <w:adjustRightInd w:val="0"/>
              <w:snapToGrid w:val="0"/>
              <w:ind w:left="0" w:firstLine="0" w:firstLineChars="0"/>
              <w:jc w:val="center"/>
              <w:textAlignment w:val="auto"/>
              <w:outlineLvl w:val="9"/>
              <w:rPr>
                <w:rFonts w:hint="eastAsia" w:ascii="仿宋" w:hAnsi="仿宋" w:eastAsia="仿宋" w:cs="仿宋"/>
                <w:color w:val="auto"/>
                <w:sz w:val="24"/>
                <w:szCs w:val="24"/>
                <w:highlight w:val="none"/>
              </w:rPr>
            </w:pPr>
            <w:bookmarkStart w:id="132" w:name="_Toc15777"/>
            <w:bookmarkStart w:id="133" w:name="_Toc31109"/>
            <w:bookmarkStart w:id="134" w:name="_Toc879"/>
            <w:bookmarkStart w:id="135" w:name="_Toc21991"/>
            <w:r>
              <w:rPr>
                <w:rFonts w:hint="eastAsia" w:ascii="仿宋" w:hAnsi="仿宋" w:eastAsia="仿宋" w:cs="仿宋"/>
                <w:color w:val="auto"/>
                <w:sz w:val="24"/>
                <w:szCs w:val="24"/>
                <w:highlight w:val="none"/>
              </w:rPr>
              <w:t>数量</w:t>
            </w:r>
            <w:bookmarkEnd w:id="132"/>
            <w:bookmarkEnd w:id="133"/>
            <w:bookmarkEnd w:id="134"/>
            <w:bookmarkEnd w:id="135"/>
          </w:p>
        </w:tc>
        <w:tc>
          <w:tcPr>
            <w:tcW w:w="1050" w:type="dxa"/>
            <w:tcBorders>
              <w:left w:val="single" w:color="auto" w:sz="4" w:space="0"/>
            </w:tcBorders>
            <w:noWrap w:val="0"/>
            <w:vAlign w:val="center"/>
          </w:tcPr>
          <w:p w14:paraId="3F8D7992">
            <w:pPr>
              <w:keepNext w:val="0"/>
              <w:keepLines w:val="0"/>
              <w:pageBreakBefore w:val="0"/>
              <w:widowControl/>
              <w:shd w:val="clear"/>
              <w:kinsoku/>
              <w:wordWrap/>
              <w:overflowPunct/>
              <w:topLinePunct w:val="0"/>
              <w:autoSpaceDE/>
              <w:autoSpaceDN/>
              <w:bidi w:val="0"/>
              <w:ind w:left="0" w:firstLine="0" w:firstLineChars="0"/>
              <w:jc w:val="center"/>
              <w:textAlignment w:val="auto"/>
              <w:outlineLvl w:val="9"/>
              <w:rPr>
                <w:rFonts w:hint="eastAsia" w:ascii="仿宋" w:hAnsi="仿宋" w:eastAsia="仿宋" w:cs="仿宋"/>
                <w:color w:val="auto"/>
                <w:sz w:val="24"/>
                <w:szCs w:val="24"/>
                <w:highlight w:val="none"/>
              </w:rPr>
            </w:pPr>
            <w:bookmarkStart w:id="136" w:name="_Toc28024"/>
            <w:bookmarkStart w:id="137" w:name="_Toc23428"/>
            <w:bookmarkStart w:id="138" w:name="_Toc12748"/>
            <w:bookmarkStart w:id="139" w:name="_Toc6689"/>
            <w:r>
              <w:rPr>
                <w:rFonts w:hint="eastAsia" w:ascii="仿宋" w:hAnsi="仿宋" w:eastAsia="仿宋" w:cs="仿宋"/>
                <w:color w:val="auto"/>
                <w:sz w:val="24"/>
                <w:szCs w:val="24"/>
                <w:highlight w:val="none"/>
              </w:rPr>
              <w:t>交付地点</w:t>
            </w:r>
            <w:bookmarkEnd w:id="136"/>
            <w:bookmarkEnd w:id="137"/>
            <w:bookmarkEnd w:id="138"/>
            <w:bookmarkEnd w:id="139"/>
          </w:p>
        </w:tc>
        <w:tc>
          <w:tcPr>
            <w:tcW w:w="1215" w:type="dxa"/>
            <w:tcBorders>
              <w:right w:val="single" w:color="auto" w:sz="4" w:space="0"/>
            </w:tcBorders>
            <w:noWrap w:val="0"/>
            <w:vAlign w:val="center"/>
          </w:tcPr>
          <w:p w14:paraId="56F3969B">
            <w:pPr>
              <w:keepNext w:val="0"/>
              <w:keepLines w:val="0"/>
              <w:pageBreakBefore w:val="0"/>
              <w:widowControl/>
              <w:shd w:val="clear"/>
              <w:kinsoku/>
              <w:wordWrap/>
              <w:overflowPunct/>
              <w:topLinePunct w:val="0"/>
              <w:autoSpaceDE/>
              <w:autoSpaceDN/>
              <w:bidi w:val="0"/>
              <w:ind w:left="0" w:firstLine="0" w:firstLineChars="0"/>
              <w:jc w:val="center"/>
              <w:textAlignment w:val="auto"/>
              <w:outlineLvl w:val="9"/>
              <w:rPr>
                <w:rFonts w:hint="eastAsia" w:ascii="仿宋" w:hAnsi="仿宋" w:eastAsia="仿宋" w:cs="仿宋"/>
                <w:color w:val="auto"/>
                <w:sz w:val="24"/>
                <w:szCs w:val="24"/>
                <w:highlight w:val="none"/>
              </w:rPr>
            </w:pPr>
            <w:bookmarkStart w:id="140" w:name="_Toc916"/>
            <w:bookmarkStart w:id="141" w:name="_Toc10344"/>
            <w:bookmarkStart w:id="142" w:name="_Toc2991"/>
            <w:bookmarkStart w:id="143" w:name="_Toc21882"/>
            <w:r>
              <w:rPr>
                <w:rFonts w:hint="eastAsia" w:ascii="仿宋" w:hAnsi="仿宋" w:eastAsia="仿宋" w:cs="仿宋"/>
                <w:color w:val="auto"/>
                <w:sz w:val="24"/>
                <w:szCs w:val="24"/>
                <w:highlight w:val="none"/>
              </w:rPr>
              <w:t>交付时间</w:t>
            </w:r>
            <w:bookmarkEnd w:id="140"/>
            <w:bookmarkEnd w:id="141"/>
            <w:bookmarkEnd w:id="142"/>
            <w:bookmarkEnd w:id="143"/>
          </w:p>
        </w:tc>
        <w:tc>
          <w:tcPr>
            <w:tcW w:w="903" w:type="dxa"/>
            <w:tcBorders>
              <w:right w:val="single" w:color="auto" w:sz="4" w:space="0"/>
            </w:tcBorders>
            <w:noWrap w:val="0"/>
            <w:vAlign w:val="center"/>
          </w:tcPr>
          <w:p w14:paraId="40E83B0A">
            <w:pPr>
              <w:keepNext w:val="0"/>
              <w:keepLines w:val="0"/>
              <w:pageBreakBefore w:val="0"/>
              <w:widowControl/>
              <w:shd w:val="clear"/>
              <w:kinsoku/>
              <w:wordWrap/>
              <w:overflowPunct/>
              <w:topLinePunct w:val="0"/>
              <w:autoSpaceDE/>
              <w:autoSpaceDN/>
              <w:bidi w:val="0"/>
              <w:ind w:left="0" w:firstLine="0" w:firstLineChars="0"/>
              <w:jc w:val="center"/>
              <w:textAlignment w:val="auto"/>
              <w:outlineLvl w:val="9"/>
              <w:rPr>
                <w:rFonts w:hint="eastAsia" w:ascii="仿宋" w:hAnsi="仿宋" w:eastAsia="仿宋" w:cs="仿宋"/>
                <w:color w:val="auto"/>
                <w:sz w:val="24"/>
                <w:szCs w:val="24"/>
                <w:highlight w:val="none"/>
              </w:rPr>
            </w:pPr>
            <w:bookmarkStart w:id="144" w:name="_Toc18945"/>
            <w:bookmarkStart w:id="145" w:name="_Toc31273"/>
            <w:bookmarkStart w:id="146" w:name="_Toc17703"/>
            <w:bookmarkStart w:id="147" w:name="_Toc10193"/>
            <w:r>
              <w:rPr>
                <w:rFonts w:hint="eastAsia" w:ascii="仿宋" w:hAnsi="仿宋" w:eastAsia="仿宋" w:cs="仿宋"/>
                <w:color w:val="auto"/>
                <w:sz w:val="24"/>
                <w:szCs w:val="24"/>
                <w:highlight w:val="none"/>
              </w:rPr>
              <w:t>备注</w:t>
            </w:r>
            <w:bookmarkEnd w:id="144"/>
            <w:bookmarkEnd w:id="145"/>
            <w:bookmarkEnd w:id="146"/>
            <w:bookmarkEnd w:id="147"/>
          </w:p>
        </w:tc>
      </w:tr>
      <w:tr w14:paraId="1A8395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top"/>
          </w:tcPr>
          <w:p w14:paraId="5E32E014">
            <w:pPr>
              <w:shd w:val="clear"/>
              <w:spacing w:before="156" w:beforeLines="50" w:line="360" w:lineRule="auto"/>
              <w:jc w:val="center"/>
              <w:outlineLvl w:val="9"/>
              <w:rPr>
                <w:rFonts w:hint="eastAsia" w:ascii="仿宋" w:hAnsi="仿宋" w:eastAsia="仿宋" w:cs="仿宋"/>
                <w:color w:val="auto"/>
                <w:szCs w:val="24"/>
                <w:highlight w:val="none"/>
              </w:rPr>
            </w:pPr>
          </w:p>
        </w:tc>
        <w:tc>
          <w:tcPr>
            <w:tcW w:w="960" w:type="dxa"/>
            <w:noWrap w:val="0"/>
            <w:vAlign w:val="top"/>
          </w:tcPr>
          <w:p w14:paraId="78D1EAC3">
            <w:pPr>
              <w:shd w:val="clear"/>
              <w:spacing w:before="156" w:beforeLines="50" w:line="360" w:lineRule="auto"/>
              <w:jc w:val="center"/>
              <w:outlineLvl w:val="9"/>
              <w:rPr>
                <w:rFonts w:hint="eastAsia" w:ascii="仿宋" w:hAnsi="仿宋" w:eastAsia="仿宋" w:cs="仿宋"/>
                <w:color w:val="auto"/>
                <w:szCs w:val="24"/>
                <w:highlight w:val="none"/>
              </w:rPr>
            </w:pPr>
          </w:p>
        </w:tc>
        <w:tc>
          <w:tcPr>
            <w:tcW w:w="1485" w:type="dxa"/>
            <w:tcBorders>
              <w:right w:val="single" w:color="auto" w:sz="4" w:space="0"/>
            </w:tcBorders>
            <w:noWrap w:val="0"/>
            <w:vAlign w:val="top"/>
          </w:tcPr>
          <w:p w14:paraId="515846C6">
            <w:pPr>
              <w:shd w:val="clear"/>
              <w:spacing w:before="156" w:beforeLines="50" w:line="360" w:lineRule="auto"/>
              <w:jc w:val="center"/>
              <w:outlineLvl w:val="9"/>
              <w:rPr>
                <w:rFonts w:hint="eastAsia" w:ascii="仿宋" w:hAnsi="仿宋" w:eastAsia="仿宋" w:cs="仿宋"/>
                <w:color w:val="auto"/>
                <w:szCs w:val="24"/>
                <w:highlight w:val="none"/>
              </w:rPr>
            </w:pPr>
          </w:p>
        </w:tc>
        <w:tc>
          <w:tcPr>
            <w:tcW w:w="1695" w:type="dxa"/>
            <w:tcBorders>
              <w:left w:val="single" w:color="auto" w:sz="4" w:space="0"/>
            </w:tcBorders>
            <w:noWrap w:val="0"/>
            <w:vAlign w:val="top"/>
          </w:tcPr>
          <w:p w14:paraId="03ADD055">
            <w:pPr>
              <w:shd w:val="clear"/>
              <w:spacing w:before="156" w:beforeLines="50" w:line="360" w:lineRule="auto"/>
              <w:jc w:val="center"/>
              <w:outlineLvl w:val="9"/>
              <w:rPr>
                <w:rFonts w:hint="eastAsia" w:ascii="仿宋" w:hAnsi="仿宋" w:eastAsia="仿宋" w:cs="仿宋"/>
                <w:color w:val="auto"/>
                <w:szCs w:val="24"/>
                <w:highlight w:val="none"/>
              </w:rPr>
            </w:pPr>
          </w:p>
        </w:tc>
        <w:tc>
          <w:tcPr>
            <w:tcW w:w="825" w:type="dxa"/>
            <w:tcBorders>
              <w:right w:val="single" w:color="auto" w:sz="4" w:space="0"/>
            </w:tcBorders>
            <w:noWrap w:val="0"/>
            <w:vAlign w:val="top"/>
          </w:tcPr>
          <w:p w14:paraId="13262164">
            <w:pPr>
              <w:shd w:val="clear"/>
              <w:spacing w:before="156" w:beforeLines="50" w:line="360" w:lineRule="auto"/>
              <w:jc w:val="center"/>
              <w:outlineLvl w:val="9"/>
              <w:rPr>
                <w:rFonts w:hint="eastAsia" w:ascii="仿宋" w:hAnsi="仿宋" w:eastAsia="仿宋" w:cs="仿宋"/>
                <w:color w:val="auto"/>
                <w:szCs w:val="24"/>
                <w:highlight w:val="none"/>
              </w:rPr>
            </w:pPr>
          </w:p>
        </w:tc>
        <w:tc>
          <w:tcPr>
            <w:tcW w:w="735" w:type="dxa"/>
            <w:tcBorders>
              <w:left w:val="single" w:color="auto" w:sz="4" w:space="0"/>
              <w:right w:val="single" w:color="auto" w:sz="4" w:space="0"/>
            </w:tcBorders>
            <w:noWrap w:val="0"/>
            <w:vAlign w:val="top"/>
          </w:tcPr>
          <w:p w14:paraId="73608236">
            <w:pPr>
              <w:shd w:val="clear"/>
              <w:spacing w:before="156" w:beforeLines="50" w:line="360" w:lineRule="auto"/>
              <w:jc w:val="center"/>
              <w:outlineLvl w:val="9"/>
              <w:rPr>
                <w:rFonts w:hint="eastAsia" w:ascii="仿宋" w:hAnsi="仿宋" w:eastAsia="仿宋" w:cs="仿宋"/>
                <w:color w:val="auto"/>
                <w:szCs w:val="24"/>
                <w:highlight w:val="none"/>
              </w:rPr>
            </w:pPr>
          </w:p>
        </w:tc>
        <w:tc>
          <w:tcPr>
            <w:tcW w:w="1050" w:type="dxa"/>
            <w:tcBorders>
              <w:left w:val="single" w:color="auto" w:sz="4" w:space="0"/>
            </w:tcBorders>
            <w:noWrap w:val="0"/>
            <w:vAlign w:val="top"/>
          </w:tcPr>
          <w:p w14:paraId="6DC145AF">
            <w:pPr>
              <w:shd w:val="clear"/>
              <w:spacing w:before="156" w:beforeLines="50" w:line="360" w:lineRule="auto"/>
              <w:jc w:val="center"/>
              <w:outlineLvl w:val="9"/>
              <w:rPr>
                <w:rFonts w:hint="eastAsia" w:ascii="仿宋" w:hAnsi="仿宋" w:eastAsia="仿宋" w:cs="仿宋"/>
                <w:color w:val="auto"/>
                <w:szCs w:val="24"/>
                <w:highlight w:val="none"/>
              </w:rPr>
            </w:pPr>
          </w:p>
        </w:tc>
        <w:tc>
          <w:tcPr>
            <w:tcW w:w="1215" w:type="dxa"/>
            <w:tcBorders>
              <w:right w:val="single" w:color="auto" w:sz="4" w:space="0"/>
            </w:tcBorders>
            <w:noWrap w:val="0"/>
            <w:vAlign w:val="top"/>
          </w:tcPr>
          <w:p w14:paraId="69791063">
            <w:pPr>
              <w:shd w:val="clear"/>
              <w:spacing w:before="156" w:beforeLines="50" w:line="360" w:lineRule="auto"/>
              <w:jc w:val="center"/>
              <w:outlineLvl w:val="9"/>
              <w:rPr>
                <w:rFonts w:hint="eastAsia" w:ascii="仿宋" w:hAnsi="仿宋" w:eastAsia="仿宋" w:cs="仿宋"/>
                <w:color w:val="auto"/>
                <w:szCs w:val="24"/>
                <w:highlight w:val="none"/>
              </w:rPr>
            </w:pPr>
          </w:p>
        </w:tc>
        <w:tc>
          <w:tcPr>
            <w:tcW w:w="903" w:type="dxa"/>
            <w:tcBorders>
              <w:right w:val="single" w:color="auto" w:sz="4" w:space="0"/>
            </w:tcBorders>
            <w:noWrap w:val="0"/>
            <w:vAlign w:val="top"/>
          </w:tcPr>
          <w:p w14:paraId="78A63540">
            <w:pPr>
              <w:shd w:val="clear"/>
              <w:spacing w:before="156" w:beforeLines="50" w:line="360" w:lineRule="auto"/>
              <w:jc w:val="center"/>
              <w:outlineLvl w:val="9"/>
              <w:rPr>
                <w:rFonts w:hint="eastAsia" w:ascii="仿宋" w:hAnsi="仿宋" w:eastAsia="仿宋" w:cs="仿宋"/>
                <w:color w:val="auto"/>
                <w:szCs w:val="24"/>
                <w:highlight w:val="none"/>
              </w:rPr>
            </w:pPr>
          </w:p>
        </w:tc>
      </w:tr>
      <w:tr w14:paraId="51E420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top"/>
          </w:tcPr>
          <w:p w14:paraId="0D502BB1">
            <w:pPr>
              <w:shd w:val="clear"/>
              <w:spacing w:before="156" w:beforeLines="50" w:line="360" w:lineRule="auto"/>
              <w:jc w:val="center"/>
              <w:outlineLvl w:val="9"/>
              <w:rPr>
                <w:rFonts w:hint="eastAsia" w:ascii="仿宋" w:hAnsi="仿宋" w:eastAsia="仿宋" w:cs="仿宋"/>
                <w:color w:val="auto"/>
                <w:szCs w:val="24"/>
                <w:highlight w:val="none"/>
              </w:rPr>
            </w:pPr>
          </w:p>
        </w:tc>
        <w:tc>
          <w:tcPr>
            <w:tcW w:w="960" w:type="dxa"/>
            <w:noWrap w:val="0"/>
            <w:vAlign w:val="top"/>
          </w:tcPr>
          <w:p w14:paraId="636B1AC0">
            <w:pPr>
              <w:shd w:val="clear"/>
              <w:spacing w:before="156" w:beforeLines="50" w:line="360" w:lineRule="auto"/>
              <w:jc w:val="center"/>
              <w:outlineLvl w:val="9"/>
              <w:rPr>
                <w:rFonts w:hint="eastAsia" w:ascii="仿宋" w:hAnsi="仿宋" w:eastAsia="仿宋" w:cs="仿宋"/>
                <w:color w:val="auto"/>
                <w:szCs w:val="24"/>
                <w:highlight w:val="none"/>
              </w:rPr>
            </w:pPr>
          </w:p>
        </w:tc>
        <w:tc>
          <w:tcPr>
            <w:tcW w:w="1485" w:type="dxa"/>
            <w:tcBorders>
              <w:right w:val="single" w:color="auto" w:sz="4" w:space="0"/>
            </w:tcBorders>
            <w:noWrap w:val="0"/>
            <w:vAlign w:val="top"/>
          </w:tcPr>
          <w:p w14:paraId="1AE60B7E">
            <w:pPr>
              <w:shd w:val="clear"/>
              <w:spacing w:before="156" w:beforeLines="50" w:line="360" w:lineRule="auto"/>
              <w:jc w:val="center"/>
              <w:outlineLvl w:val="9"/>
              <w:rPr>
                <w:rFonts w:hint="eastAsia" w:ascii="仿宋" w:hAnsi="仿宋" w:eastAsia="仿宋" w:cs="仿宋"/>
                <w:color w:val="auto"/>
                <w:szCs w:val="24"/>
                <w:highlight w:val="none"/>
              </w:rPr>
            </w:pPr>
          </w:p>
        </w:tc>
        <w:tc>
          <w:tcPr>
            <w:tcW w:w="1695" w:type="dxa"/>
            <w:tcBorders>
              <w:left w:val="single" w:color="auto" w:sz="4" w:space="0"/>
            </w:tcBorders>
            <w:noWrap w:val="0"/>
            <w:vAlign w:val="top"/>
          </w:tcPr>
          <w:p w14:paraId="6129C692">
            <w:pPr>
              <w:shd w:val="clear"/>
              <w:spacing w:before="156" w:beforeLines="50" w:line="360" w:lineRule="auto"/>
              <w:jc w:val="center"/>
              <w:outlineLvl w:val="9"/>
              <w:rPr>
                <w:rFonts w:hint="eastAsia" w:ascii="仿宋" w:hAnsi="仿宋" w:eastAsia="仿宋" w:cs="仿宋"/>
                <w:color w:val="auto"/>
                <w:szCs w:val="24"/>
                <w:highlight w:val="none"/>
              </w:rPr>
            </w:pPr>
          </w:p>
        </w:tc>
        <w:tc>
          <w:tcPr>
            <w:tcW w:w="825" w:type="dxa"/>
            <w:tcBorders>
              <w:right w:val="single" w:color="auto" w:sz="4" w:space="0"/>
            </w:tcBorders>
            <w:noWrap w:val="0"/>
            <w:vAlign w:val="top"/>
          </w:tcPr>
          <w:p w14:paraId="3253E941">
            <w:pPr>
              <w:shd w:val="clear"/>
              <w:spacing w:before="156" w:beforeLines="50" w:line="360" w:lineRule="auto"/>
              <w:jc w:val="center"/>
              <w:outlineLvl w:val="9"/>
              <w:rPr>
                <w:rFonts w:hint="eastAsia" w:ascii="仿宋" w:hAnsi="仿宋" w:eastAsia="仿宋" w:cs="仿宋"/>
                <w:color w:val="auto"/>
                <w:szCs w:val="24"/>
                <w:highlight w:val="none"/>
              </w:rPr>
            </w:pPr>
          </w:p>
        </w:tc>
        <w:tc>
          <w:tcPr>
            <w:tcW w:w="735" w:type="dxa"/>
            <w:tcBorders>
              <w:left w:val="single" w:color="auto" w:sz="4" w:space="0"/>
              <w:right w:val="single" w:color="auto" w:sz="4" w:space="0"/>
            </w:tcBorders>
            <w:noWrap w:val="0"/>
            <w:vAlign w:val="top"/>
          </w:tcPr>
          <w:p w14:paraId="455B97AB">
            <w:pPr>
              <w:shd w:val="clear"/>
              <w:spacing w:before="156" w:beforeLines="50" w:line="360" w:lineRule="auto"/>
              <w:jc w:val="center"/>
              <w:outlineLvl w:val="9"/>
              <w:rPr>
                <w:rFonts w:hint="eastAsia" w:ascii="仿宋" w:hAnsi="仿宋" w:eastAsia="仿宋" w:cs="仿宋"/>
                <w:color w:val="auto"/>
                <w:szCs w:val="24"/>
                <w:highlight w:val="none"/>
              </w:rPr>
            </w:pPr>
          </w:p>
        </w:tc>
        <w:tc>
          <w:tcPr>
            <w:tcW w:w="1050" w:type="dxa"/>
            <w:tcBorders>
              <w:left w:val="single" w:color="auto" w:sz="4" w:space="0"/>
            </w:tcBorders>
            <w:noWrap w:val="0"/>
            <w:vAlign w:val="top"/>
          </w:tcPr>
          <w:p w14:paraId="4A70FE15">
            <w:pPr>
              <w:shd w:val="clear"/>
              <w:spacing w:before="156" w:beforeLines="50" w:line="360" w:lineRule="auto"/>
              <w:jc w:val="center"/>
              <w:outlineLvl w:val="9"/>
              <w:rPr>
                <w:rFonts w:hint="eastAsia" w:ascii="仿宋" w:hAnsi="仿宋" w:eastAsia="仿宋" w:cs="仿宋"/>
                <w:color w:val="auto"/>
                <w:szCs w:val="24"/>
                <w:highlight w:val="none"/>
              </w:rPr>
            </w:pPr>
          </w:p>
        </w:tc>
        <w:tc>
          <w:tcPr>
            <w:tcW w:w="1215" w:type="dxa"/>
            <w:tcBorders>
              <w:right w:val="single" w:color="auto" w:sz="4" w:space="0"/>
            </w:tcBorders>
            <w:noWrap w:val="0"/>
            <w:vAlign w:val="top"/>
          </w:tcPr>
          <w:p w14:paraId="3881E771">
            <w:pPr>
              <w:shd w:val="clear"/>
              <w:spacing w:before="156" w:beforeLines="50" w:line="360" w:lineRule="auto"/>
              <w:jc w:val="center"/>
              <w:outlineLvl w:val="9"/>
              <w:rPr>
                <w:rFonts w:hint="eastAsia" w:ascii="仿宋" w:hAnsi="仿宋" w:eastAsia="仿宋" w:cs="仿宋"/>
                <w:color w:val="auto"/>
                <w:szCs w:val="24"/>
                <w:highlight w:val="none"/>
              </w:rPr>
            </w:pPr>
          </w:p>
        </w:tc>
        <w:tc>
          <w:tcPr>
            <w:tcW w:w="903" w:type="dxa"/>
            <w:tcBorders>
              <w:right w:val="single" w:color="auto" w:sz="4" w:space="0"/>
            </w:tcBorders>
            <w:noWrap w:val="0"/>
            <w:vAlign w:val="top"/>
          </w:tcPr>
          <w:p w14:paraId="1861BB25">
            <w:pPr>
              <w:shd w:val="clear"/>
              <w:spacing w:before="156" w:beforeLines="50" w:line="360" w:lineRule="auto"/>
              <w:jc w:val="center"/>
              <w:outlineLvl w:val="9"/>
              <w:rPr>
                <w:rFonts w:hint="eastAsia" w:ascii="仿宋" w:hAnsi="仿宋" w:eastAsia="仿宋" w:cs="仿宋"/>
                <w:color w:val="auto"/>
                <w:szCs w:val="24"/>
                <w:highlight w:val="none"/>
              </w:rPr>
            </w:pPr>
          </w:p>
        </w:tc>
      </w:tr>
      <w:tr w14:paraId="631A44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top"/>
          </w:tcPr>
          <w:p w14:paraId="6A5C174D">
            <w:pPr>
              <w:shd w:val="clear"/>
              <w:spacing w:before="156" w:beforeLines="50" w:line="360" w:lineRule="auto"/>
              <w:jc w:val="center"/>
              <w:outlineLvl w:val="9"/>
              <w:rPr>
                <w:rFonts w:hint="eastAsia" w:ascii="仿宋" w:hAnsi="仿宋" w:eastAsia="仿宋" w:cs="仿宋"/>
                <w:color w:val="auto"/>
                <w:szCs w:val="24"/>
                <w:highlight w:val="none"/>
              </w:rPr>
            </w:pPr>
          </w:p>
        </w:tc>
        <w:tc>
          <w:tcPr>
            <w:tcW w:w="960" w:type="dxa"/>
            <w:noWrap w:val="0"/>
            <w:vAlign w:val="top"/>
          </w:tcPr>
          <w:p w14:paraId="1B402813">
            <w:pPr>
              <w:shd w:val="clear"/>
              <w:spacing w:before="156" w:beforeLines="50" w:line="360" w:lineRule="auto"/>
              <w:jc w:val="center"/>
              <w:outlineLvl w:val="9"/>
              <w:rPr>
                <w:rFonts w:hint="eastAsia" w:ascii="仿宋" w:hAnsi="仿宋" w:eastAsia="仿宋" w:cs="仿宋"/>
                <w:color w:val="auto"/>
                <w:szCs w:val="24"/>
                <w:highlight w:val="none"/>
              </w:rPr>
            </w:pPr>
          </w:p>
        </w:tc>
        <w:tc>
          <w:tcPr>
            <w:tcW w:w="1485" w:type="dxa"/>
            <w:tcBorders>
              <w:right w:val="single" w:color="auto" w:sz="4" w:space="0"/>
            </w:tcBorders>
            <w:noWrap w:val="0"/>
            <w:vAlign w:val="top"/>
          </w:tcPr>
          <w:p w14:paraId="599B503A">
            <w:pPr>
              <w:shd w:val="clear"/>
              <w:spacing w:before="156" w:beforeLines="50" w:line="360" w:lineRule="auto"/>
              <w:jc w:val="center"/>
              <w:outlineLvl w:val="9"/>
              <w:rPr>
                <w:rFonts w:hint="eastAsia" w:ascii="仿宋" w:hAnsi="仿宋" w:eastAsia="仿宋" w:cs="仿宋"/>
                <w:color w:val="auto"/>
                <w:szCs w:val="24"/>
                <w:highlight w:val="none"/>
              </w:rPr>
            </w:pPr>
          </w:p>
        </w:tc>
        <w:tc>
          <w:tcPr>
            <w:tcW w:w="1695" w:type="dxa"/>
            <w:tcBorders>
              <w:left w:val="single" w:color="auto" w:sz="4" w:space="0"/>
            </w:tcBorders>
            <w:noWrap w:val="0"/>
            <w:vAlign w:val="top"/>
          </w:tcPr>
          <w:p w14:paraId="26B33216">
            <w:pPr>
              <w:shd w:val="clear"/>
              <w:spacing w:before="156" w:beforeLines="50" w:line="360" w:lineRule="auto"/>
              <w:jc w:val="center"/>
              <w:outlineLvl w:val="9"/>
              <w:rPr>
                <w:rFonts w:hint="eastAsia" w:ascii="仿宋" w:hAnsi="仿宋" w:eastAsia="仿宋" w:cs="仿宋"/>
                <w:color w:val="auto"/>
                <w:szCs w:val="24"/>
                <w:highlight w:val="none"/>
              </w:rPr>
            </w:pPr>
          </w:p>
        </w:tc>
        <w:tc>
          <w:tcPr>
            <w:tcW w:w="825" w:type="dxa"/>
            <w:tcBorders>
              <w:right w:val="single" w:color="auto" w:sz="4" w:space="0"/>
            </w:tcBorders>
            <w:noWrap w:val="0"/>
            <w:vAlign w:val="top"/>
          </w:tcPr>
          <w:p w14:paraId="0C5B30B3">
            <w:pPr>
              <w:shd w:val="clear"/>
              <w:spacing w:before="156" w:beforeLines="50" w:line="360" w:lineRule="auto"/>
              <w:jc w:val="center"/>
              <w:outlineLvl w:val="9"/>
              <w:rPr>
                <w:rFonts w:hint="eastAsia" w:ascii="仿宋" w:hAnsi="仿宋" w:eastAsia="仿宋" w:cs="仿宋"/>
                <w:color w:val="auto"/>
                <w:szCs w:val="24"/>
                <w:highlight w:val="none"/>
              </w:rPr>
            </w:pPr>
          </w:p>
        </w:tc>
        <w:tc>
          <w:tcPr>
            <w:tcW w:w="735" w:type="dxa"/>
            <w:tcBorders>
              <w:left w:val="single" w:color="auto" w:sz="4" w:space="0"/>
              <w:right w:val="single" w:color="auto" w:sz="4" w:space="0"/>
            </w:tcBorders>
            <w:noWrap w:val="0"/>
            <w:vAlign w:val="top"/>
          </w:tcPr>
          <w:p w14:paraId="67376E10">
            <w:pPr>
              <w:shd w:val="clear"/>
              <w:spacing w:before="156" w:beforeLines="50" w:line="360" w:lineRule="auto"/>
              <w:jc w:val="center"/>
              <w:outlineLvl w:val="9"/>
              <w:rPr>
                <w:rFonts w:hint="eastAsia" w:ascii="仿宋" w:hAnsi="仿宋" w:eastAsia="仿宋" w:cs="仿宋"/>
                <w:color w:val="auto"/>
                <w:szCs w:val="24"/>
                <w:highlight w:val="none"/>
              </w:rPr>
            </w:pPr>
          </w:p>
        </w:tc>
        <w:tc>
          <w:tcPr>
            <w:tcW w:w="1050" w:type="dxa"/>
            <w:tcBorders>
              <w:left w:val="single" w:color="auto" w:sz="4" w:space="0"/>
            </w:tcBorders>
            <w:noWrap w:val="0"/>
            <w:vAlign w:val="top"/>
          </w:tcPr>
          <w:p w14:paraId="5C26BB9C">
            <w:pPr>
              <w:shd w:val="clear"/>
              <w:spacing w:before="156" w:beforeLines="50" w:line="360" w:lineRule="auto"/>
              <w:jc w:val="center"/>
              <w:outlineLvl w:val="9"/>
              <w:rPr>
                <w:rFonts w:hint="eastAsia" w:ascii="仿宋" w:hAnsi="仿宋" w:eastAsia="仿宋" w:cs="仿宋"/>
                <w:color w:val="auto"/>
                <w:szCs w:val="24"/>
                <w:highlight w:val="none"/>
              </w:rPr>
            </w:pPr>
          </w:p>
        </w:tc>
        <w:tc>
          <w:tcPr>
            <w:tcW w:w="1215" w:type="dxa"/>
            <w:tcBorders>
              <w:right w:val="single" w:color="auto" w:sz="4" w:space="0"/>
            </w:tcBorders>
            <w:noWrap w:val="0"/>
            <w:vAlign w:val="top"/>
          </w:tcPr>
          <w:p w14:paraId="620F8C55">
            <w:pPr>
              <w:shd w:val="clear"/>
              <w:spacing w:before="156" w:beforeLines="50" w:line="360" w:lineRule="auto"/>
              <w:jc w:val="center"/>
              <w:outlineLvl w:val="9"/>
              <w:rPr>
                <w:rFonts w:hint="eastAsia" w:ascii="仿宋" w:hAnsi="仿宋" w:eastAsia="仿宋" w:cs="仿宋"/>
                <w:color w:val="auto"/>
                <w:szCs w:val="24"/>
                <w:highlight w:val="none"/>
              </w:rPr>
            </w:pPr>
          </w:p>
        </w:tc>
        <w:tc>
          <w:tcPr>
            <w:tcW w:w="903" w:type="dxa"/>
            <w:tcBorders>
              <w:right w:val="single" w:color="auto" w:sz="4" w:space="0"/>
            </w:tcBorders>
            <w:noWrap w:val="0"/>
            <w:vAlign w:val="top"/>
          </w:tcPr>
          <w:p w14:paraId="24B09DFC">
            <w:pPr>
              <w:shd w:val="clear"/>
              <w:spacing w:before="156" w:beforeLines="50" w:line="360" w:lineRule="auto"/>
              <w:jc w:val="center"/>
              <w:outlineLvl w:val="9"/>
              <w:rPr>
                <w:rFonts w:hint="eastAsia" w:ascii="仿宋" w:hAnsi="仿宋" w:eastAsia="仿宋" w:cs="仿宋"/>
                <w:color w:val="auto"/>
                <w:szCs w:val="24"/>
                <w:highlight w:val="none"/>
              </w:rPr>
            </w:pPr>
          </w:p>
        </w:tc>
      </w:tr>
      <w:tr w14:paraId="2654C2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top"/>
          </w:tcPr>
          <w:p w14:paraId="486995F4">
            <w:pPr>
              <w:shd w:val="clear"/>
              <w:spacing w:before="156" w:beforeLines="50" w:line="360" w:lineRule="auto"/>
              <w:jc w:val="center"/>
              <w:outlineLvl w:val="9"/>
              <w:rPr>
                <w:rFonts w:hint="eastAsia" w:ascii="仿宋" w:hAnsi="仿宋" w:eastAsia="仿宋" w:cs="仿宋"/>
                <w:color w:val="auto"/>
                <w:szCs w:val="24"/>
                <w:highlight w:val="none"/>
              </w:rPr>
            </w:pPr>
          </w:p>
        </w:tc>
        <w:tc>
          <w:tcPr>
            <w:tcW w:w="960" w:type="dxa"/>
            <w:noWrap w:val="0"/>
            <w:vAlign w:val="top"/>
          </w:tcPr>
          <w:p w14:paraId="602D251D">
            <w:pPr>
              <w:shd w:val="clear"/>
              <w:spacing w:before="156" w:beforeLines="50" w:line="360" w:lineRule="auto"/>
              <w:jc w:val="center"/>
              <w:outlineLvl w:val="9"/>
              <w:rPr>
                <w:rFonts w:hint="eastAsia" w:ascii="仿宋" w:hAnsi="仿宋" w:eastAsia="仿宋" w:cs="仿宋"/>
                <w:color w:val="auto"/>
                <w:szCs w:val="24"/>
                <w:highlight w:val="none"/>
              </w:rPr>
            </w:pPr>
          </w:p>
        </w:tc>
        <w:tc>
          <w:tcPr>
            <w:tcW w:w="1485" w:type="dxa"/>
            <w:tcBorders>
              <w:right w:val="single" w:color="auto" w:sz="4" w:space="0"/>
            </w:tcBorders>
            <w:noWrap w:val="0"/>
            <w:vAlign w:val="top"/>
          </w:tcPr>
          <w:p w14:paraId="6919A0FC">
            <w:pPr>
              <w:shd w:val="clear"/>
              <w:spacing w:before="156" w:beforeLines="50" w:line="360" w:lineRule="auto"/>
              <w:jc w:val="center"/>
              <w:outlineLvl w:val="9"/>
              <w:rPr>
                <w:rFonts w:hint="eastAsia" w:ascii="仿宋" w:hAnsi="仿宋" w:eastAsia="仿宋" w:cs="仿宋"/>
                <w:color w:val="auto"/>
                <w:szCs w:val="24"/>
                <w:highlight w:val="none"/>
              </w:rPr>
            </w:pPr>
          </w:p>
        </w:tc>
        <w:tc>
          <w:tcPr>
            <w:tcW w:w="1695" w:type="dxa"/>
            <w:tcBorders>
              <w:left w:val="single" w:color="auto" w:sz="4" w:space="0"/>
            </w:tcBorders>
            <w:noWrap w:val="0"/>
            <w:vAlign w:val="top"/>
          </w:tcPr>
          <w:p w14:paraId="6D422B4E">
            <w:pPr>
              <w:shd w:val="clear"/>
              <w:spacing w:before="156" w:beforeLines="50" w:line="360" w:lineRule="auto"/>
              <w:jc w:val="center"/>
              <w:outlineLvl w:val="9"/>
              <w:rPr>
                <w:rFonts w:hint="eastAsia" w:ascii="仿宋" w:hAnsi="仿宋" w:eastAsia="仿宋" w:cs="仿宋"/>
                <w:color w:val="auto"/>
                <w:szCs w:val="24"/>
                <w:highlight w:val="none"/>
              </w:rPr>
            </w:pPr>
          </w:p>
        </w:tc>
        <w:tc>
          <w:tcPr>
            <w:tcW w:w="825" w:type="dxa"/>
            <w:tcBorders>
              <w:right w:val="single" w:color="auto" w:sz="4" w:space="0"/>
            </w:tcBorders>
            <w:noWrap w:val="0"/>
            <w:vAlign w:val="top"/>
          </w:tcPr>
          <w:p w14:paraId="6419A240">
            <w:pPr>
              <w:shd w:val="clear"/>
              <w:spacing w:before="156" w:beforeLines="50" w:line="360" w:lineRule="auto"/>
              <w:jc w:val="center"/>
              <w:outlineLvl w:val="9"/>
              <w:rPr>
                <w:rFonts w:hint="eastAsia" w:ascii="仿宋" w:hAnsi="仿宋" w:eastAsia="仿宋" w:cs="仿宋"/>
                <w:color w:val="auto"/>
                <w:szCs w:val="24"/>
                <w:highlight w:val="none"/>
              </w:rPr>
            </w:pPr>
          </w:p>
        </w:tc>
        <w:tc>
          <w:tcPr>
            <w:tcW w:w="735" w:type="dxa"/>
            <w:tcBorders>
              <w:left w:val="single" w:color="auto" w:sz="4" w:space="0"/>
              <w:right w:val="single" w:color="auto" w:sz="4" w:space="0"/>
            </w:tcBorders>
            <w:noWrap w:val="0"/>
            <w:vAlign w:val="top"/>
          </w:tcPr>
          <w:p w14:paraId="617D42D2">
            <w:pPr>
              <w:shd w:val="clear"/>
              <w:spacing w:before="156" w:beforeLines="50" w:line="360" w:lineRule="auto"/>
              <w:jc w:val="center"/>
              <w:outlineLvl w:val="9"/>
              <w:rPr>
                <w:rFonts w:hint="eastAsia" w:ascii="仿宋" w:hAnsi="仿宋" w:eastAsia="仿宋" w:cs="仿宋"/>
                <w:color w:val="auto"/>
                <w:szCs w:val="24"/>
                <w:highlight w:val="none"/>
              </w:rPr>
            </w:pPr>
          </w:p>
        </w:tc>
        <w:tc>
          <w:tcPr>
            <w:tcW w:w="1050" w:type="dxa"/>
            <w:tcBorders>
              <w:left w:val="single" w:color="auto" w:sz="4" w:space="0"/>
            </w:tcBorders>
            <w:noWrap w:val="0"/>
            <w:vAlign w:val="top"/>
          </w:tcPr>
          <w:p w14:paraId="29D0F61D">
            <w:pPr>
              <w:shd w:val="clear"/>
              <w:spacing w:before="156" w:beforeLines="50" w:line="360" w:lineRule="auto"/>
              <w:jc w:val="center"/>
              <w:outlineLvl w:val="9"/>
              <w:rPr>
                <w:rFonts w:hint="eastAsia" w:ascii="仿宋" w:hAnsi="仿宋" w:eastAsia="仿宋" w:cs="仿宋"/>
                <w:color w:val="auto"/>
                <w:szCs w:val="24"/>
                <w:highlight w:val="none"/>
              </w:rPr>
            </w:pPr>
          </w:p>
        </w:tc>
        <w:tc>
          <w:tcPr>
            <w:tcW w:w="1215" w:type="dxa"/>
            <w:tcBorders>
              <w:right w:val="single" w:color="auto" w:sz="4" w:space="0"/>
            </w:tcBorders>
            <w:noWrap w:val="0"/>
            <w:vAlign w:val="top"/>
          </w:tcPr>
          <w:p w14:paraId="4C5ADB4C">
            <w:pPr>
              <w:shd w:val="clear"/>
              <w:spacing w:before="156" w:beforeLines="50" w:line="360" w:lineRule="auto"/>
              <w:jc w:val="center"/>
              <w:outlineLvl w:val="9"/>
              <w:rPr>
                <w:rFonts w:hint="eastAsia" w:ascii="仿宋" w:hAnsi="仿宋" w:eastAsia="仿宋" w:cs="仿宋"/>
                <w:color w:val="auto"/>
                <w:szCs w:val="24"/>
                <w:highlight w:val="none"/>
              </w:rPr>
            </w:pPr>
          </w:p>
        </w:tc>
        <w:tc>
          <w:tcPr>
            <w:tcW w:w="903" w:type="dxa"/>
            <w:tcBorders>
              <w:right w:val="single" w:color="auto" w:sz="4" w:space="0"/>
            </w:tcBorders>
            <w:noWrap w:val="0"/>
            <w:vAlign w:val="top"/>
          </w:tcPr>
          <w:p w14:paraId="71E9667E">
            <w:pPr>
              <w:shd w:val="clear"/>
              <w:spacing w:before="156" w:beforeLines="50" w:line="360" w:lineRule="auto"/>
              <w:jc w:val="center"/>
              <w:outlineLvl w:val="9"/>
              <w:rPr>
                <w:rFonts w:hint="eastAsia" w:ascii="仿宋" w:hAnsi="仿宋" w:eastAsia="仿宋" w:cs="仿宋"/>
                <w:color w:val="auto"/>
                <w:szCs w:val="24"/>
                <w:highlight w:val="none"/>
              </w:rPr>
            </w:pPr>
          </w:p>
        </w:tc>
      </w:tr>
    </w:tbl>
    <w:p w14:paraId="3D6855E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rPr>
        <w:t>八、包装要求</w:t>
      </w:r>
    </w:p>
    <w:p w14:paraId="72350AB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val="en-US" w:eastAsia="zh-CN"/>
        </w:rPr>
        <w:t>1、</w:t>
      </w:r>
      <w:r>
        <w:rPr>
          <w:rFonts w:hint="eastAsia" w:ascii="仿宋" w:hAnsi="仿宋" w:eastAsia="仿宋" w:cs="仿宋"/>
          <w:color w:val="auto"/>
          <w:spacing w:val="0"/>
          <w:sz w:val="24"/>
          <w:szCs w:val="24"/>
        </w:rPr>
        <w:t>除非对包装另有规定，乙方提供全部药品应按国家标准保护措施进行包装，防止药品在转运中损坏或变质，确保药品安全无损运抵指定地点。</w:t>
      </w:r>
    </w:p>
    <w:p w14:paraId="1D3452A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val="en-US" w:eastAsia="zh-CN"/>
        </w:rPr>
        <w:t>2、</w:t>
      </w:r>
      <w:r>
        <w:rPr>
          <w:rFonts w:hint="eastAsia" w:ascii="仿宋" w:hAnsi="仿宋" w:eastAsia="仿宋" w:cs="仿宋"/>
          <w:color w:val="auto"/>
          <w:spacing w:val="0"/>
          <w:sz w:val="24"/>
          <w:szCs w:val="24"/>
        </w:rPr>
        <w:t>包装标记和包装箱内外的单据应符合相关要求。所供应的中药饮片的包装及包装材料必须符合国家有关规定的要求，并与甲方协商按照甲方要求制定包装规格，且产品外包装标签上必须标示有品名、规格、产地、等级、生产企业、执行标准、生产批号、生产日期并附质量合格标志。</w:t>
      </w:r>
    </w:p>
    <w:p w14:paraId="2EB92E4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val="en-US" w:eastAsia="zh-CN"/>
        </w:rPr>
        <w:t>3、</w:t>
      </w:r>
      <w:r>
        <w:rPr>
          <w:rFonts w:hint="eastAsia" w:ascii="仿宋" w:hAnsi="仿宋" w:eastAsia="仿宋" w:cs="仿宋"/>
          <w:color w:val="auto"/>
          <w:spacing w:val="0"/>
          <w:sz w:val="24"/>
          <w:szCs w:val="24"/>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4C0BDF6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rPr>
        <w:t>九、运输</w:t>
      </w:r>
      <w:r>
        <w:rPr>
          <w:rFonts w:hint="eastAsia" w:ascii="仿宋" w:hAnsi="仿宋" w:eastAsia="仿宋" w:cs="仿宋"/>
          <w:b/>
          <w:bCs/>
          <w:color w:val="auto"/>
          <w:spacing w:val="0"/>
          <w:sz w:val="24"/>
          <w:szCs w:val="24"/>
          <w:lang w:val="en-US" w:eastAsia="zh-CN"/>
        </w:rPr>
        <w:t>配送</w:t>
      </w:r>
      <w:r>
        <w:rPr>
          <w:rFonts w:hint="eastAsia" w:ascii="仿宋" w:hAnsi="仿宋" w:eastAsia="仿宋" w:cs="仿宋"/>
          <w:b/>
          <w:bCs/>
          <w:color w:val="auto"/>
          <w:spacing w:val="0"/>
          <w:sz w:val="24"/>
          <w:szCs w:val="24"/>
        </w:rPr>
        <w:t>要求</w:t>
      </w:r>
    </w:p>
    <w:p w14:paraId="5BC9FF5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lang w:val="en-US" w:eastAsia="zh-CN"/>
        </w:rPr>
      </w:pPr>
      <w:r>
        <w:rPr>
          <w:rFonts w:hint="eastAsia" w:ascii="仿宋" w:hAnsi="仿宋" w:eastAsia="仿宋" w:cs="仿宋"/>
          <w:color w:val="auto"/>
          <w:spacing w:val="0"/>
          <w:sz w:val="24"/>
          <w:szCs w:val="24"/>
        </w:rPr>
        <w:t>供应商根据产品特性，自行选择运输及包装方式，承担一切运输费用，包括从生产厂到采购人指定交货地点所需的装卸、运输（含保险费）及其他一切费用；货物风险 自采购人收到货物且书面验收合格后转移至采购人。</w:t>
      </w:r>
    </w:p>
    <w:p w14:paraId="79C3C94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b/>
          <w:bCs/>
          <w:color w:val="auto"/>
          <w:spacing w:val="0"/>
          <w:sz w:val="24"/>
          <w:szCs w:val="24"/>
          <w:lang w:val="en-US" w:eastAsia="zh-CN"/>
        </w:rPr>
      </w:pPr>
      <w:r>
        <w:rPr>
          <w:rFonts w:hint="eastAsia" w:ascii="仿宋" w:hAnsi="仿宋" w:eastAsia="仿宋" w:cs="仿宋"/>
          <w:b/>
          <w:bCs/>
          <w:color w:val="auto"/>
          <w:spacing w:val="0"/>
          <w:sz w:val="24"/>
          <w:szCs w:val="24"/>
        </w:rPr>
        <w:t>十、</w:t>
      </w:r>
      <w:r>
        <w:rPr>
          <w:rFonts w:hint="eastAsia" w:ascii="仿宋" w:hAnsi="仿宋" w:eastAsia="仿宋" w:cs="仿宋"/>
          <w:b/>
          <w:bCs/>
          <w:color w:val="auto"/>
          <w:spacing w:val="0"/>
          <w:sz w:val="24"/>
          <w:szCs w:val="24"/>
          <w:lang w:val="en-US" w:eastAsia="zh-CN"/>
        </w:rPr>
        <w:t>质量要求</w:t>
      </w:r>
    </w:p>
    <w:p w14:paraId="67EA1DD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1、产品应符合《中国药典》（现行版）或省级炮制规范及中药饮片标准。随货需提供加盖企业质量检验专用章的检验报告书、随货同行单等。鼓励乙方提供中药材全产业链质量追溯信息。</w:t>
      </w:r>
    </w:p>
    <w:p w14:paraId="4A956C8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2、乙方应确保所投品种中药材基源（物种）清晰、准确，并在投标文件中提供相应的说明或证明(格式自拟)。</w:t>
      </w:r>
    </w:p>
    <w:p w14:paraId="2A9C75A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3、生产过程必须全面符合《药品生产质量管理规范》(GMP)要求。乙方应承诺其炮制工艺严格遵循法定标准，并对关键工艺参数进行监控和记录。</w:t>
      </w:r>
    </w:p>
    <w:p w14:paraId="62E67FFC">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饮片应无虫蛀、无霉变、无走油。①饮片性状(形状、大小、色泽、表面特征、气味等)，②饮片有效成分(含量、浸出物、硫化物、重金属及农药残留含量等)，③饮片的水分、总灰分、酸不溶性灰分检查项目应符合该品种《中国药典》现行版或省级炮制规范及中药饮片标准下的描述及规定。</w:t>
      </w:r>
    </w:p>
    <w:p w14:paraId="62C304F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涉及《国家重点保护野生动物名录》或相关法律法规规定野生动物物种制成的中药饮片，其生产、炮制、包装和标识必须符合国家专门的管理规定。炮制后的毒性中药饮片须确保毒性成分含量精确控制在安全范围内。</w:t>
      </w:r>
    </w:p>
    <w:p w14:paraId="2C8AAA5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饮片包装须防止污染和破损，包装袋(箱)上须注明:品名、规格、产地、批号、生产日期、有效期、生产企业、质量合格标志等符合国家相关要求。标签内容应完整、规范，字迹清晰。对品名等重要信息应采用加粗字体或显著标识，确保在运输、存储及验收过程中易于识别。</w:t>
      </w:r>
    </w:p>
    <w:p w14:paraId="5933C59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7、乙方应承诺在运输和储存过程中提供符合药品质量要求的条件,有效防止污染、变质，并保证在交付时饮片质量仍符合标准。</w:t>
      </w:r>
    </w:p>
    <w:p w14:paraId="44B6914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8、乙方应具备所投产品的仓储能力。</w:t>
      </w:r>
    </w:p>
    <w:p w14:paraId="1B655DA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pacing w:val="0"/>
          <w:sz w:val="24"/>
          <w:szCs w:val="24"/>
          <w:lang w:val="en-US" w:eastAsia="zh-CN"/>
        </w:rPr>
      </w:pPr>
      <w:r>
        <w:rPr>
          <w:rFonts w:hint="eastAsia" w:ascii="仿宋" w:hAnsi="仿宋" w:eastAsia="仿宋" w:cs="仿宋"/>
          <w:color w:val="auto"/>
          <w:spacing w:val="0"/>
          <w:sz w:val="24"/>
          <w:szCs w:val="24"/>
          <w:lang w:val="en-US" w:eastAsia="zh-CN"/>
        </w:rPr>
        <w:t>9、乙方承诺在合同执行过程中不随意更换药品的生产企业和降低质量标准。</w:t>
      </w:r>
    </w:p>
    <w:p w14:paraId="53963AB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rPr>
        <w:t>十一、验收</w:t>
      </w:r>
    </w:p>
    <w:p w14:paraId="4EB89AA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lang w:val="en-US" w:eastAsia="zh-CN"/>
        </w:rPr>
      </w:pPr>
      <w:r>
        <w:rPr>
          <w:rFonts w:hint="eastAsia" w:ascii="仿宋" w:hAnsi="仿宋" w:eastAsia="仿宋" w:cs="仿宋"/>
          <w:color w:val="auto"/>
          <w:spacing w:val="0"/>
          <w:sz w:val="24"/>
          <w:szCs w:val="24"/>
          <w:lang w:val="en-US" w:eastAsia="zh-CN"/>
        </w:rPr>
        <w:t>1、甲方（采购人）在接收饮片时，应对饮片数量及质量进行严格的验收确认，以确保饮片安全有效；投标时投标人提供的样品作为该企业供货质量的比对依据，且作为供货验收的唯一性状鉴别标准，对不符合质量要求的，甲方有权拒绝接收，乙方（中标人）应在3天内进行更换、补充、并不得影响甲方的临床用药。否则，甲方有权终止合同并要求乙方对其所造成的损失进行赔偿。</w:t>
      </w:r>
    </w:p>
    <w:p w14:paraId="1E70E45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lang w:val="en-US" w:eastAsia="zh-CN"/>
        </w:rPr>
      </w:pPr>
      <w:r>
        <w:rPr>
          <w:rFonts w:hint="eastAsia" w:ascii="仿宋" w:hAnsi="仿宋" w:eastAsia="仿宋" w:cs="仿宋"/>
          <w:color w:val="auto"/>
          <w:spacing w:val="0"/>
          <w:sz w:val="24"/>
          <w:szCs w:val="24"/>
          <w:lang w:val="en-US" w:eastAsia="zh-CN"/>
        </w:rPr>
        <w:t>2、甲方设有质量控制小组，会定期对饮片进行全面质量检查。发现乙方配送假药一次者，则取消其配送资格，并报送当地食品药品监督管理局；单品种二次配送不合格者，取消其该品种的配送资格三个月。同品种三次出现不合格者，取消其配送资格。</w:t>
      </w:r>
    </w:p>
    <w:p w14:paraId="1E47858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lang w:val="en-US" w:eastAsia="zh-CN"/>
        </w:rPr>
      </w:pPr>
      <w:r>
        <w:rPr>
          <w:rFonts w:hint="eastAsia" w:ascii="仿宋" w:hAnsi="仿宋" w:eastAsia="仿宋" w:cs="仿宋"/>
          <w:color w:val="auto"/>
          <w:spacing w:val="0"/>
          <w:sz w:val="24"/>
          <w:szCs w:val="24"/>
          <w:lang w:val="en-US" w:eastAsia="zh-CN"/>
        </w:rPr>
        <w:t>3、如果甲方在临床使用中发现药品不符合质量要求（含出现严重的临床、反应时），需要进行药品质量检验，应及时以书面形式把质量检验要求通知乙方。如果检验证明药品存在质量问题，则检验费用由乙方承担，乙方应在3天内进行更换、并不得影响甲方的临床用药。否则，甲方有权终止合同并要求乙方对其所造成的损失进行赔偿。药品质量检验在甲方所在地药检部门进行。</w:t>
      </w:r>
    </w:p>
    <w:p w14:paraId="6749590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lang w:val="en-US" w:eastAsia="zh-CN"/>
        </w:rPr>
      </w:pPr>
      <w:r>
        <w:rPr>
          <w:rFonts w:hint="eastAsia" w:ascii="仿宋" w:hAnsi="仿宋" w:eastAsia="仿宋" w:cs="仿宋"/>
          <w:color w:val="auto"/>
          <w:spacing w:val="0"/>
          <w:sz w:val="24"/>
          <w:szCs w:val="24"/>
          <w:lang w:val="en-US" w:eastAsia="zh-CN"/>
        </w:rPr>
        <w:t>4、药品出现质量问题（包装、标签、等级、内在质量问题），乙方必须收回并更换合格药品；由于药检部门抽检出现药品不合格的，乙方必须负经济和法律责任；如因药品质量问题引起药政管理方面的问题，由乙方负连带责任；由于药品质量引起医疗纠纷，乙方必须负连带责任。</w:t>
      </w:r>
    </w:p>
    <w:p w14:paraId="0084858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lang w:val="en-US" w:eastAsia="zh-CN"/>
        </w:rPr>
      </w:pPr>
      <w:r>
        <w:rPr>
          <w:rFonts w:hint="eastAsia" w:ascii="仿宋" w:hAnsi="仿宋" w:eastAsia="仿宋" w:cs="仿宋"/>
          <w:color w:val="auto"/>
          <w:spacing w:val="0"/>
          <w:sz w:val="24"/>
          <w:szCs w:val="24"/>
          <w:lang w:val="en-US" w:eastAsia="zh-CN"/>
        </w:rPr>
        <w:t>5、若乙方供货时出现未按照招标文件中的要求提供相关物种行政许可文件或饮片合法来源的渠道证明文件的情况，甲方有权拒绝收货，由此引发的不利后果及相应的法律责任全部由乙方承担。</w:t>
      </w:r>
    </w:p>
    <w:p w14:paraId="016D0DD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val="en-US" w:eastAsia="zh-CN"/>
        </w:rPr>
        <w:t>6</w:t>
      </w:r>
      <w:r>
        <w:rPr>
          <w:rFonts w:hint="eastAsia" w:ascii="仿宋" w:hAnsi="仿宋" w:eastAsia="仿宋" w:cs="仿宋"/>
          <w:color w:val="auto"/>
          <w:spacing w:val="0"/>
          <w:sz w:val="24"/>
          <w:szCs w:val="24"/>
          <w:lang w:eastAsia="zh-CN"/>
        </w:rPr>
        <w:t>、</w:t>
      </w:r>
      <w:r>
        <w:rPr>
          <w:rFonts w:hint="eastAsia" w:ascii="仿宋" w:hAnsi="仿宋" w:eastAsia="仿宋" w:cs="仿宋"/>
          <w:color w:val="auto"/>
          <w:spacing w:val="0"/>
          <w:sz w:val="24"/>
          <w:szCs w:val="24"/>
        </w:rPr>
        <w:t>验收依据：</w:t>
      </w:r>
    </w:p>
    <w:p w14:paraId="20667D4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1）合同文本；</w:t>
      </w:r>
    </w:p>
    <w:p w14:paraId="1AFA936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2）投标文件及澄清函、招标文件；</w:t>
      </w:r>
    </w:p>
    <w:p w14:paraId="5663629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3）国家和行业制定的相应的标准和规范；</w:t>
      </w:r>
    </w:p>
    <w:p w14:paraId="1952422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val="en-US" w:eastAsia="zh-CN"/>
        </w:rPr>
        <w:t>4）</w:t>
      </w:r>
      <w:r>
        <w:rPr>
          <w:rFonts w:hint="eastAsia" w:ascii="仿宋" w:hAnsi="仿宋" w:eastAsia="仿宋" w:cs="仿宋"/>
          <w:color w:val="auto"/>
          <w:spacing w:val="0"/>
          <w:sz w:val="24"/>
          <w:szCs w:val="24"/>
        </w:rPr>
        <w:t>产品验收清单（注明各部件的品名、数量、规格型号和原产地或生产厂家</w:t>
      </w:r>
      <w:r>
        <w:rPr>
          <w:rFonts w:hint="eastAsia" w:ascii="仿宋" w:hAnsi="仿宋" w:eastAsia="仿宋" w:cs="仿宋"/>
          <w:color w:val="auto"/>
          <w:spacing w:val="0"/>
          <w:sz w:val="24"/>
          <w:szCs w:val="24"/>
          <w:lang w:eastAsia="zh-CN"/>
        </w:rPr>
        <w:t>）。</w:t>
      </w:r>
    </w:p>
    <w:p w14:paraId="244F27F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rPr>
        <w:t>十</w:t>
      </w:r>
      <w:r>
        <w:rPr>
          <w:rFonts w:hint="eastAsia" w:ascii="仿宋" w:hAnsi="仿宋" w:eastAsia="仿宋" w:cs="仿宋"/>
          <w:b/>
          <w:bCs/>
          <w:color w:val="auto"/>
          <w:spacing w:val="0"/>
          <w:sz w:val="24"/>
          <w:szCs w:val="24"/>
          <w:lang w:val="en-US" w:eastAsia="zh-CN"/>
        </w:rPr>
        <w:t>二</w:t>
      </w:r>
      <w:r>
        <w:rPr>
          <w:rFonts w:hint="eastAsia" w:ascii="仿宋" w:hAnsi="仿宋" w:eastAsia="仿宋" w:cs="仿宋"/>
          <w:b/>
          <w:bCs/>
          <w:color w:val="auto"/>
          <w:spacing w:val="0"/>
          <w:sz w:val="24"/>
          <w:szCs w:val="24"/>
        </w:rPr>
        <w:t>、知识产权</w:t>
      </w:r>
    </w:p>
    <w:p w14:paraId="712F235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供应商应对所供产品具有或已取得合法知识产权，供应商应保证所供产品及服务不会出现因第三方提出侵犯其专利权、商标权或其它知识产权而引发法律或经济纠纷，否则由供应商负责解决并承担全部责任；如因此影响到采购人的正常使用，采购人有权单方解除本合同，供应商应无条件向采购人退回已收取的全部合同价款。</w:t>
      </w:r>
    </w:p>
    <w:p w14:paraId="459CCC9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rPr>
        <w:t>十</w:t>
      </w:r>
      <w:r>
        <w:rPr>
          <w:rFonts w:hint="eastAsia" w:ascii="仿宋" w:hAnsi="仿宋" w:eastAsia="仿宋" w:cs="仿宋"/>
          <w:b/>
          <w:bCs/>
          <w:color w:val="auto"/>
          <w:spacing w:val="0"/>
          <w:sz w:val="24"/>
          <w:szCs w:val="24"/>
          <w:lang w:val="en-US" w:eastAsia="zh-CN"/>
        </w:rPr>
        <w:t>三</w:t>
      </w:r>
      <w:r>
        <w:rPr>
          <w:rFonts w:hint="eastAsia" w:ascii="仿宋" w:hAnsi="仿宋" w:eastAsia="仿宋" w:cs="仿宋"/>
          <w:b/>
          <w:bCs/>
          <w:color w:val="auto"/>
          <w:spacing w:val="0"/>
          <w:sz w:val="24"/>
          <w:szCs w:val="24"/>
        </w:rPr>
        <w:t>、合同争议的解决</w:t>
      </w:r>
    </w:p>
    <w:p w14:paraId="66895D3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合同执行中发生争议的，当事人双方应协商解决，协商达不成一致时，双方均可向采购人所在地人民法院提请诉讼。</w:t>
      </w:r>
    </w:p>
    <w:p w14:paraId="2D3554A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rPr>
        <w:t>十</w:t>
      </w:r>
      <w:r>
        <w:rPr>
          <w:rFonts w:hint="eastAsia" w:ascii="仿宋" w:hAnsi="仿宋" w:eastAsia="仿宋" w:cs="仿宋"/>
          <w:b/>
          <w:bCs/>
          <w:color w:val="auto"/>
          <w:spacing w:val="0"/>
          <w:sz w:val="24"/>
          <w:szCs w:val="24"/>
          <w:lang w:val="en-US" w:eastAsia="zh-CN"/>
        </w:rPr>
        <w:t>四</w:t>
      </w:r>
      <w:r>
        <w:rPr>
          <w:rFonts w:hint="eastAsia" w:ascii="仿宋" w:hAnsi="仿宋" w:eastAsia="仿宋" w:cs="仿宋"/>
          <w:b/>
          <w:bCs/>
          <w:color w:val="auto"/>
          <w:spacing w:val="0"/>
          <w:sz w:val="24"/>
          <w:szCs w:val="24"/>
        </w:rPr>
        <w:t>、不可抗力情况下的免责约定</w:t>
      </w:r>
    </w:p>
    <w:p w14:paraId="56D5F82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双方约定不可抗力情况包括：自然灾害、重大疫情、恶劣天气条件、政府行为、社会异常事件（包括罢工、政变、骚乱、游行等）等不能预见、不能避免并不能克服的客观情况。</w:t>
      </w:r>
    </w:p>
    <w:p w14:paraId="014FE51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rPr>
        <w:t>十</w:t>
      </w:r>
      <w:r>
        <w:rPr>
          <w:rFonts w:hint="eastAsia" w:ascii="仿宋" w:hAnsi="仿宋" w:eastAsia="仿宋" w:cs="仿宋"/>
          <w:b/>
          <w:bCs/>
          <w:color w:val="auto"/>
          <w:spacing w:val="0"/>
          <w:sz w:val="24"/>
          <w:szCs w:val="24"/>
          <w:lang w:val="en-US" w:eastAsia="zh-CN"/>
        </w:rPr>
        <w:t>五</w:t>
      </w:r>
      <w:r>
        <w:rPr>
          <w:rFonts w:hint="eastAsia" w:ascii="仿宋" w:hAnsi="仿宋" w:eastAsia="仿宋" w:cs="仿宋"/>
          <w:b/>
          <w:bCs/>
          <w:color w:val="auto"/>
          <w:spacing w:val="0"/>
          <w:sz w:val="24"/>
          <w:szCs w:val="24"/>
        </w:rPr>
        <w:t>、违约责任</w:t>
      </w:r>
    </w:p>
    <w:p w14:paraId="1BC86D3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依据《中华人民共和国民法典》、《中华人民共和国政府采购法》的相关条款和本合同约定，供应商未全面履行合同义务或者发生违约，采购单位会同采购代理机构有权 终止合同，依法向成交供应商进行经济索赔，并报请政府采购监督管理机关进行相应的行政处罚。采购单位违约的，应当赔偿给供应商造成的经济损失。</w:t>
      </w:r>
    </w:p>
    <w:p w14:paraId="4566E21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rPr>
        <w:t>十</w:t>
      </w:r>
      <w:r>
        <w:rPr>
          <w:rFonts w:hint="eastAsia" w:ascii="仿宋" w:hAnsi="仿宋" w:eastAsia="仿宋" w:cs="仿宋"/>
          <w:b/>
          <w:bCs/>
          <w:color w:val="auto"/>
          <w:spacing w:val="0"/>
          <w:sz w:val="24"/>
          <w:szCs w:val="24"/>
          <w:lang w:val="en-US" w:eastAsia="zh-CN"/>
        </w:rPr>
        <w:t>六</w:t>
      </w:r>
      <w:r>
        <w:rPr>
          <w:rFonts w:hint="eastAsia" w:ascii="仿宋" w:hAnsi="仿宋" w:eastAsia="仿宋" w:cs="仿宋"/>
          <w:b/>
          <w:bCs/>
          <w:color w:val="auto"/>
          <w:spacing w:val="0"/>
          <w:sz w:val="24"/>
          <w:szCs w:val="24"/>
        </w:rPr>
        <w:t>、合同订立</w:t>
      </w:r>
    </w:p>
    <w:p w14:paraId="45609C5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1.订立时间：</w:t>
      </w:r>
      <w:r>
        <w:rPr>
          <w:rFonts w:hint="eastAsia" w:ascii="仿宋" w:hAnsi="仿宋" w:eastAsia="仿宋" w:cs="仿宋"/>
          <w:color w:val="auto"/>
          <w:spacing w:val="0"/>
          <w:sz w:val="24"/>
          <w:szCs w:val="24"/>
          <w:u w:val="single" w:color="auto"/>
        </w:rPr>
        <w:t xml:space="preserve">        </w:t>
      </w:r>
      <w:r>
        <w:rPr>
          <w:rFonts w:hint="eastAsia" w:ascii="仿宋" w:hAnsi="仿宋" w:eastAsia="仿宋" w:cs="仿宋"/>
          <w:color w:val="auto"/>
          <w:spacing w:val="0"/>
          <w:sz w:val="24"/>
          <w:szCs w:val="24"/>
        </w:rPr>
        <w:t xml:space="preserve"> 年</w:t>
      </w:r>
      <w:r>
        <w:rPr>
          <w:rFonts w:hint="eastAsia" w:ascii="仿宋" w:hAnsi="仿宋" w:eastAsia="仿宋" w:cs="仿宋"/>
          <w:color w:val="auto"/>
          <w:spacing w:val="0"/>
          <w:sz w:val="24"/>
          <w:szCs w:val="24"/>
          <w:u w:val="single" w:color="auto"/>
        </w:rPr>
        <w:t xml:space="preserve">      </w:t>
      </w:r>
      <w:r>
        <w:rPr>
          <w:rFonts w:hint="eastAsia" w:ascii="仿宋" w:hAnsi="仿宋" w:eastAsia="仿宋" w:cs="仿宋"/>
          <w:color w:val="auto"/>
          <w:spacing w:val="0"/>
          <w:sz w:val="24"/>
          <w:szCs w:val="24"/>
        </w:rPr>
        <w:t xml:space="preserve"> 月</w:t>
      </w:r>
      <w:r>
        <w:rPr>
          <w:rFonts w:hint="eastAsia" w:ascii="仿宋" w:hAnsi="仿宋" w:eastAsia="仿宋" w:cs="仿宋"/>
          <w:color w:val="auto"/>
          <w:spacing w:val="0"/>
          <w:sz w:val="24"/>
          <w:szCs w:val="24"/>
          <w:u w:val="single" w:color="auto"/>
        </w:rPr>
        <w:t xml:space="preserve">      </w:t>
      </w:r>
      <w:r>
        <w:rPr>
          <w:rFonts w:hint="eastAsia" w:ascii="仿宋" w:hAnsi="仿宋" w:eastAsia="仿宋" w:cs="仿宋"/>
          <w:color w:val="auto"/>
          <w:spacing w:val="0"/>
          <w:sz w:val="24"/>
          <w:szCs w:val="24"/>
        </w:rPr>
        <w:t xml:space="preserve"> 日。</w:t>
      </w:r>
    </w:p>
    <w:p w14:paraId="077A826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2.订立地点：</w:t>
      </w:r>
      <w:r>
        <w:rPr>
          <w:rFonts w:hint="eastAsia" w:ascii="仿宋" w:hAnsi="仿宋" w:eastAsia="仿宋" w:cs="仿宋"/>
          <w:color w:val="auto"/>
          <w:spacing w:val="0"/>
          <w:sz w:val="24"/>
          <w:szCs w:val="24"/>
          <w:u w:val="single" w:color="auto"/>
        </w:rPr>
        <w:t xml:space="preserve">                            </w:t>
      </w:r>
      <w:r>
        <w:rPr>
          <w:rFonts w:hint="eastAsia" w:ascii="仿宋" w:hAnsi="仿宋" w:eastAsia="仿宋" w:cs="仿宋"/>
          <w:color w:val="auto"/>
          <w:spacing w:val="0"/>
          <w:sz w:val="24"/>
          <w:szCs w:val="24"/>
        </w:rPr>
        <w:t xml:space="preserve"> 。</w:t>
      </w:r>
    </w:p>
    <w:p w14:paraId="00CC715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z w:val="24"/>
          <w:szCs w:val="24"/>
          <w:highlight w:val="none"/>
        </w:rPr>
      </w:pPr>
      <w:r>
        <w:rPr>
          <w:rFonts w:hint="eastAsia" w:ascii="仿宋" w:hAnsi="仿宋" w:eastAsia="仿宋" w:cs="仿宋"/>
          <w:color w:val="auto"/>
          <w:spacing w:val="0"/>
          <w:sz w:val="24"/>
          <w:szCs w:val="24"/>
        </w:rPr>
        <w:t>3.本合同一式</w:t>
      </w:r>
      <w:r>
        <w:rPr>
          <w:rFonts w:hint="eastAsia" w:ascii="仿宋" w:hAnsi="仿宋" w:eastAsia="仿宋" w:cs="仿宋"/>
          <w:color w:val="auto"/>
          <w:spacing w:val="0"/>
          <w:sz w:val="24"/>
          <w:szCs w:val="24"/>
          <w:u w:val="single" w:color="auto"/>
        </w:rPr>
        <w:t xml:space="preserve">    </w:t>
      </w:r>
      <w:r>
        <w:rPr>
          <w:rFonts w:hint="eastAsia" w:ascii="仿宋" w:hAnsi="仿宋" w:eastAsia="仿宋" w:cs="仿宋"/>
          <w:color w:val="auto"/>
          <w:spacing w:val="0"/>
          <w:sz w:val="24"/>
          <w:szCs w:val="24"/>
        </w:rPr>
        <w:t>份，其中，合同正本一式</w:t>
      </w:r>
      <w:r>
        <w:rPr>
          <w:rFonts w:hint="eastAsia" w:ascii="仿宋" w:hAnsi="仿宋" w:eastAsia="仿宋" w:cs="仿宋"/>
          <w:color w:val="auto"/>
          <w:spacing w:val="0"/>
          <w:sz w:val="24"/>
          <w:szCs w:val="24"/>
          <w:u w:val="single" w:color="auto"/>
        </w:rPr>
        <w:t xml:space="preserve"> </w:t>
      </w:r>
      <w:r>
        <w:rPr>
          <w:rFonts w:hint="eastAsia" w:ascii="仿宋" w:hAnsi="仿宋" w:eastAsia="仿宋" w:cs="仿宋"/>
          <w:color w:val="auto"/>
          <w:spacing w:val="0"/>
          <w:sz w:val="24"/>
          <w:szCs w:val="24"/>
          <w:u w:val="single" w:color="auto"/>
          <w:lang w:val="en-US" w:eastAsia="zh-CN"/>
        </w:rPr>
        <w:t xml:space="preserve">  </w:t>
      </w:r>
      <w:r>
        <w:rPr>
          <w:rFonts w:hint="eastAsia" w:ascii="仿宋" w:hAnsi="仿宋" w:eastAsia="仿宋" w:cs="仿宋"/>
          <w:color w:val="auto"/>
          <w:spacing w:val="0"/>
          <w:sz w:val="24"/>
          <w:szCs w:val="24"/>
          <w:u w:val="single" w:color="auto"/>
        </w:rPr>
        <w:t xml:space="preserve"> </w:t>
      </w:r>
      <w:r>
        <w:rPr>
          <w:rFonts w:hint="eastAsia" w:ascii="仿宋" w:hAnsi="仿宋" w:eastAsia="仿宋" w:cs="仿宋"/>
          <w:color w:val="auto"/>
          <w:spacing w:val="0"/>
          <w:sz w:val="24"/>
          <w:szCs w:val="24"/>
        </w:rPr>
        <w:t>份，副本一式</w:t>
      </w:r>
      <w:r>
        <w:rPr>
          <w:rFonts w:hint="eastAsia" w:ascii="仿宋" w:hAnsi="仿宋" w:eastAsia="仿宋" w:cs="仿宋"/>
          <w:color w:val="auto"/>
          <w:spacing w:val="0"/>
          <w:sz w:val="24"/>
          <w:szCs w:val="24"/>
          <w:u w:val="single" w:color="auto"/>
        </w:rPr>
        <w:t xml:space="preserve">  </w:t>
      </w:r>
      <w:r>
        <w:rPr>
          <w:rFonts w:hint="eastAsia" w:ascii="仿宋" w:hAnsi="仿宋" w:eastAsia="仿宋" w:cs="仿宋"/>
          <w:color w:val="auto"/>
          <w:spacing w:val="0"/>
          <w:sz w:val="24"/>
          <w:szCs w:val="24"/>
        </w:rPr>
        <w:t xml:space="preserve"> 份，双方各执正</w:t>
      </w:r>
      <w:r>
        <w:rPr>
          <w:rFonts w:hint="eastAsia" w:ascii="仿宋" w:hAnsi="仿宋" w:eastAsia="仿宋" w:cs="仿宋"/>
          <w:color w:val="auto"/>
          <w:spacing w:val="0"/>
          <w:sz w:val="24"/>
          <w:szCs w:val="24"/>
          <w:u w:val="single" w:color="auto"/>
        </w:rPr>
        <w:t>本</w:t>
      </w:r>
      <w:r>
        <w:rPr>
          <w:rFonts w:hint="eastAsia" w:ascii="仿宋" w:hAnsi="仿宋" w:eastAsia="仿宋" w:cs="仿宋"/>
          <w:color w:val="auto"/>
          <w:spacing w:val="0"/>
          <w:sz w:val="24"/>
          <w:szCs w:val="24"/>
        </w:rPr>
        <w:t xml:space="preserve"> 份，副本 </w:t>
      </w:r>
      <w:r>
        <w:rPr>
          <w:rFonts w:hint="eastAsia" w:ascii="仿宋" w:hAnsi="仿宋" w:eastAsia="仿宋" w:cs="仿宋"/>
          <w:color w:val="auto"/>
          <w:spacing w:val="0"/>
          <w:sz w:val="24"/>
          <w:szCs w:val="24"/>
          <w:u w:val="single" w:color="auto"/>
        </w:rPr>
        <w:t xml:space="preserve">   </w:t>
      </w:r>
      <w:r>
        <w:rPr>
          <w:rFonts w:hint="eastAsia" w:ascii="仿宋" w:hAnsi="仿宋" w:eastAsia="仿宋" w:cs="仿宋"/>
          <w:color w:val="auto"/>
          <w:spacing w:val="0"/>
          <w:sz w:val="24"/>
          <w:szCs w:val="24"/>
        </w:rPr>
        <w:t xml:space="preserve"> 份，具有同等法律效力，正副本不一致，以正本为准。采购人与供应商双方签字盖章后生效，合同执行完毕自动失效。</w:t>
      </w:r>
      <w:r>
        <w:rPr>
          <w:rFonts w:hint="eastAsia" w:ascii="仿宋" w:hAnsi="仿宋" w:eastAsia="仿宋" w:cs="仿宋"/>
          <w:color w:val="auto"/>
          <w:sz w:val="24"/>
          <w:szCs w:val="24"/>
          <w:highlight w:val="none"/>
        </w:rPr>
        <w:br w:type="page"/>
      </w:r>
    </w:p>
    <w:p w14:paraId="472AE865">
      <w:pPr>
        <w:pStyle w:val="15"/>
        <w:shd w:val="clea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（以下无正文）</w:t>
      </w:r>
    </w:p>
    <w:p w14:paraId="48C6D9CB">
      <w:pPr>
        <w:shd w:val="clear"/>
        <w:outlineLvl w:val="9"/>
        <w:rPr>
          <w:rFonts w:hint="eastAsia" w:ascii="仿宋" w:hAnsi="仿宋" w:eastAsia="仿宋" w:cs="仿宋"/>
          <w:color w:val="auto"/>
          <w:szCs w:val="24"/>
          <w:highlight w:val="none"/>
        </w:rPr>
      </w:pPr>
    </w:p>
    <w:p w14:paraId="72375965">
      <w:pPr>
        <w:shd w:val="clear"/>
        <w:spacing w:line="360" w:lineRule="auto"/>
        <w:outlineLvl w:val="9"/>
        <w:rPr>
          <w:rFonts w:hint="eastAsia" w:ascii="仿宋" w:hAnsi="仿宋" w:eastAsia="仿宋" w:cs="仿宋"/>
          <w:color w:val="auto"/>
          <w:szCs w:val="24"/>
          <w:highlight w:val="none"/>
        </w:rPr>
      </w:pPr>
      <w:r>
        <w:rPr>
          <w:rFonts w:hint="eastAsia" w:ascii="仿宋" w:hAnsi="仿宋" w:eastAsia="仿宋" w:cs="仿宋"/>
          <w:color w:val="auto"/>
          <w:szCs w:val="24"/>
          <w:highlight w:val="none"/>
        </w:rPr>
        <w:t>甲方（委托方）：</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t xml:space="preserve">   乙方（受托方）：</w:t>
      </w:r>
      <w:r>
        <w:rPr>
          <w:rFonts w:hint="eastAsia" w:ascii="仿宋" w:hAnsi="仿宋" w:eastAsia="仿宋" w:cs="仿宋"/>
          <w:color w:val="auto"/>
          <w:szCs w:val="24"/>
          <w:highlight w:val="none"/>
          <w:u w:val="single"/>
        </w:rPr>
        <w:t xml:space="preserve">                   </w:t>
      </w:r>
    </w:p>
    <w:p w14:paraId="5C2C5D30">
      <w:pPr>
        <w:shd w:val="clear"/>
        <w:spacing w:line="360" w:lineRule="auto"/>
        <w:ind w:firstLine="3120" w:firstLineChars="1300"/>
        <w:outlineLvl w:val="9"/>
        <w:rPr>
          <w:rFonts w:hint="eastAsia" w:ascii="仿宋" w:hAnsi="仿宋" w:eastAsia="仿宋" w:cs="仿宋"/>
          <w:color w:val="auto"/>
          <w:szCs w:val="24"/>
          <w:highlight w:val="none"/>
        </w:rPr>
      </w:pPr>
    </w:p>
    <w:p w14:paraId="69FA0A27">
      <w:pPr>
        <w:shd w:val="clear"/>
        <w:spacing w:line="360" w:lineRule="auto"/>
        <w:outlineLvl w:val="9"/>
        <w:rPr>
          <w:rFonts w:hint="eastAsia" w:ascii="仿宋" w:hAnsi="仿宋" w:eastAsia="仿宋" w:cs="仿宋"/>
          <w:color w:val="auto"/>
          <w:szCs w:val="24"/>
          <w:highlight w:val="none"/>
        </w:rPr>
      </w:pPr>
      <w:r>
        <w:rPr>
          <w:rFonts w:hint="eastAsia" w:ascii="仿宋" w:hAnsi="仿宋" w:eastAsia="仿宋" w:cs="仿宋"/>
          <w:color w:val="auto"/>
          <w:szCs w:val="24"/>
          <w:highlight w:val="none"/>
        </w:rPr>
        <w:t>（盖章）                           （盖章）</w:t>
      </w:r>
    </w:p>
    <w:p w14:paraId="7F9E3444">
      <w:pPr>
        <w:shd w:val="clear"/>
        <w:spacing w:line="360" w:lineRule="auto"/>
        <w:outlineLvl w:val="9"/>
        <w:rPr>
          <w:rFonts w:hint="eastAsia" w:ascii="仿宋" w:hAnsi="仿宋" w:eastAsia="仿宋" w:cs="仿宋"/>
          <w:color w:val="auto"/>
          <w:szCs w:val="24"/>
          <w:highlight w:val="none"/>
          <w:u w:val="single"/>
        </w:rPr>
      </w:pPr>
      <w:r>
        <w:rPr>
          <w:rFonts w:hint="eastAsia" w:ascii="仿宋" w:hAnsi="仿宋" w:eastAsia="仿宋" w:cs="仿宋"/>
          <w:color w:val="auto"/>
          <w:szCs w:val="24"/>
          <w:highlight w:val="none"/>
        </w:rPr>
        <w:t>代表人（签字）：</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t>代表人（签字）：</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p>
    <w:p w14:paraId="2801FFCE">
      <w:pPr>
        <w:shd w:val="clear"/>
        <w:spacing w:line="360" w:lineRule="auto"/>
        <w:outlineLvl w:val="9"/>
        <w:rPr>
          <w:rFonts w:hint="eastAsia" w:ascii="仿宋" w:hAnsi="仿宋" w:eastAsia="仿宋" w:cs="仿宋"/>
          <w:color w:val="auto"/>
          <w:szCs w:val="24"/>
          <w:highlight w:val="none"/>
          <w:u w:val="single"/>
        </w:rPr>
      </w:pPr>
      <w:r>
        <w:rPr>
          <w:rFonts w:hint="eastAsia" w:ascii="仿宋" w:hAnsi="仿宋" w:eastAsia="仿宋" w:cs="仿宋"/>
          <w:color w:val="auto"/>
          <w:szCs w:val="24"/>
          <w:highlight w:val="none"/>
        </w:rPr>
        <w:t>法定代表人（盖章）：</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t>法定代表人（盖章）：</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p>
    <w:p w14:paraId="34424102">
      <w:pPr>
        <w:shd w:val="clear"/>
        <w:spacing w:line="360" w:lineRule="auto"/>
        <w:outlineLvl w:val="9"/>
        <w:rPr>
          <w:rFonts w:hint="eastAsia" w:ascii="仿宋" w:hAnsi="仿宋" w:eastAsia="仿宋" w:cs="仿宋"/>
          <w:color w:val="auto"/>
          <w:szCs w:val="24"/>
          <w:highlight w:val="none"/>
        </w:rPr>
      </w:pPr>
      <w:r>
        <w:rPr>
          <w:rFonts w:hint="eastAsia" w:ascii="仿宋" w:hAnsi="仿宋" w:eastAsia="仿宋" w:cs="仿宋"/>
          <w:color w:val="auto"/>
          <w:szCs w:val="24"/>
          <w:highlight w:val="none"/>
        </w:rPr>
        <w:t>地    址：</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t>地    址：</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rPr>
        <w:t xml:space="preserve"> </w:t>
      </w:r>
    </w:p>
    <w:p w14:paraId="34EF7FD5">
      <w:pPr>
        <w:shd w:val="clear"/>
        <w:spacing w:line="360" w:lineRule="auto"/>
        <w:outlineLvl w:val="9"/>
        <w:rPr>
          <w:rFonts w:hint="eastAsia" w:ascii="仿宋" w:hAnsi="仿宋" w:eastAsia="仿宋" w:cs="仿宋"/>
          <w:color w:val="auto"/>
          <w:szCs w:val="24"/>
          <w:highlight w:val="none"/>
        </w:rPr>
      </w:pPr>
      <w:r>
        <w:rPr>
          <w:rFonts w:hint="eastAsia" w:ascii="仿宋" w:hAnsi="仿宋" w:eastAsia="仿宋" w:cs="仿宋"/>
          <w:color w:val="auto"/>
          <w:szCs w:val="24"/>
          <w:highlight w:val="none"/>
        </w:rPr>
        <w:t>邮政编码：</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t>邮政编码：</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p>
    <w:p w14:paraId="58E1520B">
      <w:pPr>
        <w:shd w:val="clear"/>
        <w:spacing w:line="360" w:lineRule="auto"/>
        <w:outlineLvl w:val="9"/>
        <w:rPr>
          <w:rFonts w:hint="eastAsia" w:ascii="仿宋" w:hAnsi="仿宋" w:eastAsia="仿宋" w:cs="仿宋"/>
          <w:color w:val="auto"/>
          <w:szCs w:val="24"/>
          <w:highlight w:val="none"/>
        </w:rPr>
      </w:pPr>
      <w:r>
        <w:rPr>
          <w:rFonts w:hint="eastAsia" w:ascii="仿宋" w:hAnsi="仿宋" w:eastAsia="仿宋" w:cs="仿宋"/>
          <w:color w:val="auto"/>
          <w:szCs w:val="24"/>
          <w:highlight w:val="none"/>
        </w:rPr>
        <w:t>电    话：</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t>电    话：</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p>
    <w:p w14:paraId="1318ECBE">
      <w:pPr>
        <w:shd w:val="clear"/>
        <w:spacing w:line="360" w:lineRule="auto"/>
        <w:outlineLvl w:val="9"/>
        <w:rPr>
          <w:rFonts w:hint="eastAsia" w:ascii="仿宋" w:hAnsi="仿宋" w:eastAsia="仿宋" w:cs="仿宋"/>
          <w:color w:val="auto"/>
          <w:szCs w:val="24"/>
          <w:highlight w:val="none"/>
        </w:rPr>
      </w:pPr>
      <w:r>
        <w:rPr>
          <w:rFonts w:hint="eastAsia" w:ascii="仿宋" w:hAnsi="仿宋" w:eastAsia="仿宋" w:cs="仿宋"/>
          <w:color w:val="auto"/>
          <w:szCs w:val="24"/>
          <w:highlight w:val="none"/>
        </w:rPr>
        <w:t>传    真：</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t>传    真：</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p>
    <w:p w14:paraId="5A979D12">
      <w:pPr>
        <w:shd w:val="clear"/>
        <w:spacing w:line="360" w:lineRule="auto"/>
        <w:outlineLvl w:val="9"/>
        <w:rPr>
          <w:rFonts w:hint="eastAsia" w:ascii="仿宋" w:hAnsi="仿宋" w:eastAsia="仿宋" w:cs="仿宋"/>
          <w:color w:val="auto"/>
          <w:szCs w:val="24"/>
          <w:highlight w:val="none"/>
        </w:rPr>
      </w:pPr>
      <w:r>
        <w:rPr>
          <w:rFonts w:hint="eastAsia" w:ascii="仿宋" w:hAnsi="仿宋" w:eastAsia="仿宋" w:cs="仿宋"/>
          <w:color w:val="auto"/>
          <w:szCs w:val="24"/>
          <w:highlight w:val="none"/>
        </w:rPr>
        <w:t>开户银行：</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t>开户银行：</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rPr>
        <w:t xml:space="preserve"> </w:t>
      </w:r>
    </w:p>
    <w:p w14:paraId="752E6123">
      <w:pPr>
        <w:spacing w:line="360" w:lineRule="auto"/>
        <w:rPr>
          <w:rFonts w:hint="eastAsia" w:ascii="仿宋" w:hAnsi="仿宋" w:eastAsia="仿宋" w:cs="仿宋"/>
          <w:b/>
          <w:bCs/>
          <w:color w:val="auto"/>
          <w:szCs w:val="24"/>
          <w:highlight w:val="none"/>
        </w:rPr>
      </w:pPr>
      <w:r>
        <w:rPr>
          <w:rFonts w:hint="eastAsia" w:ascii="仿宋" w:hAnsi="仿宋" w:eastAsia="仿宋" w:cs="仿宋"/>
          <w:color w:val="auto"/>
          <w:szCs w:val="24"/>
          <w:highlight w:val="none"/>
        </w:rPr>
        <w:t>银行帐号：</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t>银行帐号：</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p>
    <w:p w14:paraId="6C7AB9C9">
      <w:pPr>
        <w:rPr>
          <w:rFonts w:hint="eastAsia" w:ascii="仿宋" w:hAnsi="仿宋" w:eastAsia="仿宋" w:cs="仿宋"/>
          <w:color w:val="auto"/>
          <w:sz w:val="32"/>
          <w:szCs w:val="32"/>
          <w:highlight w:val="none"/>
        </w:rPr>
      </w:pPr>
      <w:bookmarkStart w:id="148" w:name="_Toc100219615"/>
      <w:r>
        <w:rPr>
          <w:rFonts w:hint="eastAsia" w:ascii="仿宋" w:hAnsi="仿宋" w:eastAsia="仿宋" w:cs="仿宋"/>
          <w:color w:val="auto"/>
          <w:sz w:val="32"/>
          <w:szCs w:val="32"/>
          <w:highlight w:val="none"/>
        </w:rPr>
        <w:br w:type="page"/>
      </w:r>
    </w:p>
    <w:p w14:paraId="2F72B60B">
      <w:pPr>
        <w:pStyle w:val="2"/>
        <w:rPr>
          <w:rFonts w:hint="eastAsia" w:ascii="仿宋" w:eastAsia="仿宋" w:cs="仿宋"/>
          <w:color w:val="auto"/>
          <w:highlight w:val="none"/>
          <w:lang w:val="en-US" w:eastAsia="zh-CN"/>
        </w:rPr>
      </w:pPr>
      <w:bookmarkStart w:id="149" w:name="_Toc24248"/>
      <w:r>
        <w:rPr>
          <w:rFonts w:hint="eastAsia" w:ascii="仿宋" w:eastAsia="仿宋" w:cs="仿宋"/>
          <w:color w:val="auto"/>
          <w:highlight w:val="none"/>
        </w:rPr>
        <w:t xml:space="preserve">第四章  </w:t>
      </w:r>
      <w:bookmarkEnd w:id="148"/>
      <w:r>
        <w:rPr>
          <w:rFonts w:hint="eastAsia" w:ascii="仿宋" w:eastAsia="仿宋" w:cs="仿宋"/>
          <w:color w:val="auto"/>
          <w:highlight w:val="none"/>
          <w:lang w:val="en-US" w:eastAsia="zh-CN"/>
        </w:rPr>
        <w:t>招标内容及要求</w:t>
      </w:r>
      <w:bookmarkEnd w:id="149"/>
    </w:p>
    <w:p w14:paraId="7371BF7D">
      <w:pPr>
        <w:bidi w:val="0"/>
        <w:rPr>
          <w:rFonts w:hint="eastAsia"/>
          <w:color w:val="auto"/>
          <w:lang w:val="en-US" w:eastAsia="zh-CN"/>
        </w:rPr>
      </w:pPr>
      <w:bookmarkStart w:id="150" w:name="_Toc27522"/>
      <w:bookmarkStart w:id="151" w:name="_Toc4082"/>
      <w:bookmarkStart w:id="152" w:name="_Toc20410"/>
      <w:bookmarkStart w:id="153" w:name="_Toc331665135"/>
      <w:bookmarkStart w:id="154" w:name="_Toc339114187"/>
      <w:bookmarkStart w:id="155" w:name="_Toc316486464"/>
      <w:bookmarkStart w:id="156" w:name="_Toc100219616"/>
      <w:r>
        <w:rPr>
          <w:rFonts w:hint="eastAsia" w:ascii="仿宋" w:hAnsi="仿宋" w:eastAsia="仿宋" w:cs="仿宋"/>
          <w:b/>
          <w:bCs/>
          <w:color w:val="auto"/>
          <w:sz w:val="28"/>
          <w:szCs w:val="28"/>
          <w:lang w:val="en-US" w:eastAsia="zh-CN"/>
        </w:rPr>
        <w:t>1.采购内容</w:t>
      </w:r>
    </w:p>
    <w:tbl>
      <w:tblPr>
        <w:tblStyle w:val="32"/>
        <w:tblW w:w="534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1"/>
        <w:gridCol w:w="651"/>
        <w:gridCol w:w="750"/>
        <w:gridCol w:w="650"/>
        <w:gridCol w:w="762"/>
        <w:gridCol w:w="1900"/>
        <w:gridCol w:w="4570"/>
      </w:tblGrid>
      <w:tr w14:paraId="2DA41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0" w:hRule="atLeast"/>
        </w:trPr>
        <w:tc>
          <w:tcPr>
            <w:tcW w:w="327" w:type="pct"/>
            <w:tcBorders>
              <w:top w:val="single" w:color="000000" w:sz="4" w:space="0"/>
              <w:left w:val="single" w:color="000000" w:sz="4" w:space="0"/>
              <w:bottom w:val="nil"/>
              <w:right w:val="single" w:color="000000" w:sz="4" w:space="0"/>
            </w:tcBorders>
            <w:shd w:val="clear" w:color="auto" w:fill="auto"/>
            <w:noWrap/>
            <w:vAlign w:val="center"/>
          </w:tcPr>
          <w:p w14:paraId="0891A40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序号</w:t>
            </w:r>
          </w:p>
        </w:tc>
        <w:tc>
          <w:tcPr>
            <w:tcW w:w="327" w:type="pct"/>
            <w:tcBorders>
              <w:top w:val="single" w:color="000000" w:sz="4" w:space="0"/>
              <w:left w:val="single" w:color="000000" w:sz="4" w:space="0"/>
              <w:bottom w:val="nil"/>
              <w:right w:val="single" w:color="000000" w:sz="4" w:space="0"/>
            </w:tcBorders>
            <w:shd w:val="clear" w:color="auto" w:fill="auto"/>
            <w:noWrap/>
            <w:vAlign w:val="center"/>
          </w:tcPr>
          <w:p w14:paraId="0142D4F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药品名称</w:t>
            </w:r>
          </w:p>
        </w:tc>
        <w:tc>
          <w:tcPr>
            <w:tcW w:w="377" w:type="pct"/>
            <w:tcBorders>
              <w:top w:val="single" w:color="000000" w:sz="4" w:space="0"/>
              <w:left w:val="single" w:color="000000" w:sz="4" w:space="0"/>
              <w:bottom w:val="nil"/>
              <w:right w:val="single" w:color="000000" w:sz="4" w:space="0"/>
            </w:tcBorders>
            <w:shd w:val="clear" w:color="auto" w:fill="auto"/>
            <w:noWrap/>
            <w:vAlign w:val="center"/>
          </w:tcPr>
          <w:p w14:paraId="1046D51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规格</w:t>
            </w:r>
          </w:p>
        </w:tc>
        <w:tc>
          <w:tcPr>
            <w:tcW w:w="327" w:type="pct"/>
            <w:tcBorders>
              <w:top w:val="single" w:color="000000" w:sz="4" w:space="0"/>
              <w:left w:val="single" w:color="000000" w:sz="4" w:space="0"/>
              <w:bottom w:val="nil"/>
              <w:right w:val="single" w:color="000000" w:sz="4" w:space="0"/>
            </w:tcBorders>
            <w:shd w:val="clear" w:color="auto" w:fill="auto"/>
            <w:noWrap/>
            <w:vAlign w:val="center"/>
          </w:tcPr>
          <w:p w14:paraId="5D9BBC2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单位</w:t>
            </w:r>
          </w:p>
        </w:tc>
        <w:tc>
          <w:tcPr>
            <w:tcW w:w="383" w:type="pct"/>
            <w:tcBorders>
              <w:top w:val="single" w:color="000000" w:sz="4" w:space="0"/>
              <w:left w:val="single" w:color="000000" w:sz="4" w:space="0"/>
              <w:bottom w:val="nil"/>
              <w:right w:val="single" w:color="000000" w:sz="4" w:space="0"/>
            </w:tcBorders>
            <w:shd w:val="clear" w:color="auto" w:fill="auto"/>
            <w:noWrap/>
            <w:vAlign w:val="center"/>
          </w:tcPr>
          <w:p w14:paraId="5608C5D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预估数量</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9E5B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执行标准</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F23BC">
            <w:pPr>
              <w:jc w:val="center"/>
              <w:rPr>
                <w:rFonts w:hint="eastAsia" w:ascii="仿宋" w:hAnsi="仿宋" w:eastAsia="仿宋" w:cs="仿宋"/>
                <w:i w:val="0"/>
                <w:iCs w:val="0"/>
                <w:color w:val="auto"/>
                <w:sz w:val="21"/>
                <w:szCs w:val="21"/>
                <w:u w:val="none"/>
                <w:lang w:val="en-US" w:eastAsia="zh-CN"/>
              </w:rPr>
            </w:pPr>
            <w:r>
              <w:rPr>
                <w:rFonts w:hint="eastAsia" w:ascii="仿宋" w:hAnsi="仿宋" w:eastAsia="仿宋" w:cs="仿宋"/>
                <w:i w:val="0"/>
                <w:iCs w:val="0"/>
                <w:color w:val="auto"/>
                <w:sz w:val="21"/>
                <w:szCs w:val="21"/>
                <w:u w:val="none"/>
                <w:lang w:val="en-US" w:eastAsia="zh-CN"/>
              </w:rPr>
              <w:t>技术要求</w:t>
            </w:r>
          </w:p>
        </w:tc>
      </w:tr>
      <w:tr w14:paraId="63CC5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02060">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B1CC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北柴胡</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03C9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543B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F84A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1480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60AA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4B34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厚片，直径0.3～0.8cm，外皮极薄，木部占多大部分，有多个环纹，气微香，杂质≤3%。</w:t>
            </w:r>
          </w:p>
        </w:tc>
      </w:tr>
      <w:tr w14:paraId="542AA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C580E">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5EA8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红曲</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56F5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3g/袋</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437D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袋</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ED91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35200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6D7E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F68B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按照省级炮制规范或中药饮片标准执行</w:t>
            </w:r>
          </w:p>
        </w:tc>
      </w:tr>
      <w:tr w14:paraId="379E3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D00B3">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A443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姜半夏</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7956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BD19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9DDD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953</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BB5E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BC9F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薄片，直径≥0.8cm，无杂质，表面棕色至棕褐色，质硬脆，断面淡黄棕色，常具角质样光泽。气微香，味淡、微有麻舌感，嚼之略粘牙。</w:t>
            </w:r>
          </w:p>
        </w:tc>
      </w:tr>
      <w:tr w14:paraId="6DB12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223E6">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FA61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黄芩</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FE8FA">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B026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432C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825</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F725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F87E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薄片，直径≥10cm，切面黄棕色或黄绿色，无绿色片。</w:t>
            </w:r>
          </w:p>
        </w:tc>
      </w:tr>
      <w:tr w14:paraId="7746B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0D23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C61E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炒栀子</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246F0">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4E7C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41A7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530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D184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7FE0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不规则碎末，表面棕褐色，气微，味微酸而苦。</w:t>
            </w:r>
          </w:p>
        </w:tc>
      </w:tr>
      <w:tr w14:paraId="4D925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8406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A167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西洋参片</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6CDEA">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248D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3750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45</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2651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1E90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薄片，直径≥1.2cm，外表皮浅黄褐色，皮部有黄棕色点状树脂道，气微而特异，味微苦、甘。</w:t>
            </w:r>
          </w:p>
        </w:tc>
      </w:tr>
      <w:tr w14:paraId="68245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BB56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05CE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阿胶</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4814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250g/盒</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0907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6225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15</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E08B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DACA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按《中华人民共和国药典》2025版一部执行。</w:t>
            </w:r>
          </w:p>
        </w:tc>
      </w:tr>
      <w:tr w14:paraId="243B6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4845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0D31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麸炒苍术</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9B03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52DB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07F3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475</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ABFF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51A7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厚片，表面深黄色，断面朱砂点明显，有焦香气，直径≥1cm。</w:t>
            </w:r>
          </w:p>
        </w:tc>
      </w:tr>
      <w:tr w14:paraId="417B4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36A6D">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9</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1D6A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炒柏子仁</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B328C">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E20B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078B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190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0CE6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C8C7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呈长卵形或长椭圆形，长0.4～0.7cm，直径0.15～0.3cm，表面油黄色，偶见焦斑，外包膜质内种皮，顶端略尖，有深褐色小点，基部钝圆，质软，富油性，具焦香气，味淡。</w:t>
            </w:r>
          </w:p>
        </w:tc>
      </w:tr>
      <w:tr w14:paraId="35F22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66961">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10</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C922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醋没药</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8A301">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2A62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91D1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78</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0012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A171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表面黄棕色或红棕色，近半透明，部分呈棕黑色，质坚脆，破碎面不整齐，无光泽，有特异香气，略有醋香气。</w:t>
            </w:r>
          </w:p>
        </w:tc>
      </w:tr>
      <w:tr w14:paraId="270BE8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6C7C1">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11</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8D48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醋鳖甲</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BB3E9">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14CD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0D02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104</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292A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FCEEE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不规则块状，无腐肉、无腹甲，淡黄色，易掰断。</w:t>
            </w:r>
          </w:p>
        </w:tc>
      </w:tr>
      <w:tr w14:paraId="0A3B3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3348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12</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5160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山慈菇</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2B51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3152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A318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2A85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C7BC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呈不规则扁球形或圆锥形，中部有2-3条微突起的环节。毛慈菇，质坚硬，难折断，断面灰白色或黄白色，略呈角质，气微，味淡，带黏性，直径≥1cm。</w:t>
            </w:r>
          </w:p>
        </w:tc>
      </w:tr>
      <w:tr w14:paraId="08098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653E7">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13</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0ED9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桑螵蛸</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6A5B4">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2235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5E2D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21</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94F8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1B7D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体轻，质松而韧，色黄褐至深棕色，气微腥，个完整，验收撕开无虫蛀，无增重。</w:t>
            </w:r>
          </w:p>
        </w:tc>
      </w:tr>
      <w:tr w14:paraId="1DB99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A559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14</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A1CE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茯神</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5F1F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10F2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A544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225</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2817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7661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不规则厚片，无外皮，每块中间带有朽状木心或有松根脱落残迹。</w:t>
            </w:r>
          </w:p>
        </w:tc>
      </w:tr>
      <w:tr w14:paraId="3953D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91007">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15</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C8A7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炒火麻仁</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1F5FA">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088A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DFB7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362</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8C8D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D96A3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富油性，有香气，无虫蛀，无走油。</w:t>
            </w:r>
          </w:p>
        </w:tc>
      </w:tr>
      <w:tr w14:paraId="24877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17D22">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16</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52DF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醋五灵脂</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F9682">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BFDA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6C95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24CF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4F4D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长椭圆形，长0.5～1.5cm，直径0.3～0.6cm，质松。</w:t>
            </w:r>
          </w:p>
        </w:tc>
      </w:tr>
      <w:tr w14:paraId="5CE0E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3FBE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17</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0FEB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蜜百部</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3B1C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A211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5388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180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127F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2E62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厚片，直径≥0.6cm，表面棕黄色，稍有黏性，味甜，炒至不粘手。</w:t>
            </w:r>
          </w:p>
        </w:tc>
      </w:tr>
      <w:tr w14:paraId="22ABA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B0CF7">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18</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D38F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茜草</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923D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22D9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3265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4F51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B0FF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段，表面红棕色或暗棕色，久嚼刺舌。直径≥0.3cm。</w:t>
            </w:r>
          </w:p>
        </w:tc>
      </w:tr>
      <w:tr w14:paraId="451F3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03CF8">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19</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3921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龙胆</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D39CE">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DBA9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E210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47</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0AFB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3592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长段，表面淡黄色至黄棕色，味甚苦。</w:t>
            </w:r>
          </w:p>
        </w:tc>
      </w:tr>
      <w:tr w14:paraId="2C1FB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4517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20</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1DC0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半夏曲</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F7294">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00CA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7B82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43</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DB11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CF60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按照省级炮制规范或中药饮片标准执行</w:t>
            </w:r>
          </w:p>
        </w:tc>
      </w:tr>
      <w:tr w14:paraId="6FF25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3F0A2">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21</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E252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盐知母</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EC7F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ACFA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7C8F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319</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5C28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E1FF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本品呈不规则类圆形的厚片。色黄或微带焦斑。味微咸。可见少量残存的黄棕色叶基纤维和凹陷或突起的点状根痕。直径≥1cm。</w:t>
            </w:r>
          </w:p>
        </w:tc>
      </w:tr>
      <w:tr w14:paraId="51051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E4CF6">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22</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18A4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覆盆子</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070B1">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3ED2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EC59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D88D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9C43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聚合果，直径≥0.8cm，体轻、质硬，表面黄绿或淡棕色，背面密被灰白色绒毛，顶端钝圆。</w:t>
            </w:r>
          </w:p>
        </w:tc>
      </w:tr>
      <w:tr w14:paraId="7C4B1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5F0CA">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23</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C9AA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酒苁蓉</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66B6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C6A4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24E2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110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0827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D07E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厚片，表面黑棕色，直径≥2cm，质柔韧，略有酒香气，味甜，微苦。</w:t>
            </w:r>
          </w:p>
        </w:tc>
      </w:tr>
      <w:tr w14:paraId="66C88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7E5A9">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24</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0DB2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烫骨碎补</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A3340">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E399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A4E2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95</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CA3F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1A71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扁平长条状，表面黄棕色至深棕色，体膨大鼓起，质轻、酥松，鼓起无残毛，无残留叶柄。</w:t>
            </w:r>
          </w:p>
        </w:tc>
      </w:tr>
      <w:tr w14:paraId="250E7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D3A03">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25</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E384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降香</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B79F1">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EB65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7518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25</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23A6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DECB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表面紫红色或红褐色，无黄色边材，质硬，有油性，气微香。</w:t>
            </w:r>
          </w:p>
        </w:tc>
      </w:tr>
      <w:tr w14:paraId="4A477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3241A">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26</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DFDE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丝瓜络</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8283C">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076F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F0D4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51.5</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95E9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2F16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小段，体轻，质韧，有弹性，不能折断。气微，无霉变。</w:t>
            </w:r>
          </w:p>
        </w:tc>
      </w:tr>
      <w:tr w14:paraId="53007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10BE6">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27</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F146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蜜旋覆花</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FA688">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1207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BA80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123</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C098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3306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深黄色，体轻易散碎，气微。</w:t>
            </w:r>
          </w:p>
        </w:tc>
      </w:tr>
      <w:tr w14:paraId="1AC95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53997">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28</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5B6F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淡豆豉</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0A510">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2ED0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5418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68</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8AFF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2906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呈椭圆形，略扁，表面黑色，皱缩不平。质稍柔软或脆，断面棕黑色。气香，味微甘。</w:t>
            </w:r>
          </w:p>
        </w:tc>
      </w:tr>
      <w:tr w14:paraId="53EC9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D1A1B">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29</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AFBC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醋乳香</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2CDC4">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2763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89C2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72</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ED2E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90AE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黄白色，半透明，质脆，遇热软化，破碎面有玻璃样或蜡样光泽,具特异香气，略有醋香气，味微苦。</w:t>
            </w:r>
          </w:p>
        </w:tc>
      </w:tr>
      <w:tr w14:paraId="2BD1D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7FD5E">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30</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FED8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乌梅</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86C98">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615B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DBFA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86</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01B6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14A6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类球形或扁球形，直径1.5～3cm表面灰黑色至乌黑色，皱缩不平，质硬。气微，味极酸</w:t>
            </w:r>
          </w:p>
        </w:tc>
      </w:tr>
      <w:tr w14:paraId="5F6450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F3B18">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31</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5FF9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鲜竹沥</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DC56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100ml/瓶</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18A7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瓶</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DADB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2180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B00B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C1FA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按照省级炮制规范或中药饮片标准执行</w:t>
            </w:r>
          </w:p>
        </w:tc>
      </w:tr>
      <w:tr w14:paraId="5B2DB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ACFD1">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32</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356A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盐车前子</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6B067">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8455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34FB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147</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C0C2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30F2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呈椭圆形，略扁，表面黑褐色，味微咸。</w:t>
            </w:r>
          </w:p>
        </w:tc>
      </w:tr>
      <w:tr w14:paraId="67E4C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0F3AB">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33</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631A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锁阳</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06E14">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E688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97E8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3C14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4CA1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薄片，直径≥2cm，外表皮棕色或棕褐色，有明显的纵沟和不规则的凹陷，切面散在黄色三角状维管束，气微，味甘而涩。</w:t>
            </w:r>
          </w:p>
        </w:tc>
      </w:tr>
      <w:tr w14:paraId="3DE80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FF237">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34</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249D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墨旱莲</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FE3DA">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37FC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4E0C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70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953E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A42B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呈不规则的段。茎圆柱形，表面绿褐色或墨绿色，具纵棱，有白毛，切面中空或有白色髓，叶多皱缩或破碎，墨绿色，密生白毛，头状花序，气微，味微咸。</w:t>
            </w:r>
          </w:p>
        </w:tc>
      </w:tr>
      <w:tr w14:paraId="057B2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0E08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35</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DDCA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制白附子</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188A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0A1E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F478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28</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DF2C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B470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本品为类圆形或椭圆形厚片，外表皮淡棕色，切面黄色，角质。味淡，微有麻舌感，直径≥1.2cm。</w:t>
            </w:r>
          </w:p>
        </w:tc>
      </w:tr>
      <w:tr w14:paraId="61BED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0DF3D">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36</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CE94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蛇床子</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D15FE">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DB9D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D2DD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66E5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193A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椭圆形，双悬果，长约0.3cm，直径0.2cm，颗粒饱满，气味浓厚，味辛凉。</w:t>
            </w:r>
          </w:p>
        </w:tc>
      </w:tr>
      <w:tr w14:paraId="69E91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6E686">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37</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2F3C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珍珠透骨草</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6EC3E">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0C5F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0DD1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DF5F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FBDB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按照省级炮制规范或中药饮片标准执行</w:t>
            </w:r>
          </w:p>
        </w:tc>
      </w:tr>
      <w:tr w14:paraId="6337B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CE744">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38</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8CC2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制川乌</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5861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15FE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C9AE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33</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9298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BF4A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体轻，质坚实，黑褐色，断面有光泽，气微，微有麻舌感，直径≥1.5cm。</w:t>
            </w:r>
          </w:p>
        </w:tc>
      </w:tr>
      <w:tr w14:paraId="3BDBF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85373">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39</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1299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川木通</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041B2">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5024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CBD8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136</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18D0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2E66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厚片，外皮易脱落，边缘不整齐，有放射状纹理及裂隙，气微。</w:t>
            </w:r>
          </w:p>
        </w:tc>
      </w:tr>
      <w:tr w14:paraId="5734D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2621A">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40</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7E2D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烫狗脊</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42954">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0F90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526F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766A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79CB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厚片，质坚实，表面略鼓起，棕褐色，气微，除去残存绒毛。</w:t>
            </w:r>
          </w:p>
        </w:tc>
      </w:tr>
      <w:tr w14:paraId="3D2F7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3474A">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41</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29F3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穿山龙</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D43C4">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9360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229D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83A9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F920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本品呈圆形或椭圆形的厚片。外表皮黄白色或棕黄色，有时可见刺状残根。切面白色或黄白色，有淡棕色的点状维管束。气微。味苦涩。</w:t>
            </w:r>
          </w:p>
        </w:tc>
      </w:tr>
      <w:tr w14:paraId="51A98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4047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42</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B8AA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紫花地丁</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C9C8F">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4C9F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736B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04F4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155B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段，花茎纤细，蒴果椭圆形或3裂。气微，味微苦而稍黏。</w:t>
            </w:r>
          </w:p>
        </w:tc>
      </w:tr>
      <w:tr w14:paraId="3308E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29110">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43</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59F1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炒葶苈子</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A8BDB">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FCF4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BC6B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70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E898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75F5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呈扁卵形，微鼓起，表面棕黄色。有油香气，不带黏性。</w:t>
            </w:r>
          </w:p>
        </w:tc>
      </w:tr>
      <w:tr w14:paraId="76936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E2591">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44</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D7B7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益母草</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86D63">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4815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57C3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273</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E548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DEB7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段、茎方形，切面中部有白髓，必须带花。</w:t>
            </w:r>
          </w:p>
        </w:tc>
      </w:tr>
      <w:tr w14:paraId="68623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43460">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45</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41EE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翻白草</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DFCCC">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3C74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ADDB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1509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C2AB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不规则的段，叶上表面暗绿色或灰绿色，下表面密被白色绒毛，边缘有粗锯齿。气微，味甘、微涩。</w:t>
            </w:r>
          </w:p>
        </w:tc>
      </w:tr>
      <w:tr w14:paraId="373C4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60AB3">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46</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CE5C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海藻</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68857">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9369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1CA1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25</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FB7F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CC2C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段，气腥、味咸，色黑褐，表面白霜少。</w:t>
            </w:r>
          </w:p>
        </w:tc>
      </w:tr>
      <w:tr w14:paraId="7ADBA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702F1">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47</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247D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五倍子</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18E49">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C958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D8F9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12</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95D2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F66C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不规则碎片，表面微有柔毛，断面角质样，无霉变无虫屑，气特异。</w:t>
            </w:r>
          </w:p>
        </w:tc>
      </w:tr>
      <w:tr w14:paraId="60CCA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0FEC3">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48</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2FFE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地枫皮</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78F68">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DE1E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0C98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15</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0345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74F9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块片状，外表面灰棕色至深棕色，内表面棕色或棕红色，气微香。</w:t>
            </w:r>
          </w:p>
        </w:tc>
      </w:tr>
      <w:tr w14:paraId="6CC34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8D4A4">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49</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47B2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建曲</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6B054">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33B1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02BA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53</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F33E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35C0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按照省级炮制规范或中药饮片标准执行</w:t>
            </w:r>
          </w:p>
        </w:tc>
      </w:tr>
      <w:tr w14:paraId="1E170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AA67F">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50</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DDF5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炒黑芝麻</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BE9E5">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6B19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6A34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36</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27D2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CC9D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扁卵圆形，表面黑色，嚼之有香气，杂质≤2%。</w:t>
            </w:r>
          </w:p>
        </w:tc>
      </w:tr>
      <w:tr w14:paraId="641A2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C7570">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51</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6D06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龙血竭</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0A087">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5A22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408A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D36A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DBE4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按《中华人民共和国药典》2025版一部执行。</w:t>
            </w:r>
          </w:p>
        </w:tc>
      </w:tr>
      <w:tr w14:paraId="5CA9E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3333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52</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6EE5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盐小茴香</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F2860">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F7BC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9725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732A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7FF7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双悬果，表面微鼓起，深黄绿色，偶见焦斑，味微咸，无干瘪的种子等杂质，杂质≤2%。</w:t>
            </w:r>
          </w:p>
        </w:tc>
      </w:tr>
      <w:tr w14:paraId="722AB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9A9D6">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53</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84F4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桑枝</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281B9">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03E3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83B0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CC3B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7AA6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厚片，质嫩，外表皮灰黄色，切面皮部较薄，木部黄白色，射线放射状，髓部白色或黄白色。</w:t>
            </w:r>
          </w:p>
        </w:tc>
      </w:tr>
      <w:tr w14:paraId="2770F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2BDEB">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54</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FB38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青风藤</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07FB7">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7277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993D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39</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0859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DFC8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厚片，直径≥1cm，外表面绿褐色或棕褐色，切面灰黄色，木部有放射状纹理。</w:t>
            </w:r>
          </w:p>
        </w:tc>
      </w:tr>
      <w:tr w14:paraId="5167D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3778F">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55</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56D5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三七粉</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8750D">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79E5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17F1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F3FE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AD41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灰黄色粉末，气微，味苦回甜。</w:t>
            </w:r>
          </w:p>
        </w:tc>
      </w:tr>
      <w:tr w14:paraId="3CD3A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D0322">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56</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AA1B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瞿麦</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BC934">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4CE2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989C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35</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A4B6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741A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段，茎圆柱形，节明显，略膨大，切面中空，蒴果长筒形，与宿萼等长，表面淡绿色或黄绿色。</w:t>
            </w:r>
          </w:p>
        </w:tc>
      </w:tr>
      <w:tr w14:paraId="2289B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D4381">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57</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826A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蒲黄</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E1C11">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C8F7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21BE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16</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8D21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BFB2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纯花粉，黄色粉末，体轻，放水中则飘浮水面，手捻有滑腻感。</w:t>
            </w:r>
          </w:p>
        </w:tc>
      </w:tr>
      <w:tr w14:paraId="49BA1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767ED">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58</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6DF4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金银花炭</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E59D0">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64A9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49AF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4221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EF46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按照省级炮制规范或中药饮片标准执行</w:t>
            </w:r>
          </w:p>
        </w:tc>
      </w:tr>
      <w:tr w14:paraId="3FD53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4991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59</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FFC7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煅赭石</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BE682">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0287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FED4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180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BC8D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61D0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不规则的碎块，暗棕红色，略有醋酸气。</w:t>
            </w:r>
          </w:p>
        </w:tc>
      </w:tr>
      <w:tr w14:paraId="4CE3B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51924">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60</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C9AE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白头翁</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CECB6">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391F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2B5C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36B0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A1AA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外表皮黄棕色或棕褐色，直径≥0.5cm，皮部环状裂隙、木部蛛网状纹理，近根头部有白色绒毛，切面多有裂隙。</w:t>
            </w:r>
          </w:p>
        </w:tc>
      </w:tr>
      <w:tr w14:paraId="60D2A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DBAA7">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61</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AD20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冬葵子</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1BC3B">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E732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9611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BAB8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CBAA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按照省级炮制规范或中药饮片标准执行</w:t>
            </w:r>
          </w:p>
        </w:tc>
      </w:tr>
      <w:tr w14:paraId="25BC78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B0A74">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62</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663C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片姜黄</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1CB91">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3194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3D93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5A40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E25B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厚片，外皮灰黄色，粗糙皱缩，有时可见环节及须根痕。切面黄白色至棕黄色，有一圈环纹及多数筋脉小点。略粉质。气香特异，味微苦而辛凉。</w:t>
            </w:r>
          </w:p>
        </w:tc>
      </w:tr>
      <w:tr w14:paraId="50126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DD210">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63</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39DC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青蒿</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42966">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9D04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864F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35</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BC7F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BBF4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短段，呈圆柱形，茎黄绿色或棕黄色，叶暗绿色或棕绿色,气香特异，味微苦。</w:t>
            </w:r>
          </w:p>
        </w:tc>
      </w:tr>
      <w:tr w14:paraId="2FE805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2BC3F">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64</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687B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炮姜</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9846A">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8F1C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4F08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14</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E899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4F06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呈不规则膨胀的块状，具指状分枝。表面棕黑色或棕褐色，质轻泡，气香、特异，味微辛辣，过孔径10mm筛。</w:t>
            </w:r>
          </w:p>
        </w:tc>
      </w:tr>
      <w:tr w14:paraId="02515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4FD99">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65</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3CEC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姜黄</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33D4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4A30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497B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15</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6EA2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4FEA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厚片，直径≥1.5cm，切面棕黄色或金黄色，角质样，气香特异。</w:t>
            </w:r>
          </w:p>
        </w:tc>
      </w:tr>
      <w:tr w14:paraId="66AAB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99D6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66</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E626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水红花子</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F2229">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A107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1053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17</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9221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7078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呈扁圆形，直径2～3.5mm，厚1～1.5mm。表面棕黑色或红棕色，有光泽，两面微凹，中部略有纵向隆起。顶端有突起的柱基，基部有浅棕色略突起的果梗痕，质硬。气微，味淡。</w:t>
            </w:r>
          </w:p>
        </w:tc>
      </w:tr>
      <w:tr w14:paraId="3556A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3A33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67</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2A0D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胡椒（白）</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04DE2">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844F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67B6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9D2C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5DA4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呈球形，表面灰白色或淡黄白色，平滑，顶端与基部间有多数浅色线状条纹。</w:t>
            </w:r>
          </w:p>
        </w:tc>
      </w:tr>
      <w:tr w14:paraId="7BA58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BC59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68</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BA8B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姜皮</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88D06">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AE69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F5F4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11</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CB25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2249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略有姜气，无霉变。</w:t>
            </w:r>
          </w:p>
        </w:tc>
      </w:tr>
      <w:tr w14:paraId="52625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9DC7B">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69</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D166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浮石</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E529B">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FA52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2F9A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5334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8131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按照省级炮制规范或中药饮片标准执行</w:t>
            </w:r>
          </w:p>
        </w:tc>
      </w:tr>
      <w:tr w14:paraId="0D50B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E9D3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70</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7B7F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半枝莲</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937BA">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AF2E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F841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9E4F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0B44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段，全草，茎四棱形，中空，表面紫绿色，果实扁球形。</w:t>
            </w:r>
          </w:p>
        </w:tc>
      </w:tr>
      <w:tr w14:paraId="6AE83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9B4F7">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71</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9F86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谷精草</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885D2">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E9E3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813A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6FCA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B049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淡黄绿色,有数条扭曲的棱线。质柔软。气微，味淡。</w:t>
            </w:r>
          </w:p>
        </w:tc>
      </w:tr>
      <w:tr w14:paraId="72872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28FF1">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72</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A7B4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紫石英</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C1669">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BD57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8E41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DEFB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536D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不规则碎块，紫色或绿色，半透明至透明，有玻璃样光泽，气微，味淡。</w:t>
            </w:r>
          </w:p>
        </w:tc>
      </w:tr>
      <w:tr w14:paraId="12DB8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9A8D0">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73</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C40C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娑罗子</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83B1A">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EDE7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D3B9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9E3C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3BD4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厚片，表面棕色或棕褐色，味先苦后甜。</w:t>
            </w:r>
          </w:p>
        </w:tc>
      </w:tr>
      <w:tr w14:paraId="4E00B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AE4F2">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74</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D1FE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漏芦</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BF776">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5934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2663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D42A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7FA4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厚片，体轻泡，断面裂隙较多，气特异，味苦。</w:t>
            </w:r>
          </w:p>
        </w:tc>
      </w:tr>
      <w:tr w14:paraId="4BB63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23D7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75</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A10F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枯矾</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AABCF">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D31E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540F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5A08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D608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不规则的块状，颗粒或粉末，白色或淡黄白色，体轻，质疏松而脆，手捻易碎，有颗粒感。气微，味微甘而极涩，遇水可溶。</w:t>
            </w:r>
          </w:p>
        </w:tc>
      </w:tr>
      <w:tr w14:paraId="77736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2224D">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76</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E74E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千年健</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1A0A0">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76B9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1B8E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A16D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0666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片，直径≥1cm，切面红褐色，具有众多黄色纤维束，有的呈针刺状，无虫孔，香气浓。</w:t>
            </w:r>
          </w:p>
        </w:tc>
      </w:tr>
      <w:tr w14:paraId="688DA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4D402">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77</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5D0B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马鞭草</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71921">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7162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B3C4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5A95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00CE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不规则的段，绿褐色，气微，味苦。</w:t>
            </w:r>
          </w:p>
        </w:tc>
      </w:tr>
      <w:tr w14:paraId="3034C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9EA41">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78</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E2FD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大皂角</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5E104">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79CE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87A5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829D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33D6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呈扁长的剑鞘状，有的略弯曲，表面棕褐色或紫褐色，被灰色粉霜。</w:t>
            </w:r>
          </w:p>
        </w:tc>
      </w:tr>
      <w:tr w14:paraId="10C76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2E6C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79</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3453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香薷</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F1365">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1465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AE6A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E8F6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9065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段，气清香而浓，味微辛而凉。</w:t>
            </w:r>
          </w:p>
        </w:tc>
      </w:tr>
      <w:tr w14:paraId="305C2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EB79E">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80</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F240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穿心莲</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C5294">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56D8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EC96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CC57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9D12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呈不规则的段。茎方柱形，节稍膨大。切面不平坦，具类白色髓。叶片多皱缩或破碎，先端渐尖，基部楔形下延；上表面绿色，下表面灰绿色。气微，味极苦。</w:t>
            </w:r>
          </w:p>
        </w:tc>
      </w:tr>
      <w:tr w14:paraId="45D99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68AC4">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81</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8046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大黄炭</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F6578">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8C54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D3B73">
            <w:pPr>
              <w:jc w:val="center"/>
              <w:rPr>
                <w:rFonts w:hint="eastAsia" w:ascii="仿宋" w:hAnsi="仿宋" w:eastAsia="仿宋" w:cs="仿宋"/>
                <w:i w:val="0"/>
                <w:iCs w:val="0"/>
                <w:color w:val="auto"/>
                <w:sz w:val="21"/>
                <w:szCs w:val="21"/>
                <w:u w:val="none"/>
                <w:lang w:val="en-US" w:eastAsia="zh-CN"/>
              </w:rPr>
            </w:pPr>
            <w:r>
              <w:rPr>
                <w:rFonts w:hint="eastAsia" w:ascii="仿宋" w:hAnsi="仿宋" w:eastAsia="仿宋" w:cs="仿宋"/>
                <w:i w:val="0"/>
                <w:iCs w:val="0"/>
                <w:color w:val="auto"/>
                <w:sz w:val="21"/>
                <w:szCs w:val="21"/>
                <w:u w:val="none"/>
                <w:lang w:val="en-US" w:eastAsia="zh-CN"/>
              </w:rPr>
              <w:t>2</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411F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AFD5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厚片，表面焦黑色，内部深棕色或焦褐色具焦香气，过孔径10mm筛。</w:t>
            </w:r>
          </w:p>
        </w:tc>
      </w:tr>
      <w:tr w14:paraId="7EDF1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E3E58">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82</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DFBB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蜂蜜</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2FABF">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0C38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45F3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175</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BCA8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BB4C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按《中华人民共和国药典》2025版一部执行。</w:t>
            </w:r>
          </w:p>
        </w:tc>
      </w:tr>
    </w:tbl>
    <w:p w14:paraId="1C887A03">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lang w:val="en-US" w:eastAsia="zh-CN"/>
        </w:rPr>
      </w:pPr>
      <w:r>
        <w:rPr>
          <w:rFonts w:hint="eastAsia" w:ascii="仿宋" w:hAnsi="仿宋" w:eastAsia="仿宋" w:cs="仿宋"/>
          <w:b/>
          <w:bCs/>
          <w:color w:val="auto"/>
          <w:sz w:val="28"/>
          <w:szCs w:val="28"/>
          <w:lang w:val="en-US" w:eastAsia="zh-CN"/>
        </w:rPr>
        <w:t>样品要求</w:t>
      </w:r>
    </w:p>
    <w:p w14:paraId="749FEA89">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outlineLvl w:val="9"/>
        <w:rPr>
          <w:rFonts w:hint="default"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样品名称：北柴胡、姜半夏、黄芩、麸炒苍术、西洋参片、炒柏子仁、茯神、炒火麻仁、盐知母、酒苁蓉</w:t>
      </w:r>
    </w:p>
    <w:p w14:paraId="2C60BF25">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（1）样品要求</w:t>
      </w:r>
      <w:r>
        <w:rPr>
          <w:rFonts w:hint="eastAsia" w:ascii="仿宋" w:hAnsi="仿宋" w:eastAsia="仿宋" w:cs="仿宋"/>
          <w:color w:val="auto"/>
          <w:sz w:val="24"/>
          <w:szCs w:val="24"/>
          <w:highlight w:val="none"/>
          <w:lang w:val="en-US" w:eastAsia="zh-CN"/>
        </w:rPr>
        <w:t>：以上饮片每种类别提供标签齐全的最小销售包装，所有样品密</w:t>
      </w:r>
      <w:r>
        <w:rPr>
          <w:rFonts w:hint="eastAsia" w:ascii="仿宋" w:hAnsi="仿宋" w:eastAsia="仿宋" w:cs="仿宋"/>
          <w:color w:val="auto"/>
          <w:sz w:val="24"/>
          <w:szCs w:val="24"/>
          <w:lang w:val="en-US" w:eastAsia="zh-CN"/>
        </w:rPr>
        <w:t>封在一个不透明箱子里。随样品提供检测报告。</w:t>
      </w:r>
    </w:p>
    <w:p w14:paraId="0A5A00A5">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w:t>
      </w:r>
      <w:r>
        <w:rPr>
          <w:rFonts w:hint="default" w:ascii="仿宋" w:hAnsi="仿宋" w:eastAsia="仿宋" w:cs="仿宋"/>
          <w:color w:val="auto"/>
          <w:sz w:val="24"/>
          <w:szCs w:val="24"/>
          <w:lang w:val="en-US" w:eastAsia="zh-CN"/>
        </w:rPr>
        <w:t>样品密封提交，包装外标注</w:t>
      </w:r>
      <w:r>
        <w:rPr>
          <w:rFonts w:hint="eastAsia" w:ascii="仿宋" w:hAnsi="仿宋" w:eastAsia="仿宋" w:cs="仿宋"/>
          <w:color w:val="auto"/>
          <w:sz w:val="24"/>
          <w:szCs w:val="24"/>
          <w:lang w:val="en-US" w:eastAsia="zh-CN"/>
        </w:rPr>
        <w:t>项目名称、包号、</w:t>
      </w:r>
      <w:r>
        <w:rPr>
          <w:rFonts w:hint="default" w:ascii="仿宋" w:hAnsi="仿宋" w:eastAsia="仿宋" w:cs="仿宋"/>
          <w:color w:val="auto"/>
          <w:sz w:val="24"/>
          <w:szCs w:val="24"/>
          <w:lang w:val="en-US" w:eastAsia="zh-CN"/>
        </w:rPr>
        <w:t>供应商名称。</w:t>
      </w:r>
    </w:p>
    <w:p w14:paraId="25DAB966">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w:t>
      </w:r>
      <w:r>
        <w:rPr>
          <w:rFonts w:hint="default" w:ascii="仿宋" w:hAnsi="仿宋" w:eastAsia="仿宋" w:cs="仿宋"/>
          <w:color w:val="auto"/>
          <w:sz w:val="24"/>
          <w:szCs w:val="24"/>
          <w:lang w:val="en-US" w:eastAsia="zh-CN"/>
        </w:rPr>
        <w:t>后期配送所供货品等必须和投标产品（样品）一致，不得更改。</w:t>
      </w:r>
    </w:p>
    <w:p w14:paraId="07FF216F">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w:t>
      </w:r>
      <w:r>
        <w:rPr>
          <w:rFonts w:hint="default" w:ascii="仿宋" w:hAnsi="仿宋" w:eastAsia="仿宋" w:cs="仿宋"/>
          <w:color w:val="auto"/>
          <w:sz w:val="24"/>
          <w:szCs w:val="24"/>
          <w:lang w:val="en-US" w:eastAsia="zh-CN"/>
        </w:rPr>
        <w:t>递交：样品开标当天递交，样品递交截至时间为投标文件递交截至时间</w:t>
      </w:r>
      <w:r>
        <w:rPr>
          <w:rFonts w:hint="eastAsia" w:ascii="仿宋" w:hAnsi="仿宋" w:eastAsia="仿宋" w:cs="仿宋"/>
          <w:color w:val="auto"/>
          <w:sz w:val="24"/>
          <w:szCs w:val="24"/>
          <w:lang w:val="en-US" w:eastAsia="zh-CN"/>
        </w:rPr>
        <w:t>。</w:t>
      </w:r>
    </w:p>
    <w:p w14:paraId="497F912B">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outlineLvl w:val="9"/>
        <w:rPr>
          <w:rFonts w:hint="default" w:ascii="仿宋" w:hAnsi="仿宋" w:eastAsia="仿宋" w:cs="仿宋"/>
          <w:color w:val="auto"/>
          <w:sz w:val="24"/>
          <w:szCs w:val="24"/>
          <w:lang w:val="en-US" w:eastAsia="zh-CN"/>
        </w:rPr>
      </w:pPr>
      <w:r>
        <w:rPr>
          <w:rFonts w:hint="eastAsia" w:ascii="仿宋" w:hAnsi="仿宋" w:eastAsia="仿宋" w:cs="仿宋"/>
          <w:b w:val="0"/>
          <w:bCs w:val="0"/>
          <w:color w:val="auto"/>
          <w:kern w:val="0"/>
          <w:sz w:val="24"/>
          <w:szCs w:val="24"/>
          <w:lang w:val="en-US" w:eastAsia="zh-CN" w:bidi="ar"/>
        </w:rPr>
        <w:t>（5）</w:t>
      </w:r>
      <w:r>
        <w:rPr>
          <w:rFonts w:hint="eastAsia" w:ascii="仿宋" w:hAnsi="仿宋" w:eastAsia="仿宋" w:cs="仿宋"/>
          <w:color w:val="auto"/>
          <w:sz w:val="24"/>
          <w:szCs w:val="24"/>
          <w:lang w:val="en-US" w:eastAsia="zh-CN"/>
        </w:rPr>
        <w:t>中标人的样品不退，由采购人留存；</w:t>
      </w:r>
      <w:r>
        <w:rPr>
          <w:rFonts w:hint="default" w:ascii="仿宋" w:hAnsi="仿宋" w:eastAsia="仿宋" w:cs="仿宋"/>
          <w:color w:val="auto"/>
          <w:sz w:val="24"/>
          <w:szCs w:val="24"/>
          <w:lang w:val="en-US" w:eastAsia="zh-CN"/>
        </w:rPr>
        <w:t>其余未中标人的样品，在中标公告发出后由代理机构通知7日内自行取回，过期未取视为由代理机构自行处理，后期不得有任何异议。</w:t>
      </w:r>
    </w:p>
    <w:p w14:paraId="54218031">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（6）递交地址：西安市公共资源交易中心（西安市未央区白桦林国际B座）一楼</w:t>
      </w:r>
    </w:p>
    <w:bookmarkEnd w:id="150"/>
    <w:bookmarkEnd w:id="151"/>
    <w:bookmarkEnd w:id="152"/>
    <w:p w14:paraId="6B33183E">
      <w:pPr>
        <w:rPr>
          <w:rFonts w:hint="eastAsia" w:ascii="仿宋" w:hAnsi="仿宋" w:eastAsia="仿宋" w:cs="仿宋"/>
          <w:color w:val="auto"/>
          <w:sz w:val="24"/>
          <w:szCs w:val="24"/>
          <w:lang w:val="en-US" w:eastAsia="zh-CN"/>
        </w:rPr>
      </w:pPr>
      <w:r>
        <w:rPr>
          <w:rFonts w:hint="eastAsia" w:ascii="仿宋" w:hAnsi="仿宋" w:eastAsia="仿宋" w:cs="仿宋"/>
          <w:b/>
          <w:bCs/>
          <w:color w:val="auto"/>
          <w:sz w:val="28"/>
          <w:szCs w:val="28"/>
          <w:lang w:val="en-US" w:eastAsia="zh-CN"/>
        </w:rPr>
        <w:t>2.商务要求</w:t>
      </w:r>
    </w:p>
    <w:p w14:paraId="65D09C43">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w:t>
      </w:r>
      <w:r>
        <w:rPr>
          <w:rFonts w:hint="default" w:ascii="仿宋" w:hAnsi="仿宋" w:eastAsia="仿宋" w:cs="仿宋"/>
          <w:color w:val="auto"/>
          <w:sz w:val="24"/>
          <w:szCs w:val="24"/>
          <w:lang w:val="en-US" w:eastAsia="zh-CN"/>
        </w:rPr>
        <w:t>交货时间：在采购人发出采购计划后，</w:t>
      </w:r>
      <w:r>
        <w:rPr>
          <w:rFonts w:hint="eastAsia" w:ascii="仿宋" w:hAnsi="仿宋" w:eastAsia="仿宋" w:cs="仿宋"/>
          <w:color w:val="auto"/>
          <w:sz w:val="24"/>
          <w:szCs w:val="24"/>
          <w:lang w:val="en-US" w:eastAsia="zh-CN"/>
        </w:rPr>
        <w:t>3个工作日内</w:t>
      </w:r>
      <w:r>
        <w:rPr>
          <w:rFonts w:hint="default" w:ascii="仿宋" w:hAnsi="仿宋" w:eastAsia="仿宋" w:cs="仿宋"/>
          <w:color w:val="auto"/>
          <w:sz w:val="24"/>
          <w:szCs w:val="24"/>
          <w:lang w:val="en-US" w:eastAsia="zh-CN"/>
        </w:rPr>
        <w:t>，配送至交货地点。</w:t>
      </w:r>
    </w:p>
    <w:p w14:paraId="3256ACA5">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w:t>
      </w:r>
      <w:r>
        <w:rPr>
          <w:rFonts w:hint="default" w:ascii="仿宋" w:hAnsi="仿宋" w:eastAsia="仿宋" w:cs="仿宋"/>
          <w:color w:val="auto"/>
          <w:sz w:val="24"/>
          <w:szCs w:val="24"/>
          <w:lang w:val="en-US" w:eastAsia="zh-CN"/>
        </w:rPr>
        <w:t>服务</w:t>
      </w:r>
      <w:r>
        <w:rPr>
          <w:rFonts w:hint="eastAsia" w:ascii="仿宋" w:hAnsi="仿宋" w:eastAsia="仿宋" w:cs="仿宋"/>
          <w:color w:val="auto"/>
          <w:sz w:val="24"/>
          <w:szCs w:val="24"/>
          <w:lang w:val="en-US" w:eastAsia="zh-CN"/>
        </w:rPr>
        <w:t>期限</w:t>
      </w:r>
      <w:r>
        <w:rPr>
          <w:rFonts w:hint="default" w:ascii="仿宋" w:hAnsi="仿宋" w:eastAsia="仿宋" w:cs="仿宋"/>
          <w:color w:val="auto"/>
          <w:sz w:val="24"/>
          <w:szCs w:val="24"/>
          <w:lang w:val="en-US" w:eastAsia="zh-CN"/>
        </w:rPr>
        <w:t>：</w:t>
      </w:r>
      <w:r>
        <w:rPr>
          <w:rFonts w:hint="eastAsia" w:ascii="仿宋" w:hAnsi="仿宋" w:eastAsia="仿宋" w:cs="仿宋"/>
          <w:color w:val="auto"/>
          <w:sz w:val="24"/>
          <w:szCs w:val="24"/>
          <w:lang w:val="en-US" w:eastAsia="zh-CN"/>
        </w:rPr>
        <w:t>1</w:t>
      </w:r>
      <w:r>
        <w:rPr>
          <w:rFonts w:hint="default" w:ascii="仿宋" w:hAnsi="仿宋" w:eastAsia="仿宋" w:cs="仿宋"/>
          <w:color w:val="auto"/>
          <w:sz w:val="24"/>
          <w:szCs w:val="24"/>
          <w:lang w:val="en-US" w:eastAsia="zh-CN"/>
        </w:rPr>
        <w:t>年。</w:t>
      </w:r>
    </w:p>
    <w:p w14:paraId="106B1934">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w:t>
      </w:r>
      <w:r>
        <w:rPr>
          <w:rFonts w:hint="default" w:ascii="仿宋" w:hAnsi="仿宋" w:eastAsia="仿宋" w:cs="仿宋"/>
          <w:color w:val="auto"/>
          <w:sz w:val="24"/>
          <w:szCs w:val="24"/>
          <w:lang w:val="en-US" w:eastAsia="zh-CN"/>
        </w:rPr>
        <w:t>交货地点：采购人指定地点。</w:t>
      </w:r>
    </w:p>
    <w:p w14:paraId="49DB509C">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（4）结算方式：按月据实结算，乙方应按有关要求向甲方提交上一月已交易药品的发票等相关单据，以及合同规定的其他义务已经履行的证明。</w:t>
      </w:r>
    </w:p>
    <w:p w14:paraId="5782E47C">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甲方核对交易单据及明细无误后，达到付款条件之日起90日内向乙方付款。</w:t>
      </w:r>
    </w:p>
    <w:p w14:paraId="55736728">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lang w:val="en-US" w:eastAsia="zh-CN"/>
        </w:rPr>
      </w:pPr>
      <w:r>
        <w:rPr>
          <w:rFonts w:hint="eastAsia" w:ascii="仿宋" w:hAnsi="仿宋" w:eastAsia="仿宋" w:cs="仿宋"/>
          <w:b/>
          <w:bCs/>
          <w:color w:val="auto"/>
          <w:sz w:val="28"/>
          <w:szCs w:val="28"/>
          <w:lang w:val="en-US" w:eastAsia="zh-CN"/>
        </w:rPr>
        <w:t>3.质量要求</w:t>
      </w:r>
    </w:p>
    <w:p w14:paraId="0398D7E3">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(1)产品应符合《中国药典》2025年版或省级炮制规范及中药饮片标准。随货需提供加盖企业质量检验专用章的检验报告书、随货同行单等。鼓励投标人提供中药材全产业链质量追溯信息。</w:t>
      </w:r>
    </w:p>
    <w:p w14:paraId="6A8F731C">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仿宋" w:hAnsi="仿宋" w:eastAsia="仿宋" w:cs="仿宋"/>
          <w:color w:val="auto"/>
          <w:sz w:val="24"/>
          <w:szCs w:val="24"/>
          <w:lang w:val="en-US" w:eastAsia="zh-CN"/>
        </w:rPr>
        <w:t>(2)投标人应确保所投品种中药材基源（物种）清晰、准确，并在投标文件中提供相应的说明或证明(格式自拟)。</w:t>
      </w:r>
    </w:p>
    <w:p w14:paraId="7AC940A8">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仿宋" w:hAnsi="仿宋" w:eastAsia="仿宋" w:cs="仿宋"/>
          <w:color w:val="auto"/>
          <w:sz w:val="24"/>
          <w:szCs w:val="24"/>
          <w:lang w:val="en-US" w:eastAsia="zh-CN"/>
        </w:rPr>
        <w:t>(3)生产过程必须全面符合《药品生产质量管理规范》(GMP)要求。投标人应承诺其炮制工艺严格遵循法定标准，并对关键工艺参数进行监控和记录。</w:t>
      </w:r>
    </w:p>
    <w:p w14:paraId="1CA9FF7B">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饮片应无虫蛀、无霉变、无走油。①饮片性状(形状、大小、色泽、表面特征、气味等)，②饮片有效成分(含量、浸出物、硫化物、重金属及农药残留含量等)，③饮片的水分、总灰分、酸不溶性灰分检查项目应符合该品种《中国药典》现行版或省级炮制规范及中药饮片标准下的描述及规定。</w:t>
      </w:r>
    </w:p>
    <w:p w14:paraId="27B22337">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涉及《国家重点保护野生动物名录》或相关法律法规规定野生动物物种制成的中药饮片，其生产、炮制、包装和标识必须符合国家专门的管理规定。炮制后的毒性中药饮片须确保毒性成分含量精确控制在安全范围内。</w:t>
      </w:r>
    </w:p>
    <w:p w14:paraId="020D726C">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饮片包装须防止污染和破损，包装袋(箱)上须注明:品名、规格、产地、批号、生产日期、有效期、生产企业、质量合格标志等符合国家相关要求。标签内容应完整、规范，字迹清晰。对品名等重要信息应采用加粗字体或显著标识，确保在运输、存储及验收过程中易于识别。</w:t>
      </w:r>
    </w:p>
    <w:p w14:paraId="76F937D1">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★(7)投标人应承诺在运输和储存过程中提供符合药品质量要求的条件,有效防止污染、变质，并保证在交付时饮片质量仍符合标准。</w:t>
      </w:r>
    </w:p>
    <w:p w14:paraId="716B3649">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(8)投标人应具备所投产品的仓储能力。</w:t>
      </w:r>
    </w:p>
    <w:p w14:paraId="6602789A">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b/>
          <w:bCs/>
          <w:color w:val="auto"/>
          <w:sz w:val="28"/>
          <w:szCs w:val="28"/>
          <w:lang w:val="en-US" w:eastAsia="zh-CN"/>
        </w:rPr>
      </w:pPr>
      <w:r>
        <w:rPr>
          <w:rFonts w:hint="eastAsia" w:ascii="仿宋" w:hAnsi="仿宋" w:eastAsia="仿宋" w:cs="仿宋"/>
          <w:color w:val="auto"/>
          <w:sz w:val="24"/>
          <w:szCs w:val="24"/>
          <w:lang w:val="en-US" w:eastAsia="zh-CN"/>
        </w:rPr>
        <w:t>★（9）“序号7阿胶、20半夏曲、31鲜竹沥、51龙血竭”要求提供药品注册证书。</w:t>
      </w:r>
    </w:p>
    <w:p w14:paraId="607540B0">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4"/>
          <w:szCs w:val="24"/>
          <w:lang w:val="en-US" w:eastAsia="zh-CN"/>
        </w:rPr>
      </w:pPr>
      <w:r>
        <w:rPr>
          <w:rFonts w:hint="eastAsia" w:ascii="仿宋" w:hAnsi="仿宋" w:eastAsia="仿宋" w:cs="仿宋"/>
          <w:b/>
          <w:bCs/>
          <w:color w:val="auto"/>
          <w:sz w:val="28"/>
          <w:szCs w:val="28"/>
          <w:lang w:val="en-US" w:eastAsia="zh-CN"/>
        </w:rPr>
        <w:t>4.其他要求</w:t>
      </w:r>
    </w:p>
    <w:p w14:paraId="38A4D419">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（1）中标供应商应及时进行供应服务，不得随意更改中药饮片供应价格、等级及生产企业；不得以价格波动为由而对饮片进行“存而不供”，对于此类恶意断供行为，采购人有权终止合同</w:t>
      </w:r>
      <w:r>
        <w:rPr>
          <w:rFonts w:hint="default" w:ascii="仿宋" w:hAnsi="仿宋" w:eastAsia="仿宋" w:cs="仿宋"/>
          <w:color w:val="auto"/>
          <w:sz w:val="24"/>
          <w:szCs w:val="24"/>
          <w:lang w:val="en-US" w:eastAsia="zh-CN"/>
        </w:rPr>
        <w:t>。</w:t>
      </w:r>
    </w:p>
    <w:p w14:paraId="37986FAC">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w:t>
      </w:r>
      <w:r>
        <w:rPr>
          <w:rFonts w:hint="default" w:ascii="仿宋" w:hAnsi="仿宋" w:eastAsia="仿宋" w:cs="仿宋"/>
          <w:color w:val="auto"/>
          <w:sz w:val="24"/>
          <w:szCs w:val="24"/>
          <w:lang w:val="en-US" w:eastAsia="zh-CN"/>
        </w:rPr>
        <w:t>集中采购中药饮片纳入招标目录，若上级部门通知中药饮片集采开始，便不再在本次中标供应商处采购。</w:t>
      </w:r>
    </w:p>
    <w:p w14:paraId="751841E2">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（2.1）</w:t>
      </w:r>
      <w:r>
        <w:rPr>
          <w:rFonts w:hint="default" w:ascii="仿宋" w:hAnsi="仿宋" w:eastAsia="仿宋" w:cs="仿宋"/>
          <w:color w:val="auto"/>
          <w:sz w:val="24"/>
          <w:szCs w:val="24"/>
          <w:lang w:val="en-US" w:eastAsia="zh-CN"/>
        </w:rPr>
        <w:t>后续如有饮品被列入集采目录进行集采，本项目后续将不在采购后续被列入集采的饮片。</w:t>
      </w:r>
    </w:p>
    <w:p w14:paraId="68893A82">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（2.2）</w:t>
      </w:r>
      <w:r>
        <w:rPr>
          <w:rFonts w:hint="default" w:ascii="仿宋" w:hAnsi="仿宋" w:eastAsia="仿宋" w:cs="仿宋"/>
          <w:color w:val="auto"/>
          <w:sz w:val="24"/>
          <w:szCs w:val="24"/>
          <w:lang w:val="en-US" w:eastAsia="zh-CN"/>
        </w:rPr>
        <w:t>配送过程中，采购包1、2、3、4在配送过程中任意一方出现缺货、质量不符合要求的情况下，不能及时配送等因素的情况下，采购人应急采购可以首选在另一采购包中标供应商处进行采购，都因缺货导致无法配送的，为避免影响临床患者用药，采购单位采取应急采购措施，优先在上年度配送供应商处采购。</w:t>
      </w:r>
    </w:p>
    <w:bookmarkEnd w:id="153"/>
    <w:bookmarkEnd w:id="154"/>
    <w:bookmarkEnd w:id="155"/>
    <w:p w14:paraId="33F86B4F">
      <w:pPr>
        <w:rPr>
          <w:rFonts w:hint="eastAsia" w:ascii="仿宋" w:hAnsi="仿宋" w:eastAsia="仿宋" w:cs="仿宋"/>
          <w:color w:val="auto"/>
          <w:kern w:val="0"/>
          <w:sz w:val="44"/>
          <w:szCs w:val="44"/>
          <w:highlight w:val="none"/>
          <w:lang w:val="en-US" w:eastAsia="zh-CN" w:bidi="ar-SA"/>
        </w:rPr>
      </w:pPr>
      <w:bookmarkStart w:id="157" w:name="_Toc6227"/>
      <w:r>
        <w:rPr>
          <w:rFonts w:hint="eastAsia" w:ascii="仿宋" w:hAnsi="仿宋" w:eastAsia="仿宋" w:cs="仿宋"/>
          <w:color w:val="auto"/>
          <w:kern w:val="0"/>
          <w:sz w:val="44"/>
          <w:szCs w:val="44"/>
          <w:highlight w:val="none"/>
          <w:lang w:val="en-US" w:eastAsia="zh-CN" w:bidi="ar-SA"/>
        </w:rPr>
        <w:br w:type="page"/>
      </w:r>
    </w:p>
    <w:p w14:paraId="598DBC7D">
      <w:pPr>
        <w:pStyle w:val="15"/>
        <w:jc w:val="center"/>
        <w:outlineLvl w:val="0"/>
        <w:rPr>
          <w:rFonts w:hint="eastAsia" w:ascii="仿宋" w:hAnsi="仿宋" w:eastAsia="仿宋" w:cs="仿宋"/>
          <w:color w:val="auto"/>
          <w:kern w:val="0"/>
          <w:sz w:val="44"/>
          <w:szCs w:val="44"/>
          <w:highlight w:val="none"/>
          <w:lang w:val="en-US" w:eastAsia="zh-CN" w:bidi="ar-SA"/>
        </w:rPr>
      </w:pPr>
      <w:r>
        <w:rPr>
          <w:rFonts w:hint="eastAsia" w:ascii="仿宋" w:hAnsi="仿宋" w:eastAsia="仿宋" w:cs="仿宋"/>
          <w:color w:val="auto"/>
          <w:kern w:val="0"/>
          <w:sz w:val="44"/>
          <w:szCs w:val="44"/>
          <w:highlight w:val="none"/>
          <w:lang w:val="en-US" w:eastAsia="zh-CN" w:bidi="ar-SA"/>
        </w:rPr>
        <w:t>第五章  评标办法</w:t>
      </w:r>
      <w:bookmarkEnd w:id="157"/>
    </w:p>
    <w:p w14:paraId="6094A614">
      <w:pPr>
        <w:keepNext w:val="0"/>
        <w:keepLines w:val="0"/>
        <w:pageBreakBefore w:val="0"/>
        <w:kinsoku/>
        <w:wordWrap/>
        <w:overflowPunct/>
        <w:topLinePunct w:val="0"/>
        <w:autoSpaceDE/>
        <w:autoSpaceDN/>
        <w:bidi w:val="0"/>
        <w:adjustRightInd/>
        <w:snapToGrid/>
        <w:spacing w:line="360" w:lineRule="auto"/>
        <w:jc w:val="left"/>
        <w:textAlignment w:val="auto"/>
        <w:outlineLvl w:val="1"/>
        <w:rPr>
          <w:rFonts w:hint="eastAsia" w:ascii="仿宋" w:hAnsi="仿宋" w:eastAsia="仿宋" w:cs="仿宋"/>
          <w:b/>
          <w:color w:val="auto"/>
          <w:sz w:val="24"/>
          <w:szCs w:val="24"/>
          <w:highlight w:val="none"/>
        </w:rPr>
      </w:pPr>
      <w:bookmarkStart w:id="158" w:name="_Toc29838"/>
      <w:bookmarkStart w:id="159" w:name="_Toc11432"/>
      <w:bookmarkStart w:id="160" w:name="_Toc2345"/>
      <w:bookmarkStart w:id="161" w:name="_Toc9943"/>
      <w:bookmarkStart w:id="162" w:name="_Toc22729"/>
      <w:bookmarkStart w:id="163" w:name="_Toc19466"/>
      <w:r>
        <w:rPr>
          <w:rFonts w:hint="eastAsia" w:ascii="仿宋" w:hAnsi="仿宋" w:eastAsia="仿宋" w:cs="仿宋"/>
          <w:b/>
          <w:color w:val="auto"/>
          <w:sz w:val="24"/>
          <w:szCs w:val="24"/>
          <w:highlight w:val="none"/>
          <w:lang w:eastAsia="zh-CN"/>
        </w:rPr>
        <w:t>（一）</w:t>
      </w:r>
      <w:r>
        <w:rPr>
          <w:rFonts w:hint="eastAsia" w:ascii="仿宋" w:hAnsi="仿宋" w:eastAsia="仿宋" w:cs="仿宋"/>
          <w:b/>
          <w:color w:val="auto"/>
          <w:sz w:val="24"/>
          <w:szCs w:val="24"/>
          <w:highlight w:val="none"/>
        </w:rPr>
        <w:t>总则</w:t>
      </w:r>
      <w:bookmarkEnd w:id="158"/>
      <w:bookmarkEnd w:id="159"/>
      <w:bookmarkEnd w:id="160"/>
      <w:bookmarkEnd w:id="161"/>
      <w:bookmarkEnd w:id="162"/>
      <w:bookmarkEnd w:id="163"/>
    </w:p>
    <w:p w14:paraId="339E875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根据《中华人民共和国政府采购法》和《政府采购货物和服务招标投标管理办法》（财政部第87号令）等法律规章，结合采购项目特点制定本评标办法。</w:t>
      </w:r>
    </w:p>
    <w:p w14:paraId="1D2E19F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bCs/>
          <w:color w:val="auto"/>
          <w:sz w:val="24"/>
          <w:szCs w:val="24"/>
          <w:highlight w:val="none"/>
        </w:rPr>
        <w:t>评标工作由采购代理机构负责组织，具体评标事务由依法组建的评标委员会负责。</w:t>
      </w:r>
    </w:p>
    <w:p w14:paraId="1C8B659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评标工作应遵循公平、公正、科学及择优的原则，并以相同的评标程序和标准对待所有的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p>
    <w:p w14:paraId="33F8346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评标委员会按照招标文件规定的评标</w:t>
      </w:r>
      <w:r>
        <w:rPr>
          <w:rFonts w:hint="eastAsia" w:ascii="仿宋" w:hAnsi="仿宋" w:eastAsia="仿宋" w:cs="仿宋"/>
          <w:color w:val="auto"/>
          <w:sz w:val="24"/>
          <w:szCs w:val="24"/>
          <w:highlight w:val="none"/>
          <w:lang w:eastAsia="zh-CN"/>
        </w:rPr>
        <w:t>办法</w:t>
      </w:r>
      <w:r>
        <w:rPr>
          <w:rFonts w:hint="eastAsia" w:ascii="仿宋" w:hAnsi="仿宋" w:eastAsia="仿宋" w:cs="仿宋"/>
          <w:color w:val="auto"/>
          <w:sz w:val="24"/>
          <w:szCs w:val="24"/>
          <w:highlight w:val="none"/>
        </w:rPr>
        <w:t>和标准进行评标，并独立履行下列职责：</w:t>
      </w:r>
    </w:p>
    <w:p w14:paraId="569E911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4.1</w:t>
      </w:r>
      <w:r>
        <w:rPr>
          <w:rFonts w:hint="eastAsia" w:ascii="仿宋" w:hAnsi="仿宋" w:eastAsia="仿宋" w:cs="仿宋"/>
          <w:color w:val="auto"/>
          <w:sz w:val="24"/>
          <w:szCs w:val="24"/>
          <w:highlight w:val="none"/>
        </w:rPr>
        <w:t>审查投标文件是否符合招标文件要求，并作出评价；</w:t>
      </w:r>
    </w:p>
    <w:p w14:paraId="06BD5FC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4.2</w:t>
      </w:r>
      <w:r>
        <w:rPr>
          <w:rFonts w:hint="eastAsia" w:ascii="仿宋" w:hAnsi="仿宋" w:eastAsia="仿宋" w:cs="仿宋"/>
          <w:color w:val="auto"/>
          <w:sz w:val="24"/>
          <w:szCs w:val="24"/>
          <w:highlight w:val="none"/>
        </w:rPr>
        <w:t>要求</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对投标文件有关事项作出解释或者澄清；</w:t>
      </w:r>
    </w:p>
    <w:p w14:paraId="4809005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4.3</w:t>
      </w:r>
      <w:r>
        <w:rPr>
          <w:rFonts w:hint="eastAsia" w:ascii="仿宋" w:hAnsi="仿宋" w:eastAsia="仿宋" w:cs="仿宋"/>
          <w:color w:val="auto"/>
          <w:sz w:val="24"/>
          <w:szCs w:val="24"/>
          <w:highlight w:val="none"/>
        </w:rPr>
        <w:t>推荐中标候选</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名单，或者受采购人委托按照事先确定的办法直接确定中标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w:t>
      </w:r>
    </w:p>
    <w:p w14:paraId="4B41FDC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4.4</w:t>
      </w:r>
      <w:r>
        <w:rPr>
          <w:rFonts w:hint="eastAsia" w:ascii="仿宋" w:hAnsi="仿宋" w:eastAsia="仿宋" w:cs="仿宋"/>
          <w:color w:val="auto"/>
          <w:sz w:val="24"/>
          <w:szCs w:val="24"/>
          <w:highlight w:val="none"/>
        </w:rPr>
        <w:t>向采购单位或者有关部门报告非法干预评标工作的行为。</w:t>
      </w:r>
      <w:bookmarkStart w:id="164" w:name="_Toc217446098"/>
    </w:p>
    <w:p w14:paraId="7C95FC5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评标过程严格保密。</w:t>
      </w:r>
    </w:p>
    <w:p w14:paraId="628845D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评标委员会</w:t>
      </w:r>
      <w:r>
        <w:rPr>
          <w:rFonts w:hint="eastAsia" w:ascii="仿宋" w:hAnsi="仿宋" w:eastAsia="仿宋" w:cs="仿宋"/>
          <w:color w:val="auto"/>
          <w:sz w:val="24"/>
          <w:szCs w:val="24"/>
          <w:highlight w:val="none"/>
        </w:rPr>
        <w:t>决定投标文件的响应性依据投标文件本身的内容，而不寻求外部的证据。</w:t>
      </w:r>
    </w:p>
    <w:p w14:paraId="6FA1DC0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评标委员会</w:t>
      </w:r>
      <w:r>
        <w:rPr>
          <w:rFonts w:hint="eastAsia" w:ascii="仿宋" w:hAnsi="仿宋" w:eastAsia="仿宋" w:cs="仿宋"/>
          <w:color w:val="auto"/>
          <w:sz w:val="24"/>
          <w:szCs w:val="24"/>
          <w:highlight w:val="none"/>
        </w:rPr>
        <w:t>发现招标文件表述不明确或需要说明的事项，可提请采购单位书面解释说明。</w:t>
      </w:r>
    </w:p>
    <w:p w14:paraId="20896BC3">
      <w:pPr>
        <w:keepNext w:val="0"/>
        <w:keepLines w:val="0"/>
        <w:pageBreakBefore w:val="0"/>
        <w:kinsoku/>
        <w:wordWrap/>
        <w:overflowPunct/>
        <w:topLinePunct w:val="0"/>
        <w:autoSpaceDE/>
        <w:autoSpaceDN/>
        <w:bidi w:val="0"/>
        <w:adjustRightInd/>
        <w:snapToGrid/>
        <w:spacing w:line="360" w:lineRule="auto"/>
        <w:jc w:val="left"/>
        <w:textAlignment w:val="auto"/>
        <w:outlineLvl w:val="1"/>
        <w:rPr>
          <w:rFonts w:hint="eastAsia" w:ascii="仿宋" w:hAnsi="仿宋" w:eastAsia="仿宋" w:cs="仿宋"/>
          <w:color w:val="auto"/>
          <w:sz w:val="24"/>
          <w:szCs w:val="24"/>
          <w:highlight w:val="none"/>
        </w:rPr>
      </w:pPr>
      <w:bookmarkStart w:id="165" w:name="_Toc24392"/>
      <w:bookmarkStart w:id="166" w:name="_Toc4157"/>
      <w:bookmarkStart w:id="167" w:name="_Toc6808"/>
      <w:bookmarkStart w:id="168" w:name="_Toc19198"/>
      <w:bookmarkStart w:id="169" w:name="_Toc15152"/>
      <w:bookmarkStart w:id="170" w:name="_Toc5477"/>
      <w:r>
        <w:rPr>
          <w:rFonts w:hint="eastAsia" w:ascii="仿宋" w:hAnsi="仿宋" w:eastAsia="仿宋" w:cs="仿宋"/>
          <w:b/>
          <w:color w:val="auto"/>
          <w:sz w:val="24"/>
          <w:szCs w:val="24"/>
          <w:highlight w:val="none"/>
          <w:lang w:eastAsia="zh-CN"/>
        </w:rPr>
        <w:t>（二）</w:t>
      </w:r>
      <w:r>
        <w:rPr>
          <w:rFonts w:hint="eastAsia" w:ascii="仿宋" w:hAnsi="仿宋" w:eastAsia="仿宋" w:cs="仿宋"/>
          <w:b/>
          <w:color w:val="auto"/>
          <w:sz w:val="24"/>
          <w:szCs w:val="24"/>
          <w:highlight w:val="none"/>
        </w:rPr>
        <w:t>评标</w:t>
      </w:r>
      <w:r>
        <w:rPr>
          <w:rFonts w:hint="eastAsia" w:ascii="仿宋" w:hAnsi="仿宋" w:eastAsia="仿宋" w:cs="仿宋"/>
          <w:b/>
          <w:color w:val="auto"/>
          <w:sz w:val="24"/>
          <w:szCs w:val="24"/>
          <w:highlight w:val="none"/>
          <w:lang w:eastAsia="zh-CN"/>
        </w:rPr>
        <w:t>办</w:t>
      </w:r>
      <w:r>
        <w:rPr>
          <w:rFonts w:hint="eastAsia" w:ascii="仿宋" w:hAnsi="仿宋" w:eastAsia="仿宋" w:cs="仿宋"/>
          <w:b/>
          <w:color w:val="auto"/>
          <w:sz w:val="24"/>
          <w:szCs w:val="24"/>
          <w:highlight w:val="none"/>
        </w:rPr>
        <w:t>法</w:t>
      </w:r>
      <w:bookmarkEnd w:id="165"/>
      <w:bookmarkEnd w:id="166"/>
      <w:bookmarkEnd w:id="167"/>
      <w:bookmarkEnd w:id="168"/>
      <w:bookmarkEnd w:id="169"/>
      <w:bookmarkEnd w:id="170"/>
    </w:p>
    <w:p w14:paraId="37C63A0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本项目评标</w:t>
      </w:r>
      <w:r>
        <w:rPr>
          <w:rFonts w:hint="eastAsia" w:ascii="仿宋" w:hAnsi="仿宋" w:eastAsia="仿宋" w:cs="仿宋"/>
          <w:color w:val="auto"/>
          <w:sz w:val="24"/>
          <w:szCs w:val="24"/>
          <w:highlight w:val="none"/>
          <w:lang w:eastAsia="zh-CN"/>
        </w:rPr>
        <w:t>办法</w:t>
      </w:r>
      <w:r>
        <w:rPr>
          <w:rFonts w:hint="eastAsia" w:ascii="仿宋" w:hAnsi="仿宋" w:eastAsia="仿宋" w:cs="仿宋"/>
          <w:color w:val="auto"/>
          <w:sz w:val="24"/>
          <w:szCs w:val="24"/>
          <w:highlight w:val="none"/>
        </w:rPr>
        <w:t>为：综合评分法。</w:t>
      </w:r>
    </w:p>
    <w:p w14:paraId="0E800558">
      <w:pPr>
        <w:pStyle w:val="11"/>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评标结果按评审后得分由高到低顺序排列，若出现综合得分并列时，按照投标报价由低到高的顺序推荐；评审得分且投标报价相同的，按照技术指标优劣进行排序；若上述两项得分都相同，则由评标委员会无记名投票，以得票高者排序在先</w:t>
      </w:r>
      <w:r>
        <w:rPr>
          <w:rFonts w:hint="eastAsia" w:ascii="仿宋" w:hAnsi="仿宋" w:eastAsia="仿宋" w:cs="仿宋"/>
          <w:color w:val="auto"/>
          <w:sz w:val="24"/>
          <w:szCs w:val="24"/>
          <w:highlight w:val="none"/>
          <w:lang w:eastAsia="zh-CN"/>
        </w:rPr>
        <w:t>。</w:t>
      </w:r>
    </w:p>
    <w:p w14:paraId="256873C9">
      <w:pPr>
        <w:keepNext w:val="0"/>
        <w:keepLines w:val="0"/>
        <w:pageBreakBefore w:val="0"/>
        <w:kinsoku/>
        <w:wordWrap/>
        <w:overflowPunct/>
        <w:topLinePunct w:val="0"/>
        <w:autoSpaceDE/>
        <w:autoSpaceDN/>
        <w:bidi w:val="0"/>
        <w:adjustRightInd/>
        <w:snapToGrid/>
        <w:spacing w:line="360" w:lineRule="auto"/>
        <w:jc w:val="left"/>
        <w:textAlignment w:val="auto"/>
        <w:outlineLvl w:val="1"/>
        <w:rPr>
          <w:rFonts w:hint="eastAsia" w:ascii="仿宋" w:hAnsi="仿宋" w:eastAsia="仿宋" w:cs="仿宋"/>
          <w:b/>
          <w:color w:val="auto"/>
          <w:sz w:val="24"/>
          <w:szCs w:val="24"/>
          <w:highlight w:val="none"/>
        </w:rPr>
      </w:pPr>
      <w:bookmarkStart w:id="171" w:name="_Toc24297"/>
      <w:bookmarkStart w:id="172" w:name="_Toc30980"/>
      <w:bookmarkStart w:id="173" w:name="_Toc21796"/>
      <w:bookmarkStart w:id="174" w:name="_Toc15448"/>
      <w:bookmarkStart w:id="175" w:name="_Toc20287"/>
      <w:bookmarkStart w:id="176" w:name="_Toc12619"/>
      <w:r>
        <w:rPr>
          <w:rFonts w:hint="eastAsia" w:ascii="仿宋" w:hAnsi="仿宋" w:eastAsia="仿宋" w:cs="仿宋"/>
          <w:b/>
          <w:bCs/>
          <w:color w:val="auto"/>
          <w:sz w:val="24"/>
          <w:szCs w:val="24"/>
          <w:highlight w:val="none"/>
          <w:lang w:eastAsia="zh-CN"/>
        </w:rPr>
        <w:t>（三）</w:t>
      </w:r>
      <w:r>
        <w:rPr>
          <w:rFonts w:hint="eastAsia" w:ascii="仿宋" w:hAnsi="仿宋" w:eastAsia="仿宋" w:cs="仿宋"/>
          <w:b/>
          <w:color w:val="auto"/>
          <w:sz w:val="24"/>
          <w:szCs w:val="24"/>
          <w:highlight w:val="none"/>
        </w:rPr>
        <w:t>评标程序</w:t>
      </w:r>
      <w:bookmarkEnd w:id="164"/>
      <w:bookmarkEnd w:id="171"/>
      <w:bookmarkEnd w:id="172"/>
      <w:bookmarkEnd w:id="173"/>
      <w:bookmarkEnd w:id="174"/>
      <w:bookmarkEnd w:id="175"/>
      <w:bookmarkEnd w:id="176"/>
    </w:p>
    <w:p w14:paraId="6C2A50CD">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投标文件初审。初审分为资格</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和符合性</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w:t>
      </w:r>
    </w:p>
    <w:p w14:paraId="4757B34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color w:val="auto"/>
          <w:spacing w:val="4"/>
          <w:sz w:val="24"/>
          <w:szCs w:val="24"/>
          <w:highlight w:val="none"/>
        </w:rPr>
      </w:pPr>
      <w:r>
        <w:rPr>
          <w:rFonts w:hint="eastAsia" w:ascii="仿宋" w:hAnsi="仿宋" w:eastAsia="仿宋" w:cs="仿宋"/>
          <w:color w:val="auto"/>
          <w:sz w:val="24"/>
          <w:szCs w:val="24"/>
          <w:highlight w:val="none"/>
        </w:rPr>
        <w:t>1.1资格</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。依据法律法规和招标文件的规定，由采购人或采购代理机构对投标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的资格证明</w:t>
      </w:r>
      <w:r>
        <w:rPr>
          <w:rFonts w:hint="eastAsia" w:ascii="仿宋" w:hAnsi="仿宋" w:eastAsia="仿宋" w:cs="仿宋"/>
          <w:color w:val="auto"/>
          <w:sz w:val="24"/>
          <w:szCs w:val="24"/>
          <w:highlight w:val="none"/>
          <w:lang w:eastAsia="zh-CN"/>
        </w:rPr>
        <w:t>文件</w:t>
      </w:r>
      <w:r>
        <w:rPr>
          <w:rFonts w:hint="eastAsia" w:ascii="仿宋" w:hAnsi="仿宋" w:eastAsia="仿宋" w:cs="仿宋"/>
          <w:color w:val="auto"/>
          <w:sz w:val="24"/>
          <w:szCs w:val="24"/>
          <w:highlight w:val="none"/>
        </w:rPr>
        <w:t>进行审查，以确定</w:t>
      </w:r>
      <w:r>
        <w:rPr>
          <w:rFonts w:hint="eastAsia" w:ascii="仿宋" w:hAnsi="仿宋" w:eastAsia="仿宋" w:cs="仿宋"/>
          <w:color w:val="auto"/>
          <w:sz w:val="24"/>
          <w:szCs w:val="24"/>
          <w:highlight w:val="none"/>
          <w:lang w:eastAsia="zh-CN"/>
        </w:rPr>
        <w:t>是否满足招标文件的要求</w:t>
      </w:r>
      <w:r>
        <w:rPr>
          <w:rFonts w:hint="eastAsia" w:ascii="仿宋" w:hAnsi="仿宋" w:eastAsia="仿宋" w:cs="仿宋"/>
          <w:color w:val="auto"/>
          <w:sz w:val="24"/>
          <w:szCs w:val="24"/>
          <w:highlight w:val="none"/>
        </w:rPr>
        <w:t>。</w:t>
      </w:r>
      <w:r>
        <w:rPr>
          <w:rFonts w:hint="eastAsia" w:ascii="仿宋" w:hAnsi="仿宋" w:eastAsia="仿宋" w:cs="仿宋"/>
          <w:b/>
          <w:color w:val="auto"/>
          <w:spacing w:val="4"/>
          <w:sz w:val="24"/>
          <w:szCs w:val="24"/>
          <w:highlight w:val="none"/>
        </w:rPr>
        <w:t>审查内容详见附件1。</w:t>
      </w:r>
    </w:p>
    <w:p w14:paraId="3A6F7E7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1.2符合性</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。依据招标文件的规定，</w:t>
      </w:r>
      <w:r>
        <w:rPr>
          <w:rFonts w:hint="eastAsia" w:ascii="仿宋" w:hAnsi="仿宋" w:eastAsia="仿宋" w:cs="仿宋"/>
          <w:color w:val="auto"/>
          <w:sz w:val="24"/>
          <w:szCs w:val="24"/>
          <w:highlight w:val="none"/>
          <w:lang w:eastAsia="zh-CN"/>
        </w:rPr>
        <w:t>由评标委员会对投标文件进行审查，以确定是否满足招标文件的要求</w:t>
      </w:r>
      <w:r>
        <w:rPr>
          <w:rFonts w:hint="eastAsia" w:ascii="仿宋" w:hAnsi="仿宋" w:eastAsia="仿宋" w:cs="仿宋"/>
          <w:color w:val="auto"/>
          <w:sz w:val="24"/>
          <w:szCs w:val="24"/>
          <w:highlight w:val="none"/>
        </w:rPr>
        <w:t>。</w:t>
      </w:r>
      <w:r>
        <w:rPr>
          <w:rFonts w:hint="eastAsia" w:ascii="仿宋" w:hAnsi="仿宋" w:eastAsia="仿宋" w:cs="仿宋"/>
          <w:b/>
          <w:color w:val="auto"/>
          <w:spacing w:val="4"/>
          <w:sz w:val="24"/>
          <w:szCs w:val="24"/>
          <w:highlight w:val="none"/>
        </w:rPr>
        <w:t>审查内容详见附件1</w:t>
      </w:r>
      <w:r>
        <w:rPr>
          <w:rFonts w:hint="eastAsia" w:ascii="仿宋" w:hAnsi="仿宋" w:eastAsia="仿宋" w:cs="仿宋"/>
          <w:color w:val="auto"/>
          <w:sz w:val="24"/>
          <w:szCs w:val="24"/>
          <w:highlight w:val="none"/>
        </w:rPr>
        <w:t>。</w:t>
      </w:r>
    </w:p>
    <w:p w14:paraId="43486891">
      <w:pPr>
        <w:pStyle w:val="16"/>
        <w:keepNext w:val="0"/>
        <w:keepLines w:val="0"/>
        <w:pageBreakBefore w:val="0"/>
        <w:widowControl w:val="0"/>
        <w:tabs>
          <w:tab w:val="left" w:pos="600"/>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1.3在投标文件初审过程中，如果出现评标委员会成员意见不一致的情况，按照少数服从多数的原则确定，但不得违背政府采购基本原则和招标文件规定。</w:t>
      </w:r>
    </w:p>
    <w:p w14:paraId="7C03446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澄清有关问题。</w:t>
      </w:r>
      <w:bookmarkStart w:id="177" w:name="_Toc183682422"/>
      <w:bookmarkStart w:id="178" w:name="_Toc217446104"/>
      <w:bookmarkStart w:id="179" w:name="_Toc183582287"/>
    </w:p>
    <w:p w14:paraId="18C5315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2.1</w:t>
      </w:r>
      <w:r>
        <w:rPr>
          <w:rFonts w:hint="eastAsia" w:ascii="仿宋" w:hAnsi="仿宋" w:eastAsia="仿宋" w:cs="仿宋"/>
          <w:color w:val="auto"/>
          <w:sz w:val="24"/>
          <w:szCs w:val="24"/>
          <w:highlight w:val="none"/>
        </w:rPr>
        <w:t>对投标文件中含义不明确、同类问题表述不一致或者有明显文字和计算错误的内容，评标委员会可以书面形式（由评标委员会签字）要求投标人作出必要的澄清、说明或者纠正。投标人的澄清、说明或者纠正采用书面形式，由投标人代表签字，并不得超出投标文件的范围或者改变投标文件的实质性内容。澄清材料是投标文件的补充材料，也是投标文件的组成部分，评标委员会不接受投标人主动提出的澄清、说明。</w:t>
      </w:r>
    </w:p>
    <w:p w14:paraId="55A7E56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w:t>
      </w:r>
      <w:bookmarkEnd w:id="177"/>
      <w:bookmarkEnd w:id="178"/>
      <w:bookmarkEnd w:id="179"/>
      <w:r>
        <w:rPr>
          <w:rFonts w:hint="eastAsia" w:ascii="仿宋" w:hAnsi="仿宋" w:eastAsia="仿宋" w:cs="仿宋"/>
          <w:color w:val="auto"/>
          <w:sz w:val="24"/>
          <w:szCs w:val="24"/>
          <w:highlight w:val="none"/>
          <w:lang w:val="en-US" w:eastAsia="zh-CN"/>
        </w:rPr>
        <w:t>异常低价处理</w:t>
      </w:r>
    </w:p>
    <w:p w14:paraId="02E5094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（一）评审中出现下列情形之一的，评审委员会应当启动异常低价投标（响应）审查程序：</w:t>
      </w:r>
    </w:p>
    <w:p w14:paraId="4B04D53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54AE68C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51A0AE4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（3）投标（响应）报价低于采购项目最高限价45%的，即投标（响应）报价&lt;采购项目最高限价×45%；</w:t>
      </w:r>
    </w:p>
    <w:p w14:paraId="1ADC3B1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（4）评审委员会基于专业判断，认为供应商报价过低，有可能影响产品质量或者不能诚信履约的其他情形。</w:t>
      </w:r>
    </w:p>
    <w:p w14:paraId="23F0487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采购人可以结合具体项目实际情况，提高上述第1项至第3项中启动异常低价投标（响应）审查的数值标准，最高为65%。</w:t>
      </w:r>
    </w:p>
    <w:p w14:paraId="77E3983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相关法律法规对供应商报价有规定的，从其规定。</w:t>
      </w:r>
    </w:p>
    <w:p w14:paraId="4D48964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C9C2C4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比较与评价。按招标文件中规定的评标办法和标准，对资格审查和符合性审查合格的投标文件进行综合比较与评价。评标委员会各成员按照《评审因素量化赋分表》规定的内容，独立进行综合比较、评价打分。</w:t>
      </w:r>
    </w:p>
    <w:p w14:paraId="06A8668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汇总全体评委对每个投标人的赋分，计算出每个投标人的综合得分，得分从高到低顺序排列，推荐前3名为中标候选人。</w:t>
      </w:r>
    </w:p>
    <w:p w14:paraId="3DCA6BA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编写评标报告。</w:t>
      </w:r>
    </w:p>
    <w:p w14:paraId="2E8DBD5C">
      <w:pPr>
        <w:keepNext w:val="0"/>
        <w:keepLines w:val="0"/>
        <w:pageBreakBefore w:val="0"/>
        <w:kinsoku/>
        <w:wordWrap/>
        <w:overflowPunct/>
        <w:topLinePunct w:val="0"/>
        <w:autoSpaceDE/>
        <w:autoSpaceDN/>
        <w:bidi w:val="0"/>
        <w:adjustRightInd/>
        <w:snapToGrid/>
        <w:spacing w:line="360" w:lineRule="auto"/>
        <w:jc w:val="left"/>
        <w:textAlignment w:val="auto"/>
        <w:outlineLvl w:val="1"/>
        <w:rPr>
          <w:rFonts w:hint="eastAsia" w:ascii="仿宋" w:hAnsi="仿宋" w:eastAsia="仿宋" w:cs="仿宋"/>
          <w:b/>
          <w:color w:val="auto"/>
          <w:sz w:val="24"/>
          <w:szCs w:val="24"/>
          <w:highlight w:val="none"/>
        </w:rPr>
      </w:pPr>
      <w:bookmarkStart w:id="180" w:name="_Toc4894"/>
      <w:bookmarkStart w:id="181" w:name="_Toc18947"/>
      <w:bookmarkStart w:id="182" w:name="_Toc4473"/>
      <w:bookmarkStart w:id="183" w:name="_Toc27862"/>
      <w:r>
        <w:rPr>
          <w:rFonts w:hint="eastAsia" w:ascii="仿宋" w:hAnsi="仿宋" w:eastAsia="仿宋" w:cs="仿宋"/>
          <w:b/>
          <w:color w:val="auto"/>
          <w:sz w:val="24"/>
          <w:szCs w:val="24"/>
          <w:highlight w:val="none"/>
          <w:lang w:eastAsia="zh-CN"/>
        </w:rPr>
        <w:t>（四）</w:t>
      </w:r>
      <w:r>
        <w:rPr>
          <w:rFonts w:hint="eastAsia" w:ascii="仿宋" w:hAnsi="仿宋" w:eastAsia="仿宋" w:cs="仿宋"/>
          <w:b/>
          <w:color w:val="auto"/>
          <w:sz w:val="24"/>
          <w:szCs w:val="24"/>
          <w:highlight w:val="none"/>
        </w:rPr>
        <w:t>评标细则及标准</w:t>
      </w:r>
      <w:bookmarkEnd w:id="180"/>
      <w:bookmarkEnd w:id="181"/>
      <w:bookmarkEnd w:id="182"/>
      <w:bookmarkEnd w:id="183"/>
    </w:p>
    <w:p w14:paraId="6BFE80E3">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评标委员会只对通过初审的投标文件，根据招标文件的要求采用相同的评标程序、评分办法及标准进行评价和比较。</w:t>
      </w:r>
    </w:p>
    <w:p w14:paraId="3876BE60">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除价格因素外，评标委员会成员应依据招标文件规定的评分标准和方法对其他因素进行比较打分。</w:t>
      </w:r>
    </w:p>
    <w:p w14:paraId="38CE37E8">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实质上没有响应招标文件要求的投标将</w:t>
      </w:r>
      <w:r>
        <w:rPr>
          <w:rFonts w:hint="eastAsia" w:ascii="仿宋" w:hAnsi="仿宋" w:eastAsia="仿宋" w:cs="仿宋"/>
          <w:b/>
          <w:color w:val="auto"/>
          <w:sz w:val="24"/>
          <w:szCs w:val="24"/>
          <w:highlight w:val="none"/>
        </w:rPr>
        <w:t>按无效投标处理。如发现下列情况之一的，其投标将构成非实质性响应，按无效投标处理：</w:t>
      </w:r>
    </w:p>
    <w:p w14:paraId="09E7644D">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投标文件未按招标文件要求签署、盖章的；</w:t>
      </w:r>
    </w:p>
    <w:p w14:paraId="77AFC09B">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3.2</w:t>
      </w:r>
      <w:r>
        <w:rPr>
          <w:rFonts w:hint="eastAsia" w:ascii="仿宋" w:hAnsi="仿宋" w:eastAsia="仿宋" w:cs="仿宋"/>
          <w:color w:val="auto"/>
          <w:sz w:val="24"/>
          <w:szCs w:val="24"/>
          <w:highlight w:val="none"/>
        </w:rPr>
        <w:t>投标总报价超过招标文件公布的采购预算或者最高限价的；</w:t>
      </w:r>
    </w:p>
    <w:p w14:paraId="5AC95BD2">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3.3投标文件含有采购人不能接受的附加条件的；</w:t>
      </w:r>
    </w:p>
    <w:p w14:paraId="49E17A3C">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3.4为采购项目提供整体设计、规范编制或者项目管理、监理、检测等服务的投标人，不得再参加同一项目的其他采购活动。</w:t>
      </w:r>
    </w:p>
    <w:p w14:paraId="3314FAD2">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3.5单位负责人为同一人或者存在直接控股、管理关系的不同单位，不得参加同一标段投标或者未划分标段的同一采购项目投标。</w:t>
      </w:r>
    </w:p>
    <w:p w14:paraId="6576D267">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评标委员会认为投标人的报价明显低于其他通过符合性审查投标人的报价，有可能影响服务（含产品）质量或者不能诚信履约的，要求其在评标现场合理的时间内提供书面说明，必要时提交相关证明材料；投标人不能证明其报价合理性的，评标委员会将其作为无效投标处理。</w:t>
      </w:r>
    </w:p>
    <w:p w14:paraId="38165897">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3.7法律、法规及招标文件规定的其他无效情形。</w:t>
      </w:r>
    </w:p>
    <w:p w14:paraId="67D514D6">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4.书写错误的评审标准</w:t>
      </w:r>
    </w:p>
    <w:p w14:paraId="65BA2FDA">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4.1评标委员会在评</w:t>
      </w:r>
      <w:r>
        <w:rPr>
          <w:rFonts w:hint="eastAsia" w:ascii="仿宋" w:hAnsi="仿宋" w:eastAsia="仿宋" w:cs="仿宋"/>
          <w:color w:val="auto"/>
          <w:sz w:val="24"/>
          <w:szCs w:val="24"/>
          <w:highlight w:val="none"/>
          <w:lang w:eastAsia="zh-CN"/>
        </w:rPr>
        <w:t>审</w:t>
      </w:r>
      <w:r>
        <w:rPr>
          <w:rFonts w:hint="eastAsia" w:ascii="仿宋" w:hAnsi="仿宋" w:eastAsia="仿宋" w:cs="仿宋"/>
          <w:color w:val="auto"/>
          <w:sz w:val="24"/>
          <w:szCs w:val="24"/>
          <w:highlight w:val="none"/>
        </w:rPr>
        <w:t>过程中，发现投标文件出现下列情况之一者，按以下原则修正：</w:t>
      </w:r>
    </w:p>
    <w:p w14:paraId="23773576">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投标文件图表与文字不符时，以文字为准；</w:t>
      </w:r>
    </w:p>
    <w:p w14:paraId="794D2A69">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对不同文字文本投标文件的解释发生异议的，以中文文本为准；</w:t>
      </w:r>
    </w:p>
    <w:p w14:paraId="164BB19C">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.2投标文件报价出现前后不一致的，按照下列规定修正：</w:t>
      </w:r>
    </w:p>
    <w:p w14:paraId="3F8C265F">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（1）投标文件中开标一览表内容与投标文件中相应内容不一致的，以开标一览表为准。</w:t>
      </w:r>
    </w:p>
    <w:p w14:paraId="51738710">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投标文件的大写金额和小写金额不一致的，以大写金额为准；</w:t>
      </w:r>
    </w:p>
    <w:p w14:paraId="434C0741">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单价金额小数点或者百分比有明显错位的，以开标一览表的总价为准，并修改单价；</w:t>
      </w:r>
    </w:p>
    <w:p w14:paraId="555B55D0">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总价金额与按单价汇总金额不一致的，以单价金额计算结果为准。</w:t>
      </w:r>
    </w:p>
    <w:p w14:paraId="44D442D9">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按上述修正的顺序和方法调整的投标报价应对投标人具有约束力。如果投标人不接受修正后的价格，其投标将按无效投标处理。</w:t>
      </w:r>
    </w:p>
    <w:p w14:paraId="4E053097">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4.3有下列情形之一的，视为投标人串通投标，其投标无效：</w:t>
      </w:r>
    </w:p>
    <w:p w14:paraId="52F6B07C">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（1）不同投标人的投标文件由同一单位或者个人编制；</w:t>
      </w:r>
    </w:p>
    <w:p w14:paraId="0E8DDFC8">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（2）不同投标人委托同一单位或者个人办理投标事宜；</w:t>
      </w:r>
    </w:p>
    <w:p w14:paraId="6BBB8DC8">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（3）不同投标人的投标文件载明的项目管理成员或者联系人员为同一人；</w:t>
      </w:r>
    </w:p>
    <w:p w14:paraId="34B39671">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4"/>
          <w:szCs w:val="24"/>
          <w:highlight w:val="none"/>
          <w:lang w:val="en-US" w:eastAsia="zh-CN" w:bidi="ar-SA"/>
        </w:rPr>
        <w:t>（4）不同投标人的投标文件异常一致或者投标报价呈规律性差异。</w:t>
      </w:r>
    </w:p>
    <w:p w14:paraId="40535C88">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75A83D89">
      <w:pPr>
        <w:pStyle w:val="31"/>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附件1</w:t>
      </w:r>
    </w:p>
    <w:p w14:paraId="117BB875">
      <w:pPr>
        <w:pStyle w:val="31"/>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初步审查要素表</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3"/>
        <w:gridCol w:w="1241"/>
        <w:gridCol w:w="1517"/>
        <w:gridCol w:w="5885"/>
      </w:tblGrid>
      <w:tr w14:paraId="461AA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blHeader/>
        </w:trPr>
        <w:tc>
          <w:tcPr>
            <w:tcW w:w="3371" w:type="dxa"/>
            <w:gridSpan w:val="3"/>
            <w:noWrap w:val="0"/>
            <w:vAlign w:val="center"/>
          </w:tcPr>
          <w:p w14:paraId="7576AB74">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评审因素</w:t>
            </w:r>
          </w:p>
        </w:tc>
        <w:tc>
          <w:tcPr>
            <w:tcW w:w="5885" w:type="dxa"/>
            <w:noWrap w:val="0"/>
            <w:vAlign w:val="center"/>
          </w:tcPr>
          <w:p w14:paraId="25845C5D">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评审</w:t>
            </w:r>
            <w:r>
              <w:rPr>
                <w:rFonts w:hint="eastAsia" w:ascii="仿宋" w:hAnsi="仿宋" w:eastAsia="仿宋" w:cs="仿宋"/>
                <w:bCs/>
                <w:color w:val="auto"/>
                <w:sz w:val="24"/>
                <w:szCs w:val="24"/>
                <w:highlight w:val="none"/>
                <w:lang w:eastAsia="zh-CN"/>
              </w:rPr>
              <w:t>内容</w:t>
            </w:r>
          </w:p>
        </w:tc>
      </w:tr>
      <w:tr w14:paraId="7FEA8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8" w:hRule="atLeast"/>
        </w:trPr>
        <w:tc>
          <w:tcPr>
            <w:tcW w:w="613" w:type="dxa"/>
            <w:vMerge w:val="restart"/>
            <w:noWrap w:val="0"/>
            <w:vAlign w:val="center"/>
          </w:tcPr>
          <w:p w14:paraId="375D41A0">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资格</w:t>
            </w:r>
            <w:r>
              <w:rPr>
                <w:rFonts w:hint="eastAsia" w:ascii="仿宋" w:hAnsi="仿宋" w:eastAsia="仿宋" w:cs="仿宋"/>
                <w:bCs/>
                <w:color w:val="auto"/>
                <w:sz w:val="24"/>
                <w:szCs w:val="24"/>
                <w:highlight w:val="none"/>
                <w:lang w:eastAsia="zh-CN"/>
              </w:rPr>
              <w:t>审查</w:t>
            </w:r>
          </w:p>
          <w:p w14:paraId="45D25D50">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标准</w:t>
            </w:r>
          </w:p>
        </w:tc>
        <w:tc>
          <w:tcPr>
            <w:tcW w:w="1241" w:type="dxa"/>
            <w:vMerge w:val="restart"/>
            <w:noWrap w:val="0"/>
            <w:vAlign w:val="center"/>
          </w:tcPr>
          <w:p w14:paraId="6E1F05C4">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满足《中华人民共和国政府采购法》第二十二条规定</w:t>
            </w:r>
          </w:p>
        </w:tc>
        <w:tc>
          <w:tcPr>
            <w:tcW w:w="1517" w:type="dxa"/>
            <w:noWrap w:val="0"/>
            <w:vAlign w:val="center"/>
          </w:tcPr>
          <w:p w14:paraId="0FFDAF4F">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营业执照等主体资格证明文件</w:t>
            </w:r>
          </w:p>
        </w:tc>
        <w:tc>
          <w:tcPr>
            <w:tcW w:w="5885" w:type="dxa"/>
            <w:noWrap w:val="0"/>
            <w:vAlign w:val="center"/>
          </w:tcPr>
          <w:p w14:paraId="68C510C5">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rPr>
              <w:t>提供合格有效的法人或者其他组织的营业执照等证明文件，自然人的身份证明；供应商是法人或其他组织的应提供营业执照等证明文件，供应商是自然人的应提供有效的自然人身份证明</w:t>
            </w:r>
          </w:p>
        </w:tc>
      </w:tr>
      <w:tr w14:paraId="5DDBF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613" w:type="dxa"/>
            <w:vMerge w:val="continue"/>
            <w:noWrap w:val="0"/>
            <w:vAlign w:val="center"/>
          </w:tcPr>
          <w:p w14:paraId="45EC6D35">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6AB85B01">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36E66955">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财务状况报告</w:t>
            </w:r>
          </w:p>
        </w:tc>
        <w:tc>
          <w:tcPr>
            <w:tcW w:w="5885" w:type="dxa"/>
            <w:noWrap w:val="0"/>
            <w:vAlign w:val="center"/>
          </w:tcPr>
          <w:p w14:paraId="0904146E">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提供2024或2025年度经审计的已赋码且完整的财务报告（依据财政部、国务院国资委、金融监管总局印发《关于加强审计报告查验工作的通知》(财会(2023〕15号)报告须在注册会计师行业统一监管平台备案并由该平台赋予二维码），包括“四表一注”即《资产负债表》《利润表》《现金流量表》《所有者权益变动表》及其附注、会计师事务所营业执照和2个注册会计师证书（成立时间至提交投标文件截止时间不足一年的可提供成立后任意时段的资产负债表）或财政部门认可的政府采购专业担保机构出具的担保函或在开标日期前三个月内其基本开户银行出具的资信证明（附开户许可证或开户备案证明或基本账户信息）,以上形式的证明资料提供任何一种即可；</w:t>
            </w:r>
          </w:p>
        </w:tc>
      </w:tr>
      <w:tr w14:paraId="69360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613" w:type="dxa"/>
            <w:vMerge w:val="continue"/>
            <w:noWrap w:val="0"/>
            <w:vAlign w:val="center"/>
          </w:tcPr>
          <w:p w14:paraId="0FC042DB">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69C80F55">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72215B60">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税收缴纳证明</w:t>
            </w:r>
          </w:p>
        </w:tc>
        <w:tc>
          <w:tcPr>
            <w:tcW w:w="5885" w:type="dxa"/>
            <w:noWrap w:val="0"/>
            <w:vAlign w:val="center"/>
          </w:tcPr>
          <w:p w14:paraId="10E17E98">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rPr>
              <w:t>提供递交投标文件截止之日前一年内任意一个月的依法缴纳税收的完税证明，完税证明应有税务机关或代收机关的公章或业务专用章。依法免税或无须缴纳税收的供应商，应提供相应证明文件</w:t>
            </w:r>
            <w:r>
              <w:rPr>
                <w:rFonts w:hint="eastAsia" w:ascii="仿宋" w:hAnsi="仿宋" w:eastAsia="仿宋" w:cs="仿宋"/>
                <w:color w:val="auto"/>
                <w:lang w:eastAsia="zh-CN"/>
              </w:rPr>
              <w:t>；</w:t>
            </w:r>
          </w:p>
        </w:tc>
      </w:tr>
      <w:tr w14:paraId="3BDDB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trPr>
        <w:tc>
          <w:tcPr>
            <w:tcW w:w="613" w:type="dxa"/>
            <w:vMerge w:val="continue"/>
            <w:noWrap w:val="0"/>
            <w:vAlign w:val="center"/>
          </w:tcPr>
          <w:p w14:paraId="28E3808F">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79B41991">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6F1B4E7F">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社会保障资金缴纳证明</w:t>
            </w:r>
          </w:p>
        </w:tc>
        <w:tc>
          <w:tcPr>
            <w:tcW w:w="5885" w:type="dxa"/>
            <w:noWrap w:val="0"/>
            <w:vAlign w:val="center"/>
          </w:tcPr>
          <w:p w14:paraId="3B0DD484">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rPr>
              <w:t>提供投标截止日前一年内已缴存的至少一个月的社会保障资金缴存单据或社保机构开具的社会保险参保缴费情况证明，依法不需要缴纳社会保障资金的单位应提供相关证明材料</w:t>
            </w:r>
            <w:r>
              <w:rPr>
                <w:rFonts w:hint="eastAsia" w:ascii="仿宋" w:hAnsi="仿宋" w:eastAsia="仿宋" w:cs="仿宋"/>
                <w:b w:val="0"/>
                <w:bCs/>
                <w:color w:val="auto"/>
                <w:sz w:val="24"/>
                <w:szCs w:val="24"/>
                <w:highlight w:val="none"/>
                <w:lang w:val="en-US" w:eastAsia="zh-CN"/>
              </w:rPr>
              <w:t>；</w:t>
            </w:r>
          </w:p>
        </w:tc>
      </w:tr>
      <w:tr w14:paraId="4016E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613" w:type="dxa"/>
            <w:vMerge w:val="continue"/>
            <w:noWrap w:val="0"/>
            <w:vAlign w:val="center"/>
          </w:tcPr>
          <w:p w14:paraId="04B6DD4D">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42CF7B6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617C4616">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承诺</w:t>
            </w:r>
            <w:r>
              <w:rPr>
                <w:rFonts w:hint="eastAsia" w:ascii="仿宋" w:hAnsi="仿宋" w:eastAsia="仿宋" w:cs="仿宋"/>
                <w:bCs/>
                <w:color w:val="auto"/>
                <w:sz w:val="24"/>
                <w:szCs w:val="24"/>
                <w:highlight w:val="none"/>
                <w:lang w:eastAsia="zh-CN"/>
              </w:rPr>
              <w:t>声明</w:t>
            </w:r>
          </w:p>
        </w:tc>
        <w:tc>
          <w:tcPr>
            <w:tcW w:w="5885" w:type="dxa"/>
            <w:noWrap w:val="0"/>
            <w:vAlign w:val="center"/>
          </w:tcPr>
          <w:p w14:paraId="7835D3C6">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rPr>
              <w:t>提供具有履行合同所必需的设备和专业技术能力的承诺；</w:t>
            </w:r>
          </w:p>
        </w:tc>
      </w:tr>
      <w:tr w14:paraId="76B7A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13" w:type="dxa"/>
            <w:vMerge w:val="continue"/>
            <w:noWrap w:val="0"/>
            <w:vAlign w:val="center"/>
          </w:tcPr>
          <w:p w14:paraId="2E0C42F9">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42DAC63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0D7B6013">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书面声明</w:t>
            </w:r>
          </w:p>
        </w:tc>
        <w:tc>
          <w:tcPr>
            <w:tcW w:w="5885" w:type="dxa"/>
            <w:noWrap w:val="0"/>
            <w:vAlign w:val="center"/>
          </w:tcPr>
          <w:p w14:paraId="7541E100">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参加政府采购活动前3年内，在经营活动中没有重大违法记录的书面声明；</w:t>
            </w:r>
          </w:p>
        </w:tc>
      </w:tr>
      <w:tr w14:paraId="5A2C0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13" w:type="dxa"/>
            <w:vMerge w:val="continue"/>
            <w:noWrap w:val="0"/>
            <w:vAlign w:val="center"/>
          </w:tcPr>
          <w:p w14:paraId="3C7DB07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2758" w:type="dxa"/>
            <w:gridSpan w:val="2"/>
            <w:noWrap w:val="0"/>
            <w:vAlign w:val="center"/>
          </w:tcPr>
          <w:p w14:paraId="3B4AE87C">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rPr>
              <w:t>落实政府采购政策需满足的资格要求</w:t>
            </w:r>
          </w:p>
        </w:tc>
        <w:tc>
          <w:tcPr>
            <w:tcW w:w="5885" w:type="dxa"/>
            <w:noWrap w:val="0"/>
            <w:vAlign w:val="center"/>
          </w:tcPr>
          <w:p w14:paraId="6B278686">
            <w:pPr>
              <w:keepNext w:val="0"/>
              <w:keepLines w:val="0"/>
              <w:pageBreakBefore w:val="0"/>
              <w:tabs>
                <w:tab w:val="left" w:pos="0"/>
              </w:tabs>
              <w:kinsoku/>
              <w:wordWrap/>
              <w:overflowPunct/>
              <w:topLinePunct w:val="0"/>
              <w:bidi w:val="0"/>
              <w:adjustRightInd/>
              <w:snapToGrid/>
              <w:spacing w:line="360" w:lineRule="auto"/>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本项目非专门面向中小企业</w:t>
            </w:r>
          </w:p>
        </w:tc>
      </w:tr>
      <w:tr w14:paraId="22178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613" w:type="dxa"/>
            <w:vMerge w:val="continue"/>
            <w:noWrap w:val="0"/>
            <w:vAlign w:val="center"/>
          </w:tcPr>
          <w:p w14:paraId="05C2E224">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restart"/>
            <w:noWrap w:val="0"/>
            <w:vAlign w:val="center"/>
          </w:tcPr>
          <w:p w14:paraId="2797BA2D">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特定资格</w:t>
            </w:r>
          </w:p>
          <w:p w14:paraId="11C5CBB8">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条件</w:t>
            </w:r>
          </w:p>
        </w:tc>
        <w:tc>
          <w:tcPr>
            <w:tcW w:w="1517" w:type="dxa"/>
            <w:noWrap w:val="0"/>
            <w:vAlign w:val="center"/>
          </w:tcPr>
          <w:p w14:paraId="0D5B086B">
            <w:pPr>
              <w:keepNext w:val="0"/>
              <w:keepLines w:val="0"/>
              <w:pageBreakBefore w:val="0"/>
              <w:tabs>
                <w:tab w:val="left" w:pos="0"/>
              </w:tabs>
              <w:kinsoku/>
              <w:wordWrap/>
              <w:overflowPunct/>
              <w:topLinePunct w:val="0"/>
              <w:bidi w:val="0"/>
              <w:adjustRightInd/>
              <w:snapToGrid/>
              <w:spacing w:line="360" w:lineRule="auto"/>
              <w:jc w:val="center"/>
              <w:rPr>
                <w:rFonts w:hint="default"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资质证书</w:t>
            </w:r>
          </w:p>
        </w:tc>
        <w:tc>
          <w:tcPr>
            <w:tcW w:w="5885" w:type="dxa"/>
            <w:noWrap w:val="0"/>
            <w:vAlign w:val="center"/>
          </w:tcPr>
          <w:p w14:paraId="5423FD00">
            <w:pPr>
              <w:keepNext w:val="0"/>
              <w:keepLines w:val="0"/>
              <w:pageBreakBefore w:val="0"/>
              <w:widowControl w:val="0"/>
              <w:tabs>
                <w:tab w:val="left" w:pos="1180"/>
              </w:tabs>
              <w:kinsoku/>
              <w:wordWrap w:val="0"/>
              <w:overflowPunct/>
              <w:topLinePunct w:val="0"/>
              <w:autoSpaceDE/>
              <w:autoSpaceDN/>
              <w:bidi w:val="0"/>
              <w:adjustRightInd/>
              <w:snapToGrid/>
              <w:spacing w:line="36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①</w:t>
            </w:r>
            <w:r>
              <w:rPr>
                <w:rFonts w:hint="eastAsia" w:ascii="仿宋" w:hAnsi="仿宋" w:eastAsia="仿宋" w:cs="仿宋"/>
                <w:color w:val="auto"/>
                <w:kern w:val="0"/>
                <w:sz w:val="24"/>
                <w:szCs w:val="24"/>
                <w:highlight w:val="none"/>
                <w:lang w:eastAsia="zh-CN"/>
              </w:rPr>
              <w:t>投标人为经营企业的须提供合法有效的</w:t>
            </w:r>
            <w:r>
              <w:rPr>
                <w:rFonts w:hint="eastAsia" w:ascii="仿宋" w:hAnsi="仿宋" w:eastAsia="仿宋" w:cs="仿宋"/>
                <w:color w:val="auto"/>
                <w:kern w:val="0"/>
                <w:sz w:val="24"/>
                <w:szCs w:val="24"/>
                <w:highlight w:val="none"/>
              </w:rPr>
              <w:t>《药品经营许可证》（经营范围须包括中药饮片）并提供所投产品</w:t>
            </w:r>
            <w:r>
              <w:rPr>
                <w:rFonts w:hint="eastAsia" w:ascii="仿宋" w:hAnsi="仿宋" w:eastAsia="仿宋" w:cs="仿宋"/>
                <w:color w:val="auto"/>
                <w:kern w:val="0"/>
                <w:sz w:val="24"/>
                <w:szCs w:val="24"/>
                <w:highlight w:val="none"/>
                <w:lang w:eastAsia="zh-CN"/>
              </w:rPr>
              <w:t>生产企业</w:t>
            </w:r>
            <w:r>
              <w:rPr>
                <w:rFonts w:hint="eastAsia" w:ascii="仿宋" w:hAnsi="仿宋" w:eastAsia="仿宋" w:cs="仿宋"/>
                <w:color w:val="auto"/>
                <w:kern w:val="0"/>
                <w:sz w:val="24"/>
                <w:szCs w:val="24"/>
                <w:highlight w:val="none"/>
              </w:rPr>
              <w:t>的《药品生产许可证》（其生产范围应包含中药饮片）</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如为毒性饮片，其药品生产许可证的生产范围和经销商药品经营许可证的经营范围须包括中药饮片（含毒性饮片），如为实施批准文号管理的中药饮片须提供该品种的注册批件；</w:t>
            </w:r>
          </w:p>
          <w:p w14:paraId="47FD4186">
            <w:pPr>
              <w:keepNext w:val="0"/>
              <w:keepLines w:val="0"/>
              <w:pageBreakBefore w:val="0"/>
              <w:widowControl w:val="0"/>
              <w:tabs>
                <w:tab w:val="left" w:pos="1180"/>
              </w:tabs>
              <w:kinsoku/>
              <w:wordWrap w:val="0"/>
              <w:overflowPunct/>
              <w:topLinePunct w:val="0"/>
              <w:autoSpaceDE/>
              <w:autoSpaceDN/>
              <w:bidi w:val="0"/>
              <w:adjustRightInd/>
              <w:snapToGrid/>
              <w:spacing w:line="36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②</w:t>
            </w:r>
            <w:r>
              <w:rPr>
                <w:rFonts w:hint="eastAsia" w:ascii="仿宋" w:hAnsi="仿宋" w:eastAsia="仿宋" w:cs="仿宋"/>
                <w:color w:val="auto"/>
                <w:kern w:val="0"/>
                <w:sz w:val="24"/>
                <w:szCs w:val="24"/>
                <w:highlight w:val="none"/>
                <w:lang w:eastAsia="zh-CN"/>
              </w:rPr>
              <w:t>投标人为生产企业的须具有合法有效的</w:t>
            </w:r>
            <w:r>
              <w:rPr>
                <w:rFonts w:hint="eastAsia" w:ascii="仿宋" w:hAnsi="仿宋" w:eastAsia="仿宋" w:cs="仿宋"/>
                <w:color w:val="auto"/>
                <w:kern w:val="0"/>
                <w:sz w:val="24"/>
                <w:szCs w:val="24"/>
                <w:highlight w:val="none"/>
              </w:rPr>
              <w:t>《药品生产许可证》（其生产范围应包含中药饮片）如为毒性饮片，其药品生产许可证中的生产范围须包括中药饮片（含毒性饮片），如为实施批准文号管理的中药饮片须提供该品种的注册批件。</w:t>
            </w:r>
          </w:p>
          <w:p w14:paraId="3777F1AD">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若投标产品（或其任何组成部分）属于《国家重点保护野生动物名录》或相关法律法规规定的野生动物物种制成的饮片，投标人必须提供该物种对应的、有效的林业主管部门核发的相关行政许可文件。如为实施批准文号管理的中药饮片须提供该品种的注册批件。</w:t>
            </w:r>
          </w:p>
        </w:tc>
      </w:tr>
      <w:tr w14:paraId="15FCA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613" w:type="dxa"/>
            <w:vMerge w:val="continue"/>
            <w:noWrap w:val="0"/>
            <w:vAlign w:val="center"/>
          </w:tcPr>
          <w:p w14:paraId="2B02F18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10B3BEF2">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04B6A11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法定代表人或其授权委托书</w:t>
            </w:r>
          </w:p>
        </w:tc>
        <w:tc>
          <w:tcPr>
            <w:tcW w:w="5885" w:type="dxa"/>
            <w:noWrap w:val="0"/>
            <w:vAlign w:val="center"/>
          </w:tcPr>
          <w:p w14:paraId="14B2290A">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p>
        </w:tc>
      </w:tr>
      <w:tr w14:paraId="3B657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613" w:type="dxa"/>
            <w:vMerge w:val="continue"/>
            <w:noWrap w:val="0"/>
            <w:vAlign w:val="center"/>
          </w:tcPr>
          <w:p w14:paraId="61AE1A27">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45708BD9">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7A08DE86">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信用记录</w:t>
            </w:r>
          </w:p>
        </w:tc>
        <w:tc>
          <w:tcPr>
            <w:tcW w:w="5885" w:type="dxa"/>
            <w:noWrap w:val="0"/>
            <w:vAlign w:val="center"/>
          </w:tcPr>
          <w:p w14:paraId="0B1DBFC7">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sz w:val="24"/>
                <w:szCs w:val="24"/>
                <w:highlight w:val="none"/>
                <w:lang w:val="en-US" w:eastAsia="zh-CN"/>
              </w:rPr>
              <w:t>供应商未被“信用中国”网站（www.creditchina.gov.cn）列入失信被执行人和重大税收违法失信主体，未被中国政府采购网（www.ccgp.gov.cn）列入政府采购严重违法失信行为记录名单</w:t>
            </w:r>
          </w:p>
        </w:tc>
      </w:tr>
      <w:tr w14:paraId="28972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256" w:type="dxa"/>
            <w:gridSpan w:val="4"/>
            <w:noWrap w:val="0"/>
            <w:vAlign w:val="center"/>
          </w:tcPr>
          <w:p w14:paraId="433C39AE">
            <w:pPr>
              <w:keepNext w:val="0"/>
              <w:keepLines w:val="0"/>
              <w:pageBreakBefore w:val="0"/>
              <w:kinsoku/>
              <w:wordWrap/>
              <w:overflowPunct/>
              <w:topLinePunct w:val="0"/>
              <w:bidi w:val="0"/>
              <w:adjustRightInd/>
              <w:snapToGrid/>
              <w:spacing w:line="360" w:lineRule="auto"/>
              <w:jc w:val="left"/>
              <w:rPr>
                <w:rFonts w:hint="eastAsia" w:ascii="仿宋" w:hAnsi="仿宋" w:eastAsia="仿宋" w:cs="仿宋"/>
                <w:color w:val="auto"/>
                <w:sz w:val="24"/>
                <w:szCs w:val="24"/>
                <w:highlight w:val="none"/>
                <w:lang w:eastAsia="zh-CN"/>
              </w:rPr>
            </w:pPr>
            <w:r>
              <w:rPr>
                <w:rFonts w:hint="eastAsia" w:ascii="仿宋" w:hAnsi="仿宋" w:eastAsia="仿宋" w:cs="仿宋"/>
                <w:b/>
                <w:bCs/>
                <w:color w:val="auto"/>
                <w:kern w:val="0"/>
                <w:sz w:val="24"/>
                <w:szCs w:val="24"/>
                <w:highlight w:val="none"/>
                <w:lang w:eastAsia="zh-CN"/>
              </w:rPr>
              <w:t>注：</w:t>
            </w:r>
            <w:r>
              <w:rPr>
                <w:rFonts w:hint="eastAsia" w:ascii="仿宋" w:hAnsi="仿宋" w:eastAsia="仿宋" w:cs="仿宋"/>
                <w:color w:val="auto"/>
                <w:sz w:val="24"/>
                <w:szCs w:val="24"/>
                <w:highlight w:val="none"/>
              </w:rPr>
              <w:t>以上为必备</w:t>
            </w:r>
            <w:r>
              <w:rPr>
                <w:rFonts w:hint="eastAsia" w:ascii="仿宋" w:hAnsi="仿宋" w:eastAsia="仿宋" w:cs="仿宋"/>
                <w:color w:val="auto"/>
                <w:sz w:val="24"/>
                <w:szCs w:val="24"/>
                <w:highlight w:val="none"/>
                <w:lang w:eastAsia="zh-CN"/>
              </w:rPr>
              <w:t>资格条件</w:t>
            </w:r>
            <w:r>
              <w:rPr>
                <w:rFonts w:hint="eastAsia" w:ascii="仿宋" w:hAnsi="仿宋" w:eastAsia="仿宋" w:cs="仿宋"/>
                <w:color w:val="auto"/>
                <w:sz w:val="24"/>
                <w:szCs w:val="24"/>
                <w:highlight w:val="none"/>
              </w:rPr>
              <w:t>，缺一项或某项达不到要求，按无效投标处理。资格审查时以投标文件中所附证明材料为准。</w:t>
            </w:r>
          </w:p>
        </w:tc>
      </w:tr>
    </w:tbl>
    <w:p w14:paraId="7F7FC842">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br w:type="page"/>
      </w:r>
    </w:p>
    <w:tbl>
      <w:tblPr>
        <w:tblStyle w:val="32"/>
        <w:tblW w:w="4999"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2814"/>
        <w:gridCol w:w="6472"/>
      </w:tblGrid>
      <w:tr w14:paraId="6A897B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tcBorders>
              <w:top w:val="single" w:color="auto" w:sz="12" w:space="0"/>
              <w:bottom w:val="single" w:color="auto" w:sz="2" w:space="0"/>
            </w:tcBorders>
            <w:shd w:val="clear" w:color="auto" w:fill="auto"/>
            <w:vAlign w:val="center"/>
          </w:tcPr>
          <w:p w14:paraId="3283F021">
            <w:pPr>
              <w:spacing w:line="5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符合性审查项</w:t>
            </w:r>
          </w:p>
        </w:tc>
        <w:tc>
          <w:tcPr>
            <w:tcW w:w="3484" w:type="pct"/>
            <w:tcBorders>
              <w:top w:val="single" w:color="auto" w:sz="12" w:space="0"/>
              <w:bottom w:val="single" w:color="auto" w:sz="2" w:space="0"/>
            </w:tcBorders>
            <w:shd w:val="clear" w:color="auto" w:fill="auto"/>
            <w:vAlign w:val="center"/>
          </w:tcPr>
          <w:p w14:paraId="028702CE">
            <w:pPr>
              <w:spacing w:line="5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通过条件</w:t>
            </w:r>
          </w:p>
        </w:tc>
      </w:tr>
      <w:tr w14:paraId="49906A9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tcBorders>
              <w:top w:val="single" w:color="auto" w:sz="2" w:space="0"/>
            </w:tcBorders>
            <w:vAlign w:val="center"/>
          </w:tcPr>
          <w:p w14:paraId="0AAE31C9">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不正当竞争预防措施（实质性要求）</w:t>
            </w:r>
          </w:p>
        </w:tc>
        <w:tc>
          <w:tcPr>
            <w:tcW w:w="3484" w:type="pct"/>
            <w:tcBorders>
              <w:top w:val="single" w:color="auto" w:sz="2" w:space="0"/>
            </w:tcBorders>
            <w:vAlign w:val="center"/>
          </w:tcPr>
          <w:p w14:paraId="3F991B8F">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根据《关于推动解决政府采购异常低价问题的通知》（财库〔2026〕2号）政府采购评审中出现下列情形之一的，评审委员会应当启动异常低价投标（响应）审查程序： ①投标（响应）报价低于全部通过符合性审查供应商投标（响应）报价平均值50%的，即投标（响应）报价&lt;全部通过符合性审查供应商投标（响应）报价平均值×50%； ②投标（响应）报价低于通过符合性审查的次低报价供应商投标（响应）报价50%的，即投标（响应）报价&lt;通过符合性审查的次低报价供应商投标（响应）报价×50%； ③投标（响应）报价低于采购项目最高限价45%的，即投标（响应）报价&lt;采购项目最高限价×45%； ④评审委员会基于专业判断，认为供应商报价过低，有可能影响产品质量或者不能诚信履约的其他情形。 启动异常低价投标（响应）审查后，属于前述第①项至第④项情形的,供应商在评审现场30分钟内对投标（响应）价格作出解释，提供项目具体成本测算等与报价合理性相关的书面说明及必要的证明材料，包括但不限于原材料成本、人工成本、制造费用等。属于第③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2.投标人提交的相关说明和证明材料，应当加盖投标人（法定名称）电子印章，在评标委员会要求的时间内通过项目电子化交易系统进行提交，否则提交的相关证明材料无效。投标人不能证明其投标报价合理性的，评标委员会应当将其投标文件作为无效处理。</w:t>
            </w:r>
          </w:p>
        </w:tc>
      </w:tr>
      <w:tr w14:paraId="1B77506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tcBorders>
              <w:top w:val="single" w:color="auto" w:sz="2" w:space="0"/>
            </w:tcBorders>
            <w:vAlign w:val="center"/>
          </w:tcPr>
          <w:p w14:paraId="597B4865">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与项目的一致性</w:t>
            </w:r>
          </w:p>
        </w:tc>
        <w:tc>
          <w:tcPr>
            <w:tcW w:w="3484" w:type="pct"/>
            <w:tcBorders>
              <w:top w:val="single" w:color="auto" w:sz="2" w:space="0"/>
            </w:tcBorders>
            <w:vAlign w:val="center"/>
          </w:tcPr>
          <w:p w14:paraId="7F21E4DF">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至少以下三处的项目名称、项目编号（未分标段的除外）与本项目完全一致：</w:t>
            </w:r>
          </w:p>
          <w:p w14:paraId="44B96753">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（1）投标文件封面</w:t>
            </w:r>
          </w:p>
          <w:p w14:paraId="5AEE6E2F">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（2）投标函</w:t>
            </w:r>
          </w:p>
          <w:p w14:paraId="1CD3379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（3）法定代表人授权委托书</w:t>
            </w:r>
          </w:p>
        </w:tc>
      </w:tr>
      <w:tr w14:paraId="712F344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236E9C89">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投标文件组成</w:t>
            </w:r>
          </w:p>
        </w:tc>
        <w:tc>
          <w:tcPr>
            <w:tcW w:w="3484" w:type="pct"/>
            <w:vAlign w:val="center"/>
          </w:tcPr>
          <w:p w14:paraId="443436A0">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投标文件应包含以下部分：</w:t>
            </w:r>
          </w:p>
          <w:p w14:paraId="177E3D6C">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第一部分  投标函</w:t>
            </w:r>
          </w:p>
          <w:p w14:paraId="1307D78A">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第二部分  开标一览表</w:t>
            </w:r>
          </w:p>
          <w:p w14:paraId="3E73A55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第三部分  投标方案说明书</w:t>
            </w:r>
          </w:p>
          <w:p w14:paraId="51EA3330">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第四部分  商务条款偏离表</w:t>
            </w:r>
          </w:p>
          <w:p w14:paraId="0E251EA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第五</w:t>
            </w:r>
            <w:r>
              <w:rPr>
                <w:rFonts w:hint="eastAsia" w:ascii="仿宋" w:hAnsi="仿宋" w:eastAsia="仿宋" w:cs="仿宋"/>
                <w:color w:val="auto"/>
                <w:sz w:val="24"/>
                <w:szCs w:val="24"/>
                <w:highlight w:val="none"/>
                <w:lang w:val="en-US" w:eastAsia="zh-CN"/>
              </w:rPr>
              <w:t>部</w:t>
            </w:r>
            <w:r>
              <w:rPr>
                <w:rFonts w:hint="eastAsia" w:ascii="仿宋" w:hAnsi="仿宋" w:eastAsia="仿宋" w:cs="仿宋"/>
                <w:color w:val="auto"/>
                <w:sz w:val="24"/>
                <w:szCs w:val="24"/>
                <w:highlight w:val="none"/>
              </w:rPr>
              <w:t>分  供应商承诺书</w:t>
            </w:r>
          </w:p>
          <w:p w14:paraId="110A1B7A">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第六部分  资格证明文件</w:t>
            </w:r>
          </w:p>
          <w:p w14:paraId="5189685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第七部分  其他应说明的事项</w:t>
            </w:r>
          </w:p>
        </w:tc>
      </w:tr>
      <w:tr w14:paraId="33D89A9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36A68F74">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签章</w:t>
            </w:r>
          </w:p>
        </w:tc>
        <w:tc>
          <w:tcPr>
            <w:tcW w:w="3484" w:type="pct"/>
            <w:vAlign w:val="center"/>
          </w:tcPr>
          <w:p w14:paraId="516FAA54">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签章均符合招标文件要求，且无遗漏。</w:t>
            </w:r>
          </w:p>
        </w:tc>
      </w:tr>
      <w:tr w14:paraId="784A103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6CEE1B0E">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语言和计量单位</w:t>
            </w:r>
          </w:p>
        </w:tc>
        <w:tc>
          <w:tcPr>
            <w:tcW w:w="3484" w:type="pct"/>
            <w:vAlign w:val="center"/>
          </w:tcPr>
          <w:p w14:paraId="4F608F8D">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符合招标文件的要求</w:t>
            </w:r>
          </w:p>
        </w:tc>
      </w:tr>
      <w:tr w14:paraId="7CD4A61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21E2B609">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投标文件有效期</w:t>
            </w:r>
          </w:p>
        </w:tc>
        <w:tc>
          <w:tcPr>
            <w:tcW w:w="3484" w:type="pct"/>
            <w:vAlign w:val="center"/>
          </w:tcPr>
          <w:p w14:paraId="6FD2FDF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符合招标文件的要求</w:t>
            </w:r>
          </w:p>
        </w:tc>
      </w:tr>
      <w:tr w14:paraId="2DD1C34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63F6FBEE">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tc>
        <w:tc>
          <w:tcPr>
            <w:tcW w:w="3484" w:type="pct"/>
            <w:vAlign w:val="center"/>
          </w:tcPr>
          <w:p w14:paraId="6B934030">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同时满足以下条款：</w:t>
            </w:r>
          </w:p>
          <w:p w14:paraId="205253A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（1）货币单位符合招标文件要求</w:t>
            </w:r>
          </w:p>
          <w:p w14:paraId="7B099C30">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（2）报价符合唯一性要求</w:t>
            </w:r>
          </w:p>
          <w:p w14:paraId="2D937043">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（3）未超出采购预算或最高限价</w:t>
            </w:r>
          </w:p>
          <w:p w14:paraId="49B42E6C">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（4）符合《开标一览表》的填报要求</w:t>
            </w:r>
          </w:p>
        </w:tc>
      </w:tr>
      <w:tr w14:paraId="11A9718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76E6578D">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实质性条款响应</w:t>
            </w:r>
          </w:p>
        </w:tc>
        <w:tc>
          <w:tcPr>
            <w:tcW w:w="3484" w:type="pct"/>
            <w:vAlign w:val="center"/>
          </w:tcPr>
          <w:p w14:paraId="58EDFEBE">
            <w:pPr>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完全响应招标文件要求的各项技术</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服务、商务实质性条款。</w:t>
            </w:r>
          </w:p>
        </w:tc>
      </w:tr>
      <w:tr w14:paraId="7BFA255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7E402FA0">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合同条款响应</w:t>
            </w:r>
          </w:p>
        </w:tc>
        <w:tc>
          <w:tcPr>
            <w:tcW w:w="3484" w:type="pct"/>
            <w:vAlign w:val="center"/>
          </w:tcPr>
          <w:p w14:paraId="0F955033">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完全理解并响应招标文件合同条款的要求，且未含有采购人不能接受的附加条件的。</w:t>
            </w:r>
          </w:p>
        </w:tc>
      </w:tr>
      <w:tr w14:paraId="67997F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6AF4C82F">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电子投标文件雷同性分析</w:t>
            </w:r>
          </w:p>
        </w:tc>
        <w:tc>
          <w:tcPr>
            <w:tcW w:w="3484" w:type="pct"/>
            <w:vAlign w:val="center"/>
          </w:tcPr>
          <w:p w14:paraId="5E1D7814">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电子投标文件的“文件制作机器码”和“文件创建标识码”通过评标系统的雷同性分析。</w:t>
            </w:r>
          </w:p>
        </w:tc>
      </w:tr>
      <w:tr w14:paraId="1D81205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74B21A80">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w:t>
            </w:r>
          </w:p>
        </w:tc>
        <w:tc>
          <w:tcPr>
            <w:tcW w:w="3484" w:type="pct"/>
            <w:vAlign w:val="center"/>
          </w:tcPr>
          <w:p w14:paraId="020A21BA">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完全理解并接受法律法规和招标文件对供应商合法经营的各类规约和责任义务要求，没有出现法律法规或招标文件规定的其他无效情形。</w:t>
            </w:r>
          </w:p>
        </w:tc>
      </w:tr>
    </w:tbl>
    <w:p w14:paraId="76E3D888">
      <w:pPr>
        <w:keepNext w:val="0"/>
        <w:keepLines w:val="0"/>
        <w:pageBreakBefore w:val="0"/>
        <w:tabs>
          <w:tab w:val="left" w:pos="0"/>
        </w:tabs>
        <w:kinsoku/>
        <w:wordWrap/>
        <w:overflowPunct/>
        <w:topLinePunct w:val="0"/>
        <w:bidi w:val="0"/>
        <w:adjustRightInd/>
        <w:snapToGrid/>
        <w:spacing w:line="360" w:lineRule="auto"/>
        <w:jc w:val="both"/>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br w:type="page"/>
      </w:r>
    </w:p>
    <w:p w14:paraId="1F86A066">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附件2</w:t>
      </w:r>
    </w:p>
    <w:p w14:paraId="24BF90CB">
      <w:pPr>
        <w:pStyle w:val="31"/>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outlineLvl w:val="2"/>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评审因素量化赋分表</w:t>
      </w:r>
    </w:p>
    <w:tbl>
      <w:tblPr>
        <w:tblStyle w:val="32"/>
        <w:tblW w:w="552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7"/>
        <w:gridCol w:w="8063"/>
        <w:gridCol w:w="900"/>
      </w:tblGrid>
      <w:tr w14:paraId="1BDC6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632" w:type="pct"/>
            <w:noWrap w:val="0"/>
            <w:vAlign w:val="center"/>
          </w:tcPr>
          <w:p w14:paraId="11579A7A">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评分因素</w:t>
            </w:r>
          </w:p>
        </w:tc>
        <w:tc>
          <w:tcPr>
            <w:tcW w:w="3929" w:type="pct"/>
            <w:noWrap w:val="0"/>
            <w:vAlign w:val="center"/>
          </w:tcPr>
          <w:p w14:paraId="1323FACE">
            <w:pPr>
              <w:ind w:left="480" w:hanging="480" w:hanging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评分标准</w:t>
            </w:r>
          </w:p>
        </w:tc>
        <w:tc>
          <w:tcPr>
            <w:tcW w:w="438" w:type="pct"/>
            <w:noWrap w:val="0"/>
            <w:vAlign w:val="center"/>
          </w:tcPr>
          <w:p w14:paraId="3DEC239C">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客观/主观</w:t>
            </w:r>
          </w:p>
        </w:tc>
      </w:tr>
      <w:tr w14:paraId="3D57B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pct"/>
            <w:noWrap w:val="0"/>
            <w:vAlign w:val="center"/>
          </w:tcPr>
          <w:p w14:paraId="694579FB">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p w14:paraId="109449B9">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35</w:t>
            </w:r>
            <w:r>
              <w:rPr>
                <w:rFonts w:hint="eastAsia" w:ascii="仿宋" w:hAnsi="仿宋" w:eastAsia="仿宋" w:cs="仿宋"/>
                <w:color w:val="auto"/>
                <w:sz w:val="24"/>
                <w:szCs w:val="24"/>
                <w:highlight w:val="none"/>
              </w:rPr>
              <w:t>分）</w:t>
            </w:r>
          </w:p>
        </w:tc>
        <w:tc>
          <w:tcPr>
            <w:tcW w:w="3929" w:type="pct"/>
            <w:noWrap w:val="0"/>
            <w:vAlign w:val="center"/>
          </w:tcPr>
          <w:p w14:paraId="1F34B7E0">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.经初审合格的投标文件，通过符合性审查的投标报价为有效投标价。对符合政策性扣减的有效投标报价进行政策性扣减，并依据扣减后的价格（评审价格）进行价格评审。</w:t>
            </w:r>
          </w:p>
          <w:p w14:paraId="07E0646F">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有效最低报价为基准价得</w:t>
            </w:r>
            <w:r>
              <w:rPr>
                <w:rFonts w:hint="eastAsia" w:ascii="仿宋" w:hAnsi="仿宋" w:eastAsia="仿宋" w:cs="仿宋"/>
                <w:color w:val="auto"/>
                <w:sz w:val="24"/>
                <w:szCs w:val="24"/>
                <w:highlight w:val="none"/>
                <w:lang w:val="en-US" w:eastAsia="zh-CN"/>
              </w:rPr>
              <w:t>35</w:t>
            </w:r>
            <w:r>
              <w:rPr>
                <w:rFonts w:hint="eastAsia" w:ascii="仿宋" w:hAnsi="仿宋" w:eastAsia="仿宋" w:cs="仿宋"/>
                <w:color w:val="auto"/>
                <w:sz w:val="24"/>
                <w:szCs w:val="24"/>
                <w:highlight w:val="none"/>
              </w:rPr>
              <w:t>分。</w:t>
            </w:r>
          </w:p>
          <w:p w14:paraId="038EE2D5">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报价得分=（基准价/有效投标报价）×</w:t>
            </w:r>
            <w:r>
              <w:rPr>
                <w:rFonts w:hint="eastAsia" w:ascii="仿宋" w:hAnsi="仿宋" w:eastAsia="仿宋" w:cs="仿宋"/>
                <w:color w:val="auto"/>
                <w:sz w:val="24"/>
                <w:szCs w:val="24"/>
                <w:highlight w:val="none"/>
                <w:lang w:val="en-US" w:eastAsia="zh-CN"/>
              </w:rPr>
              <w:t>35</w:t>
            </w:r>
            <w:r>
              <w:rPr>
                <w:rFonts w:hint="eastAsia" w:ascii="仿宋" w:hAnsi="仿宋" w:eastAsia="仿宋" w:cs="仿宋"/>
                <w:color w:val="auto"/>
                <w:sz w:val="24"/>
                <w:szCs w:val="24"/>
                <w:highlight w:val="none"/>
              </w:rPr>
              <w:t>。</w:t>
            </w:r>
          </w:p>
          <w:p w14:paraId="174B6148">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投标报价不完整的，不进入评标基准价的计算，本项得0分。</w:t>
            </w:r>
          </w:p>
        </w:tc>
        <w:tc>
          <w:tcPr>
            <w:tcW w:w="438" w:type="pct"/>
            <w:noWrap w:val="0"/>
            <w:vAlign w:val="center"/>
          </w:tcPr>
          <w:p w14:paraId="74FE75AF">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客观</w:t>
            </w:r>
          </w:p>
        </w:tc>
      </w:tr>
      <w:tr w14:paraId="12D1A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pct"/>
            <w:noWrap w:val="0"/>
            <w:vAlign w:val="center"/>
          </w:tcPr>
          <w:p w14:paraId="5247341E">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生产仓储能力</w:t>
            </w:r>
          </w:p>
          <w:p w14:paraId="65A18DD8">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（8分）</w:t>
            </w:r>
          </w:p>
        </w:tc>
        <w:tc>
          <w:tcPr>
            <w:tcW w:w="3929" w:type="pct"/>
            <w:noWrap w:val="0"/>
            <w:vAlign w:val="center"/>
          </w:tcPr>
          <w:p w14:paraId="3D24A2DD">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投标人</w:t>
            </w:r>
            <w:r>
              <w:rPr>
                <w:rFonts w:hint="eastAsia" w:ascii="仿宋" w:hAnsi="仿宋" w:eastAsia="仿宋" w:cs="仿宋"/>
                <w:color w:val="auto"/>
                <w:sz w:val="24"/>
                <w:szCs w:val="24"/>
                <w:highlight w:val="none"/>
                <w:lang w:val="en-US" w:eastAsia="zh-CN"/>
              </w:rPr>
              <w:t>所投</w:t>
            </w:r>
            <w:r>
              <w:rPr>
                <w:rFonts w:hint="eastAsia" w:ascii="仿宋" w:hAnsi="仿宋" w:eastAsia="仿宋" w:cs="仿宋"/>
                <w:color w:val="auto"/>
                <w:sz w:val="24"/>
                <w:szCs w:val="24"/>
                <w:highlight w:val="none"/>
              </w:rPr>
              <w:t>中药饮片</w:t>
            </w:r>
            <w:r>
              <w:rPr>
                <w:rFonts w:hint="eastAsia" w:ascii="仿宋" w:hAnsi="仿宋" w:eastAsia="仿宋" w:cs="仿宋"/>
                <w:color w:val="auto"/>
                <w:sz w:val="24"/>
                <w:szCs w:val="24"/>
                <w:highlight w:val="none"/>
                <w:lang w:val="en-US" w:eastAsia="zh-CN"/>
              </w:rPr>
              <w:t>的生产企业须具备饮片仓储能力和合理的仓储区域划分（如标本室、留样室、仓储室、冷藏室等），提供仓储地证明材料，包括但不限于实地照片、房产证明或房屋租赁合同、分区介绍等。本项满分为3分，资料提供不全不得分。</w:t>
            </w:r>
          </w:p>
          <w:p w14:paraId="6D70372B">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2.投标人或任一生产厂家应具有保障药品质量及安全的仓储条件，仓储现场具有智能温控系统得3分，具有阴凉库得2分，本项最多得5分。</w:t>
            </w:r>
          </w:p>
          <w:p w14:paraId="7E014772">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注：（1）提供智能温控系统设备图片及任意一张操作界面加盖投标人电子签章。（2）提供阴凉库图片加盖供应商电子签章。</w:t>
            </w:r>
          </w:p>
        </w:tc>
        <w:tc>
          <w:tcPr>
            <w:tcW w:w="438" w:type="pct"/>
            <w:noWrap w:val="0"/>
            <w:vAlign w:val="center"/>
          </w:tcPr>
          <w:p w14:paraId="2497423D">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客观</w:t>
            </w:r>
          </w:p>
        </w:tc>
      </w:tr>
      <w:tr w14:paraId="091F6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pct"/>
            <w:noWrap w:val="0"/>
            <w:vAlign w:val="center"/>
          </w:tcPr>
          <w:p w14:paraId="75DCD473">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配送能力</w:t>
            </w:r>
          </w:p>
          <w:p w14:paraId="41DA342E">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（3分）</w:t>
            </w:r>
          </w:p>
        </w:tc>
        <w:tc>
          <w:tcPr>
            <w:tcW w:w="3929" w:type="pct"/>
            <w:noWrap w:val="0"/>
            <w:vAlign w:val="center"/>
          </w:tcPr>
          <w:p w14:paraId="340733E3">
            <w:pPr>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投标人</w:t>
            </w:r>
            <w:r>
              <w:rPr>
                <w:rFonts w:hint="eastAsia" w:ascii="仿宋" w:hAnsi="仿宋" w:eastAsia="仿宋" w:cs="仿宋"/>
                <w:color w:val="auto"/>
                <w:sz w:val="24"/>
                <w:szCs w:val="24"/>
                <w:highlight w:val="none"/>
                <w:lang w:val="en-US" w:eastAsia="zh-CN"/>
              </w:rPr>
              <w:t>自有或租赁</w:t>
            </w:r>
            <w:r>
              <w:rPr>
                <w:rFonts w:hint="eastAsia" w:ascii="仿宋" w:hAnsi="仿宋" w:eastAsia="仿宋" w:cs="仿宋"/>
                <w:color w:val="auto"/>
                <w:sz w:val="24"/>
                <w:szCs w:val="24"/>
                <w:highlight w:val="none"/>
              </w:rPr>
              <w:t>配送物流运输车辆：</w:t>
            </w:r>
            <w:r>
              <w:rPr>
                <w:rFonts w:hint="eastAsia" w:ascii="仿宋" w:hAnsi="仿宋" w:eastAsia="仿宋" w:cs="仿宋"/>
                <w:color w:val="auto"/>
                <w:sz w:val="24"/>
                <w:szCs w:val="24"/>
                <w:highlight w:val="none"/>
                <w:lang w:val="en-US" w:eastAsia="zh-CN"/>
              </w:rPr>
              <w:t>每提供</w:t>
            </w:r>
            <w:r>
              <w:rPr>
                <w:rFonts w:hint="eastAsia" w:ascii="仿宋" w:hAnsi="仿宋" w:eastAsia="仿宋" w:cs="仿宋"/>
                <w:color w:val="auto"/>
                <w:sz w:val="24"/>
                <w:szCs w:val="24"/>
                <w:highlight w:val="none"/>
              </w:rPr>
              <w:t>1台加1分，最高得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自有车辆需提供年检有效的车辆</w:t>
            </w:r>
            <w:r>
              <w:rPr>
                <w:rFonts w:hint="eastAsia" w:ascii="仿宋" w:hAnsi="仿宋" w:eastAsia="仿宋" w:cs="仿宋"/>
                <w:color w:val="auto"/>
                <w:sz w:val="24"/>
                <w:szCs w:val="24"/>
                <w:highlight w:val="none"/>
              </w:rPr>
              <w:t>行驶证（机动车所有人为投标人）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租赁车辆需提供租赁协议及</w:t>
            </w:r>
            <w:r>
              <w:rPr>
                <w:rFonts w:hint="eastAsia" w:ascii="仿宋" w:hAnsi="仿宋" w:eastAsia="仿宋" w:cs="仿宋"/>
                <w:color w:val="auto"/>
                <w:sz w:val="24"/>
                <w:szCs w:val="24"/>
                <w:highlight w:val="none"/>
              </w:rPr>
              <w:t>年检有效的</w:t>
            </w:r>
            <w:r>
              <w:rPr>
                <w:rFonts w:hint="eastAsia" w:ascii="仿宋" w:hAnsi="仿宋" w:eastAsia="仿宋" w:cs="仿宋"/>
                <w:color w:val="auto"/>
                <w:sz w:val="24"/>
                <w:szCs w:val="24"/>
                <w:highlight w:val="none"/>
                <w:lang w:val="en-US" w:eastAsia="zh-CN"/>
              </w:rPr>
              <w:t>车辆行驶证；</w:t>
            </w:r>
          </w:p>
          <w:p w14:paraId="5B58AFC2">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需提供配送车辆</w:t>
            </w:r>
            <w:r>
              <w:rPr>
                <w:rFonts w:hint="eastAsia" w:ascii="仿宋" w:hAnsi="仿宋" w:eastAsia="仿宋" w:cs="仿宋"/>
                <w:color w:val="auto"/>
                <w:sz w:val="24"/>
                <w:szCs w:val="24"/>
                <w:highlight w:val="none"/>
                <w:lang w:val="en-US" w:eastAsia="zh-CN"/>
              </w:rPr>
              <w:t>照片。</w:t>
            </w:r>
          </w:p>
          <w:p w14:paraId="0B47C3E7">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未提供或提供的</w:t>
            </w:r>
            <w:r>
              <w:rPr>
                <w:rFonts w:hint="eastAsia" w:ascii="仿宋" w:hAnsi="仿宋" w:eastAsia="仿宋" w:cs="仿宋"/>
                <w:color w:val="auto"/>
                <w:sz w:val="24"/>
                <w:szCs w:val="24"/>
                <w:highlight w:val="none"/>
                <w:lang w:val="en-US" w:eastAsia="zh-CN"/>
              </w:rPr>
              <w:t>资料</w:t>
            </w:r>
            <w:r>
              <w:rPr>
                <w:rFonts w:hint="eastAsia" w:ascii="仿宋" w:hAnsi="仿宋" w:eastAsia="仿宋" w:cs="仿宋"/>
                <w:color w:val="auto"/>
                <w:sz w:val="24"/>
                <w:szCs w:val="24"/>
                <w:highlight w:val="none"/>
              </w:rPr>
              <w:t>不齐全、不清晰不得分。</w:t>
            </w:r>
          </w:p>
        </w:tc>
        <w:tc>
          <w:tcPr>
            <w:tcW w:w="438" w:type="pct"/>
            <w:noWrap w:val="0"/>
            <w:vAlign w:val="center"/>
          </w:tcPr>
          <w:p w14:paraId="31A691E9">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客观</w:t>
            </w:r>
          </w:p>
        </w:tc>
      </w:tr>
      <w:tr w14:paraId="67BA8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pct"/>
            <w:noWrap w:val="0"/>
            <w:vAlign w:val="center"/>
          </w:tcPr>
          <w:p w14:paraId="25843EF0">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专业人员配置</w:t>
            </w:r>
          </w:p>
          <w:p w14:paraId="11D4D657">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（8分）</w:t>
            </w:r>
          </w:p>
        </w:tc>
        <w:tc>
          <w:tcPr>
            <w:tcW w:w="3929" w:type="pct"/>
            <w:noWrap w:val="0"/>
            <w:vAlign w:val="center"/>
          </w:tcPr>
          <w:p w14:paraId="7DFED4BE">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项目负责人1人：具备中药类专业高级职称的得4分，具备中药类专业中级职称或注册执业药师的得2分；本项最多得4分。</w:t>
            </w:r>
          </w:p>
          <w:p w14:paraId="05344333">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2.团队其他人员</w:t>
            </w:r>
            <w:r>
              <w:rPr>
                <w:rFonts w:hint="eastAsia" w:ascii="仿宋" w:hAnsi="仿宋" w:eastAsia="仿宋" w:cs="仿宋"/>
                <w:color w:val="auto"/>
                <w:sz w:val="24"/>
                <w:szCs w:val="24"/>
                <w:highlight w:val="none"/>
              </w:rPr>
              <w:t>至少投入2人，并且具备医药类中级职称</w:t>
            </w:r>
            <w:r>
              <w:rPr>
                <w:rFonts w:hint="eastAsia" w:ascii="仿宋" w:hAnsi="仿宋" w:eastAsia="仿宋" w:cs="仿宋"/>
                <w:color w:val="auto"/>
                <w:sz w:val="24"/>
                <w:szCs w:val="24"/>
                <w:highlight w:val="none"/>
                <w:lang w:val="en-US" w:eastAsia="zh-CN"/>
              </w:rPr>
              <w:t>或执业药师资质</w:t>
            </w:r>
            <w:r>
              <w:rPr>
                <w:rFonts w:hint="eastAsia" w:ascii="仿宋" w:hAnsi="仿宋" w:eastAsia="仿宋" w:cs="仿宋"/>
                <w:color w:val="auto"/>
                <w:sz w:val="24"/>
                <w:szCs w:val="24"/>
                <w:highlight w:val="none"/>
              </w:rPr>
              <w:t>其中至少一人有中药学教</w:t>
            </w:r>
            <w:r>
              <w:rPr>
                <w:rFonts w:hint="eastAsia" w:ascii="仿宋" w:hAnsi="仿宋" w:eastAsia="仿宋" w:cs="仿宋"/>
                <w:color w:val="auto"/>
                <w:sz w:val="24"/>
                <w:szCs w:val="24"/>
                <w:highlight w:val="none"/>
                <w:lang w:val="en-US" w:eastAsia="zh-CN"/>
              </w:rPr>
              <w:t>育</w:t>
            </w:r>
            <w:r>
              <w:rPr>
                <w:rFonts w:hint="eastAsia" w:ascii="仿宋" w:hAnsi="仿宋" w:eastAsia="仿宋" w:cs="仿宋"/>
                <w:color w:val="auto"/>
                <w:sz w:val="24"/>
                <w:szCs w:val="24"/>
                <w:highlight w:val="none"/>
              </w:rPr>
              <w:t>背景，</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人员不全或不符合要求此项不得分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得2分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在此基础上每增加1个具备医药类中级职称</w:t>
            </w:r>
            <w:r>
              <w:rPr>
                <w:rFonts w:hint="eastAsia" w:ascii="仿宋" w:hAnsi="仿宋" w:eastAsia="仿宋" w:cs="仿宋"/>
                <w:color w:val="auto"/>
                <w:sz w:val="24"/>
                <w:szCs w:val="24"/>
                <w:highlight w:val="none"/>
                <w:lang w:val="en-US" w:eastAsia="zh-CN"/>
              </w:rPr>
              <w:t>或执业药师</w:t>
            </w:r>
            <w:r>
              <w:rPr>
                <w:rFonts w:hint="eastAsia" w:ascii="仿宋" w:hAnsi="仿宋" w:eastAsia="仿宋" w:cs="仿宋"/>
                <w:color w:val="auto"/>
                <w:sz w:val="24"/>
                <w:szCs w:val="24"/>
                <w:highlight w:val="none"/>
              </w:rPr>
              <w:t>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分，最高得</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p>
          <w:p w14:paraId="764274C4">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注：需提证书复印件及人员社保</w:t>
            </w:r>
            <w:r>
              <w:rPr>
                <w:rFonts w:hint="eastAsia" w:ascii="仿宋" w:hAnsi="仿宋" w:eastAsia="仿宋" w:cs="仿宋"/>
                <w:color w:val="auto"/>
                <w:sz w:val="24"/>
                <w:szCs w:val="24"/>
                <w:highlight w:val="none"/>
                <w:lang w:val="en-US" w:eastAsia="zh-CN"/>
              </w:rPr>
              <w:t>缴费证明或银行出具的工资流水证明材料</w:t>
            </w:r>
            <w:r>
              <w:rPr>
                <w:rFonts w:hint="eastAsia" w:ascii="仿宋" w:hAnsi="仿宋" w:eastAsia="仿宋" w:cs="仿宋"/>
                <w:color w:val="auto"/>
                <w:sz w:val="24"/>
                <w:szCs w:val="24"/>
                <w:highlight w:val="none"/>
              </w:rPr>
              <w:t>（至少提供投标截止时间前</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个月），未提供或提供的证件不齐全、不清晰不得分。</w:t>
            </w:r>
          </w:p>
        </w:tc>
        <w:tc>
          <w:tcPr>
            <w:tcW w:w="438" w:type="pct"/>
            <w:noWrap w:val="0"/>
            <w:vAlign w:val="center"/>
          </w:tcPr>
          <w:p w14:paraId="1E88EB64">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客观</w:t>
            </w:r>
          </w:p>
        </w:tc>
      </w:tr>
      <w:tr w14:paraId="6ADD2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pct"/>
            <w:noWrap w:val="0"/>
            <w:vAlign w:val="center"/>
          </w:tcPr>
          <w:p w14:paraId="6070D57A">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质量保证</w:t>
            </w:r>
          </w:p>
          <w:p w14:paraId="3F239301">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（4分）</w:t>
            </w:r>
          </w:p>
        </w:tc>
        <w:tc>
          <w:tcPr>
            <w:tcW w:w="3929" w:type="pct"/>
            <w:noWrap w:val="0"/>
            <w:vAlign w:val="center"/>
          </w:tcPr>
          <w:p w14:paraId="58B590F2">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生产企业已注册陕西省中药材追溯服务平台得</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分；注：提供加盖公章的网上截图。</w:t>
            </w:r>
          </w:p>
          <w:p w14:paraId="337F33E9">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2025年1月1日以来，投标人所投产品生产企业在国家、省、市药品监督管理局《药品质量公告》中未出现过药品召回、消费警告、抽检信息产品不合格或通报的得2分；注：提供承诺函并电子签章，格式自拟。</w:t>
            </w:r>
          </w:p>
        </w:tc>
        <w:tc>
          <w:tcPr>
            <w:tcW w:w="438" w:type="pct"/>
            <w:noWrap w:val="0"/>
            <w:vAlign w:val="center"/>
          </w:tcPr>
          <w:p w14:paraId="74B8BE38">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客观</w:t>
            </w:r>
          </w:p>
        </w:tc>
      </w:tr>
      <w:tr w14:paraId="26462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pct"/>
            <w:noWrap w:val="0"/>
            <w:vAlign w:val="center"/>
          </w:tcPr>
          <w:p w14:paraId="60C1E903">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安全性指标达标证明</w:t>
            </w:r>
          </w:p>
          <w:p w14:paraId="6AE72842">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（6分）</w:t>
            </w:r>
          </w:p>
        </w:tc>
        <w:tc>
          <w:tcPr>
            <w:tcW w:w="3929" w:type="pct"/>
            <w:noWrap w:val="0"/>
            <w:vAlign w:val="center"/>
          </w:tcPr>
          <w:p w14:paraId="4633F2E9">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提供</w:t>
            </w:r>
            <w:r>
              <w:rPr>
                <w:rFonts w:hint="eastAsia" w:ascii="仿宋" w:hAnsi="仿宋" w:eastAsia="仿宋" w:cs="仿宋"/>
                <w:color w:val="auto"/>
                <w:sz w:val="24"/>
                <w:szCs w:val="24"/>
                <w:highlight w:val="none"/>
                <w:lang w:val="en-US" w:eastAsia="zh-CN"/>
              </w:rPr>
              <w:t>核心产品投标截止日前12</w:t>
            </w:r>
            <w:r>
              <w:rPr>
                <w:rFonts w:hint="eastAsia" w:ascii="仿宋" w:hAnsi="仿宋" w:eastAsia="仿宋" w:cs="仿宋"/>
                <w:color w:val="auto"/>
                <w:sz w:val="24"/>
                <w:szCs w:val="24"/>
                <w:highlight w:val="none"/>
                <w:lang w:eastAsia="zh-CN"/>
              </w:rPr>
              <w:t>个月的</w:t>
            </w:r>
            <w:r>
              <w:rPr>
                <w:rFonts w:hint="eastAsia" w:ascii="仿宋" w:hAnsi="仿宋" w:eastAsia="仿宋" w:cs="仿宋"/>
                <w:color w:val="auto"/>
                <w:sz w:val="24"/>
                <w:szCs w:val="24"/>
                <w:highlight w:val="none"/>
                <w:lang w:val="en-US" w:eastAsia="zh-CN"/>
              </w:rPr>
              <w:t>符合《中国药典》或省级中药饮片炮制规范，中药材（饮片）标准的</w:t>
            </w:r>
            <w:r>
              <w:rPr>
                <w:rFonts w:hint="eastAsia" w:ascii="仿宋" w:hAnsi="仿宋" w:eastAsia="仿宋" w:cs="仿宋"/>
                <w:color w:val="auto"/>
                <w:sz w:val="24"/>
                <w:szCs w:val="24"/>
                <w:highlight w:val="none"/>
                <w:lang w:eastAsia="zh-CN"/>
              </w:rPr>
              <w:t>检测报告（附质量标准）：</w:t>
            </w:r>
          </w:p>
          <w:p w14:paraId="6DA2A7A7">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1.由第三方检测机构出具的报告，1个品种得2分，；</w:t>
            </w:r>
          </w:p>
          <w:p w14:paraId="7B081694">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2.企业自检报告的1个品种得1.5分;</w:t>
            </w:r>
          </w:p>
          <w:p w14:paraId="10A9E501">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本项满分6分。单品种按第1、2项最高分计，不重复计分；未提供或不全不得分。</w:t>
            </w:r>
          </w:p>
        </w:tc>
        <w:tc>
          <w:tcPr>
            <w:tcW w:w="438" w:type="pct"/>
            <w:noWrap w:val="0"/>
            <w:vAlign w:val="center"/>
          </w:tcPr>
          <w:p w14:paraId="29D92263">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客观</w:t>
            </w:r>
          </w:p>
        </w:tc>
      </w:tr>
      <w:tr w14:paraId="1F4E9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pct"/>
            <w:noWrap w:val="0"/>
            <w:vAlign w:val="center"/>
          </w:tcPr>
          <w:p w14:paraId="48C4F595">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药材来源可靠性证明</w:t>
            </w:r>
          </w:p>
          <w:p w14:paraId="37F02D5A">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（8分）</w:t>
            </w:r>
          </w:p>
        </w:tc>
        <w:tc>
          <w:tcPr>
            <w:tcW w:w="3929" w:type="pct"/>
            <w:noWrap w:val="0"/>
            <w:vAlign w:val="center"/>
          </w:tcPr>
          <w:p w14:paraId="2CBAE0FC">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针对本项目核心产品提供饮片来源等质量可靠性证明；包括</w:t>
            </w:r>
            <w:r>
              <w:rPr>
                <w:rFonts w:hint="eastAsia" w:ascii="仿宋" w:hAnsi="仿宋" w:eastAsia="仿宋" w:cs="仿宋"/>
                <w:color w:val="auto"/>
                <w:sz w:val="24"/>
                <w:szCs w:val="24"/>
                <w:highlight w:val="none"/>
              </w:rPr>
              <w:t>①中药饮片产地信息（注明具体产地</w:t>
            </w:r>
            <w:r>
              <w:rPr>
                <w:rFonts w:hint="eastAsia" w:ascii="仿宋" w:hAnsi="仿宋" w:eastAsia="仿宋" w:cs="仿宋"/>
                <w:color w:val="auto"/>
                <w:sz w:val="24"/>
                <w:szCs w:val="24"/>
                <w:highlight w:val="none"/>
                <w:lang w:eastAsia="zh-CN"/>
              </w:rPr>
              <w:t>、基源、种植过程</w:t>
            </w:r>
            <w:r>
              <w:rPr>
                <w:rFonts w:hint="eastAsia" w:ascii="仿宋" w:hAnsi="仿宋" w:eastAsia="仿宋" w:cs="仿宋"/>
                <w:color w:val="auto"/>
                <w:sz w:val="24"/>
                <w:szCs w:val="24"/>
                <w:highlight w:val="none"/>
              </w:rPr>
              <w:t>）②中药饮片生产信息（包括执行标准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炮制</w:t>
            </w:r>
            <w:r>
              <w:rPr>
                <w:rFonts w:hint="eastAsia" w:ascii="仿宋" w:hAnsi="仿宋" w:eastAsia="仿宋" w:cs="仿宋"/>
                <w:color w:val="auto"/>
                <w:sz w:val="24"/>
                <w:szCs w:val="24"/>
                <w:highlight w:val="none"/>
                <w:lang w:eastAsia="zh-CN"/>
              </w:rPr>
              <w:t>工艺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生产记录</w:t>
            </w:r>
            <w:r>
              <w:rPr>
                <w:rFonts w:hint="eastAsia" w:ascii="仿宋" w:hAnsi="仿宋" w:eastAsia="仿宋" w:cs="仿宋"/>
                <w:color w:val="auto"/>
                <w:sz w:val="24"/>
                <w:szCs w:val="24"/>
                <w:highlight w:val="none"/>
              </w:rPr>
              <w:t>等</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；③中药饮片</w:t>
            </w:r>
            <w:r>
              <w:rPr>
                <w:rFonts w:hint="eastAsia" w:ascii="仿宋" w:hAnsi="仿宋" w:eastAsia="仿宋" w:cs="仿宋"/>
                <w:color w:val="auto"/>
                <w:sz w:val="24"/>
                <w:szCs w:val="24"/>
                <w:highlight w:val="none"/>
                <w:lang w:eastAsia="zh-CN"/>
              </w:rPr>
              <w:t>质量</w:t>
            </w:r>
            <w:r>
              <w:rPr>
                <w:rFonts w:hint="eastAsia" w:ascii="仿宋" w:hAnsi="仿宋" w:eastAsia="仿宋" w:cs="仿宋"/>
                <w:color w:val="auto"/>
                <w:sz w:val="24"/>
                <w:szCs w:val="24"/>
                <w:highlight w:val="none"/>
              </w:rPr>
              <w:t>检验信息</w:t>
            </w:r>
            <w:r>
              <w:rPr>
                <w:rFonts w:hint="eastAsia" w:ascii="仿宋" w:hAnsi="仿宋" w:eastAsia="仿宋" w:cs="仿宋"/>
                <w:color w:val="auto"/>
                <w:sz w:val="24"/>
                <w:szCs w:val="24"/>
                <w:highlight w:val="none"/>
                <w:lang w:eastAsia="zh-CN"/>
              </w:rPr>
              <w:t>并</w:t>
            </w:r>
            <w:r>
              <w:rPr>
                <w:rFonts w:hint="eastAsia" w:ascii="仿宋" w:hAnsi="仿宋" w:eastAsia="仿宋" w:cs="仿宋"/>
                <w:color w:val="auto"/>
                <w:sz w:val="24"/>
                <w:szCs w:val="24"/>
                <w:highlight w:val="none"/>
              </w:rPr>
              <w:t>附有</w:t>
            </w:r>
            <w:r>
              <w:rPr>
                <w:rFonts w:hint="eastAsia" w:ascii="仿宋" w:hAnsi="仿宋" w:eastAsia="仿宋" w:cs="仿宋"/>
                <w:color w:val="auto"/>
                <w:sz w:val="24"/>
                <w:szCs w:val="24"/>
                <w:highlight w:val="none"/>
                <w:lang w:eastAsia="zh-CN"/>
              </w:rPr>
              <w:t>所执行</w:t>
            </w:r>
            <w:r>
              <w:rPr>
                <w:rFonts w:hint="eastAsia" w:ascii="仿宋" w:hAnsi="仿宋" w:eastAsia="仿宋" w:cs="仿宋"/>
                <w:color w:val="auto"/>
                <w:sz w:val="24"/>
                <w:szCs w:val="24"/>
                <w:highlight w:val="none"/>
                <w:lang w:val="en-US" w:eastAsia="zh-CN"/>
              </w:rPr>
              <w:t>的质量标准（中国药典或省级标准）</w:t>
            </w:r>
            <w:r>
              <w:rPr>
                <w:rFonts w:hint="eastAsia" w:ascii="仿宋" w:hAnsi="仿宋" w:eastAsia="仿宋" w:cs="仿宋"/>
                <w:color w:val="auto"/>
                <w:sz w:val="24"/>
                <w:szCs w:val="24"/>
                <w:highlight w:val="none"/>
              </w:rPr>
              <w:t>④中药饮片</w:t>
            </w:r>
            <w:r>
              <w:rPr>
                <w:rFonts w:hint="eastAsia" w:ascii="仿宋" w:hAnsi="仿宋" w:eastAsia="仿宋" w:cs="仿宋"/>
                <w:color w:val="auto"/>
                <w:sz w:val="24"/>
                <w:szCs w:val="24"/>
                <w:highlight w:val="none"/>
                <w:lang w:eastAsia="zh-CN"/>
              </w:rPr>
              <w:t>标签</w:t>
            </w:r>
            <w:r>
              <w:rPr>
                <w:rFonts w:hint="eastAsia" w:ascii="仿宋" w:hAnsi="仿宋" w:eastAsia="仿宋" w:cs="仿宋"/>
                <w:color w:val="auto"/>
                <w:sz w:val="24"/>
                <w:szCs w:val="24"/>
                <w:highlight w:val="none"/>
              </w:rPr>
              <w:t>信息</w:t>
            </w:r>
            <w:r>
              <w:rPr>
                <w:rFonts w:hint="eastAsia" w:ascii="仿宋" w:hAnsi="仿宋" w:eastAsia="仿宋" w:cs="仿宋"/>
                <w:color w:val="auto"/>
                <w:sz w:val="24"/>
                <w:szCs w:val="24"/>
                <w:highlight w:val="none"/>
                <w:lang w:eastAsia="zh-CN"/>
              </w:rPr>
              <w:t>符合《中药饮片标签管理规定》</w:t>
            </w:r>
            <w:r>
              <w:rPr>
                <w:rFonts w:hint="eastAsia" w:ascii="仿宋" w:hAnsi="仿宋" w:eastAsia="仿宋" w:cs="仿宋"/>
                <w:color w:val="auto"/>
                <w:sz w:val="24"/>
                <w:szCs w:val="24"/>
                <w:highlight w:val="none"/>
              </w:rPr>
              <w:t>（包括产品名称、批号、生产企业、生产日期等）</w:t>
            </w:r>
          </w:p>
          <w:p w14:paraId="352EFECD">
            <w:pPr>
              <w:pStyle w:val="11"/>
              <w:ind w:left="0" w:leftChars="0" w:firstLine="0" w:firstLineChars="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每提供一项得2分，满分8分。未提供或不全不得分。</w:t>
            </w:r>
          </w:p>
        </w:tc>
        <w:tc>
          <w:tcPr>
            <w:tcW w:w="438" w:type="pct"/>
            <w:noWrap w:val="0"/>
            <w:vAlign w:val="center"/>
          </w:tcPr>
          <w:p w14:paraId="41D0E20A">
            <w:pPr>
              <w:pStyle w:val="11"/>
              <w:ind w:left="0" w:leftChars="0" w:firstLine="0" w:firstLine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0"/>
                <w:sz w:val="24"/>
                <w:szCs w:val="24"/>
                <w:highlight w:val="none"/>
                <w:lang w:val="en-US" w:eastAsia="zh-CN" w:bidi="ar-SA"/>
              </w:rPr>
              <w:t>客观</w:t>
            </w:r>
          </w:p>
        </w:tc>
      </w:tr>
      <w:tr w14:paraId="1C5C5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pct"/>
            <w:shd w:val="clear" w:color="auto" w:fill="auto"/>
            <w:noWrap w:val="0"/>
            <w:vAlign w:val="center"/>
          </w:tcPr>
          <w:p w14:paraId="3E57457F">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业绩</w:t>
            </w:r>
          </w:p>
          <w:p w14:paraId="2198E181">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（8分）</w:t>
            </w:r>
          </w:p>
        </w:tc>
        <w:tc>
          <w:tcPr>
            <w:tcW w:w="3929" w:type="pct"/>
            <w:shd w:val="clear" w:color="auto" w:fill="auto"/>
            <w:noWrap w:val="0"/>
            <w:vAlign w:val="center"/>
          </w:tcPr>
          <w:p w14:paraId="676E52B8">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月1日</w:t>
            </w:r>
            <w:r>
              <w:rPr>
                <w:rFonts w:hint="eastAsia" w:ascii="仿宋" w:hAnsi="仿宋" w:eastAsia="仿宋" w:cs="仿宋"/>
                <w:color w:val="auto"/>
                <w:sz w:val="24"/>
                <w:szCs w:val="24"/>
                <w:highlight w:val="none"/>
                <w:lang w:val="en-US" w:eastAsia="zh-CN"/>
              </w:rPr>
              <w:t>至今</w:t>
            </w:r>
            <w:r>
              <w:rPr>
                <w:rFonts w:hint="eastAsia" w:ascii="仿宋" w:hAnsi="仿宋" w:eastAsia="仿宋" w:cs="仿宋"/>
                <w:color w:val="auto"/>
                <w:sz w:val="24"/>
                <w:szCs w:val="24"/>
                <w:highlight w:val="none"/>
              </w:rPr>
              <w:t>类似项目业绩（以合同签订日期为准）每1份符合类似项目业绩合同计</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分，满分</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w:t>
            </w:r>
          </w:p>
          <w:p w14:paraId="4F4B87FF">
            <w:pPr>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备注：业绩证明（以合同为准，须在投标文件中附合同的扫描件</w:t>
            </w:r>
            <w:r>
              <w:rPr>
                <w:rFonts w:hint="eastAsia" w:ascii="仿宋" w:hAnsi="仿宋" w:eastAsia="仿宋" w:cs="仿宋"/>
                <w:color w:val="auto"/>
                <w:sz w:val="24"/>
                <w:szCs w:val="24"/>
                <w:highlight w:val="none"/>
                <w:lang w:val="en-US" w:eastAsia="zh-CN"/>
              </w:rPr>
              <w:t>及任意合同金额的发票</w:t>
            </w:r>
            <w:r>
              <w:rPr>
                <w:rFonts w:hint="eastAsia" w:ascii="仿宋" w:hAnsi="仿宋" w:eastAsia="仿宋" w:cs="仿宋"/>
                <w:color w:val="auto"/>
                <w:sz w:val="24"/>
                <w:szCs w:val="24"/>
                <w:highlight w:val="none"/>
              </w:rPr>
              <w:t>加盖单位公章）弄虚作假者，取消其中标资格。</w:t>
            </w:r>
          </w:p>
        </w:tc>
        <w:tc>
          <w:tcPr>
            <w:tcW w:w="438" w:type="pct"/>
            <w:shd w:val="clear" w:color="auto" w:fill="auto"/>
            <w:noWrap w:val="0"/>
            <w:vAlign w:val="center"/>
          </w:tcPr>
          <w:p w14:paraId="66D345E1">
            <w:pPr>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客观</w:t>
            </w:r>
          </w:p>
        </w:tc>
      </w:tr>
      <w:tr w14:paraId="3D4EB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632" w:type="pct"/>
            <w:noWrap w:val="0"/>
            <w:vAlign w:val="center"/>
          </w:tcPr>
          <w:p w14:paraId="2012A43D">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实施方案</w:t>
            </w:r>
          </w:p>
          <w:p w14:paraId="284E05A1">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（5分）</w:t>
            </w:r>
          </w:p>
        </w:tc>
        <w:tc>
          <w:tcPr>
            <w:tcW w:w="3929" w:type="pct"/>
            <w:noWrap w:val="0"/>
            <w:vAlign w:val="center"/>
          </w:tcPr>
          <w:p w14:paraId="19DA51EC">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针对本项目有详细可行整体实施方案；评审内容：①供货组织安排方案②供货时效性保证措施③运输配送保障方案④质量保障方案⑤</w:t>
            </w:r>
            <w:r>
              <w:rPr>
                <w:rFonts w:hint="eastAsia" w:ascii="仿宋" w:hAnsi="仿宋" w:eastAsia="仿宋" w:cs="仿宋"/>
                <w:color w:val="auto"/>
                <w:sz w:val="24"/>
                <w:szCs w:val="24"/>
                <w:highlight w:val="none"/>
                <w:lang w:val="en-US" w:eastAsia="zh-CN"/>
              </w:rPr>
              <w:t>项目实施承诺</w:t>
            </w:r>
            <w:r>
              <w:rPr>
                <w:rFonts w:hint="eastAsia" w:ascii="仿宋" w:hAnsi="仿宋" w:eastAsia="仿宋" w:cs="仿宋"/>
                <w:color w:val="auto"/>
                <w:sz w:val="24"/>
                <w:szCs w:val="24"/>
                <w:highlight w:val="none"/>
              </w:rPr>
              <w:t>；由评</w:t>
            </w:r>
            <w:r>
              <w:rPr>
                <w:rFonts w:hint="eastAsia" w:ascii="仿宋" w:hAnsi="仿宋" w:eastAsia="仿宋" w:cs="仿宋"/>
                <w:color w:val="auto"/>
                <w:sz w:val="24"/>
                <w:szCs w:val="24"/>
                <w:highlight w:val="none"/>
                <w:lang w:val="en-US" w:eastAsia="zh-CN"/>
              </w:rPr>
              <w:t>标</w:t>
            </w:r>
            <w:r>
              <w:rPr>
                <w:rFonts w:hint="eastAsia" w:ascii="仿宋" w:hAnsi="仿宋" w:eastAsia="仿宋" w:cs="仿宋"/>
                <w:color w:val="auto"/>
                <w:sz w:val="24"/>
                <w:szCs w:val="24"/>
                <w:highlight w:val="none"/>
              </w:rPr>
              <w:t>委员会根据方案及措施进行评审：</w:t>
            </w:r>
          </w:p>
          <w:p w14:paraId="28A1AA06">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（1）每项内容实施方案全面科学、针对性强、可实施性强，得</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p>
          <w:p w14:paraId="631729BC">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（2）每有一处缺项扣</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p>
          <w:p w14:paraId="61577186">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（3）每项有缺陷的扣</w:t>
            </w:r>
            <w:r>
              <w:rPr>
                <w:rFonts w:hint="eastAsia" w:ascii="仿宋" w:hAnsi="仿宋" w:eastAsia="仿宋" w:cs="仿宋"/>
                <w:color w:val="auto"/>
                <w:sz w:val="24"/>
                <w:szCs w:val="24"/>
                <w:highlight w:val="none"/>
                <w:lang w:val="en-US" w:eastAsia="zh-CN"/>
              </w:rPr>
              <w:t>0.5</w:t>
            </w:r>
            <w:r>
              <w:rPr>
                <w:rFonts w:hint="eastAsia" w:ascii="仿宋" w:hAnsi="仿宋" w:eastAsia="仿宋" w:cs="仿宋"/>
                <w:color w:val="auto"/>
                <w:sz w:val="24"/>
                <w:szCs w:val="24"/>
                <w:highlight w:val="none"/>
              </w:rPr>
              <w:t>分（缺陷是指内容粗略、逻辑混乱、描述过于简单、与项目特点不匹配、凭空编造、逻辑漏洞、出现常识性错误、存在不适用项目实际情况的情形或只有标题没有实质性内容等）（4）不提供不得分。</w:t>
            </w:r>
          </w:p>
        </w:tc>
        <w:tc>
          <w:tcPr>
            <w:tcW w:w="438" w:type="pct"/>
            <w:noWrap w:val="0"/>
            <w:vAlign w:val="center"/>
          </w:tcPr>
          <w:p w14:paraId="4696FB65">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主观</w:t>
            </w:r>
          </w:p>
        </w:tc>
      </w:tr>
      <w:tr w14:paraId="09EE9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pct"/>
            <w:noWrap w:val="0"/>
            <w:vAlign w:val="center"/>
          </w:tcPr>
          <w:p w14:paraId="4B503B1A">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售后服务</w:t>
            </w:r>
          </w:p>
          <w:p w14:paraId="449CE88D">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（5分）</w:t>
            </w:r>
          </w:p>
        </w:tc>
        <w:tc>
          <w:tcPr>
            <w:tcW w:w="3929" w:type="pct"/>
            <w:noWrap w:val="0"/>
            <w:vAlign w:val="center"/>
          </w:tcPr>
          <w:p w14:paraId="47465D9C">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针对本项目有详细可行整体</w:t>
            </w:r>
            <w:r>
              <w:rPr>
                <w:rFonts w:hint="eastAsia" w:ascii="仿宋" w:hAnsi="仿宋" w:eastAsia="仿宋" w:cs="仿宋"/>
                <w:color w:val="auto"/>
                <w:sz w:val="24"/>
                <w:szCs w:val="24"/>
                <w:highlight w:val="none"/>
                <w:lang w:val="en-US" w:eastAsia="zh-CN"/>
              </w:rPr>
              <w:t>售后服务</w:t>
            </w:r>
            <w:r>
              <w:rPr>
                <w:rFonts w:hint="eastAsia" w:ascii="仿宋" w:hAnsi="仿宋" w:eastAsia="仿宋" w:cs="仿宋"/>
                <w:color w:val="auto"/>
                <w:sz w:val="24"/>
                <w:szCs w:val="24"/>
                <w:highlight w:val="none"/>
              </w:rPr>
              <w:t>方案；评审内容：①调换货和退换货服务方案②总体售后服务方案③售后服务响应时间④质量问题的处理及补救措施⑤</w:t>
            </w:r>
            <w:r>
              <w:rPr>
                <w:rFonts w:hint="eastAsia" w:ascii="仿宋" w:hAnsi="仿宋" w:eastAsia="仿宋" w:cs="仿宋"/>
                <w:color w:val="auto"/>
                <w:sz w:val="24"/>
                <w:szCs w:val="24"/>
                <w:highlight w:val="none"/>
                <w:lang w:val="en-US" w:eastAsia="zh-CN"/>
              </w:rPr>
              <w:t>售后服务团队人员配备</w:t>
            </w:r>
            <w:r>
              <w:rPr>
                <w:rFonts w:hint="eastAsia" w:ascii="仿宋" w:hAnsi="仿宋" w:eastAsia="仿宋" w:cs="仿宋"/>
                <w:color w:val="auto"/>
                <w:sz w:val="24"/>
                <w:szCs w:val="24"/>
                <w:highlight w:val="none"/>
              </w:rPr>
              <w:t>。由评</w:t>
            </w:r>
            <w:r>
              <w:rPr>
                <w:rFonts w:hint="eastAsia" w:ascii="仿宋" w:hAnsi="仿宋" w:eastAsia="仿宋" w:cs="仿宋"/>
                <w:color w:val="auto"/>
                <w:sz w:val="24"/>
                <w:szCs w:val="24"/>
                <w:highlight w:val="none"/>
                <w:lang w:val="en-US" w:eastAsia="zh-CN"/>
              </w:rPr>
              <w:t>标</w:t>
            </w:r>
            <w:r>
              <w:rPr>
                <w:rFonts w:hint="eastAsia" w:ascii="仿宋" w:hAnsi="仿宋" w:eastAsia="仿宋" w:cs="仿宋"/>
                <w:color w:val="auto"/>
                <w:sz w:val="24"/>
                <w:szCs w:val="24"/>
                <w:highlight w:val="none"/>
              </w:rPr>
              <w:t>委员会根据方案</w:t>
            </w:r>
            <w:r>
              <w:rPr>
                <w:rFonts w:hint="eastAsia" w:ascii="仿宋" w:hAnsi="仿宋" w:eastAsia="仿宋" w:cs="仿宋"/>
                <w:color w:val="auto"/>
                <w:sz w:val="24"/>
                <w:szCs w:val="24"/>
                <w:highlight w:val="none"/>
                <w:lang w:val="en-US" w:eastAsia="zh-CN"/>
              </w:rPr>
              <w:t>内容</w:t>
            </w:r>
            <w:r>
              <w:rPr>
                <w:rFonts w:hint="eastAsia" w:ascii="仿宋" w:hAnsi="仿宋" w:eastAsia="仿宋" w:cs="仿宋"/>
                <w:color w:val="auto"/>
                <w:sz w:val="24"/>
                <w:szCs w:val="24"/>
                <w:highlight w:val="none"/>
              </w:rPr>
              <w:t>进行评审：</w:t>
            </w:r>
          </w:p>
          <w:p w14:paraId="75321A68">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（1）每项内容实施方案全面科学、针对性强、可实施性强，得</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p>
          <w:p w14:paraId="20942F07">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（2）每有一处缺项扣</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p>
          <w:p w14:paraId="6E1F8933">
            <w:pPr>
              <w:pStyle w:val="11"/>
              <w:ind w:left="0" w:leftChars="0"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（3）每项有缺陷的扣</w:t>
            </w:r>
            <w:r>
              <w:rPr>
                <w:rFonts w:hint="eastAsia" w:ascii="仿宋" w:hAnsi="仿宋" w:eastAsia="仿宋" w:cs="仿宋"/>
                <w:color w:val="auto"/>
                <w:sz w:val="24"/>
                <w:szCs w:val="24"/>
                <w:highlight w:val="none"/>
                <w:lang w:val="en-US" w:eastAsia="zh-CN"/>
              </w:rPr>
              <w:t>0.5</w:t>
            </w:r>
            <w:r>
              <w:rPr>
                <w:rFonts w:hint="eastAsia" w:ascii="仿宋" w:hAnsi="仿宋" w:eastAsia="仿宋" w:cs="仿宋"/>
                <w:color w:val="auto"/>
                <w:sz w:val="24"/>
                <w:szCs w:val="24"/>
                <w:highlight w:val="none"/>
              </w:rPr>
              <w:t>分（缺陷是指：内容粗略、逻辑混乱、描述过于简单、与项目特点不匹配、凭空编造、逻辑漏洞、出现常识性错误、存在不适用项目实际情况的情形或只有标题没有实质性内容等）（4）不提供不得分。</w:t>
            </w:r>
          </w:p>
        </w:tc>
        <w:tc>
          <w:tcPr>
            <w:tcW w:w="438" w:type="pct"/>
            <w:noWrap w:val="0"/>
            <w:vAlign w:val="center"/>
          </w:tcPr>
          <w:p w14:paraId="52CE3A85">
            <w:pPr>
              <w:pStyle w:val="11"/>
              <w:ind w:left="0" w:leftChars="0"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主观</w:t>
            </w:r>
          </w:p>
        </w:tc>
      </w:tr>
      <w:tr w14:paraId="07455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pct"/>
            <w:noWrap w:val="0"/>
            <w:vAlign w:val="center"/>
          </w:tcPr>
          <w:p w14:paraId="30EF9386">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样品性能</w:t>
            </w:r>
          </w:p>
          <w:p w14:paraId="4CFBCC77">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（10分）</w:t>
            </w:r>
          </w:p>
        </w:tc>
        <w:tc>
          <w:tcPr>
            <w:tcW w:w="3929" w:type="pct"/>
            <w:noWrap w:val="0"/>
            <w:vAlign w:val="center"/>
          </w:tcPr>
          <w:p w14:paraId="75CA62D5">
            <w:pPr>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通过对每个样品的</w:t>
            </w:r>
            <w:r>
              <w:rPr>
                <w:rFonts w:hint="eastAsia" w:ascii="仿宋" w:hAnsi="仿宋" w:eastAsia="仿宋" w:cs="仿宋"/>
                <w:color w:val="auto"/>
                <w:sz w:val="24"/>
                <w:szCs w:val="24"/>
                <w:highlight w:val="none"/>
              </w:rPr>
              <w:t>等级、包装、</w:t>
            </w:r>
            <w:r>
              <w:rPr>
                <w:rFonts w:hint="eastAsia" w:ascii="仿宋" w:hAnsi="仿宋" w:eastAsia="仿宋" w:cs="仿宋"/>
                <w:color w:val="auto"/>
                <w:sz w:val="24"/>
                <w:szCs w:val="24"/>
                <w:highlight w:val="none"/>
                <w:lang w:eastAsia="zh-CN"/>
              </w:rPr>
              <w:t>标签完整性、</w:t>
            </w:r>
            <w:r>
              <w:rPr>
                <w:rFonts w:hint="eastAsia" w:ascii="仿宋" w:hAnsi="仿宋" w:eastAsia="仿宋" w:cs="仿宋"/>
                <w:color w:val="auto"/>
                <w:sz w:val="24"/>
                <w:szCs w:val="24"/>
                <w:highlight w:val="none"/>
              </w:rPr>
              <w:t>产品性状、外观、色泽、气味、触觉、味觉及质检报告</w:t>
            </w:r>
            <w:r>
              <w:rPr>
                <w:rFonts w:hint="eastAsia" w:ascii="仿宋" w:hAnsi="仿宋" w:eastAsia="仿宋" w:cs="仿宋"/>
                <w:color w:val="auto"/>
                <w:sz w:val="24"/>
                <w:szCs w:val="24"/>
                <w:highlight w:val="none"/>
                <w:lang w:eastAsia="zh-CN"/>
              </w:rPr>
              <w:t>等</w:t>
            </w:r>
            <w:r>
              <w:rPr>
                <w:rFonts w:hint="eastAsia" w:ascii="仿宋" w:hAnsi="仿宋" w:eastAsia="仿宋" w:cs="仿宋"/>
                <w:color w:val="auto"/>
                <w:sz w:val="24"/>
                <w:szCs w:val="24"/>
                <w:highlight w:val="none"/>
              </w:rPr>
              <w:t>进行评审，</w:t>
            </w:r>
            <w:r>
              <w:rPr>
                <w:rFonts w:hint="eastAsia" w:ascii="仿宋" w:hAnsi="仿宋" w:eastAsia="仿宋" w:cs="仿宋"/>
                <w:color w:val="auto"/>
                <w:sz w:val="24"/>
                <w:szCs w:val="24"/>
                <w:highlight w:val="none"/>
                <w:lang w:val="en-US" w:eastAsia="zh-CN"/>
              </w:rPr>
              <w:t>每个品种1分；满分10分。</w:t>
            </w:r>
          </w:p>
          <w:p w14:paraId="0F8ADBCB">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每个品种全部满足技术要求得1分，每存在1处缺陷扣</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1分，扣完为止。（本项所称“缺陷”是指等级、包装、标签完整性、产品性状、外观、色泽、气味、触觉、味觉及质检报告的内容不满足要求、缺项、不完整或缺少关键点等任意一种情形）。</w:t>
            </w:r>
          </w:p>
        </w:tc>
        <w:tc>
          <w:tcPr>
            <w:tcW w:w="438" w:type="pct"/>
            <w:noWrap w:val="0"/>
            <w:vAlign w:val="center"/>
          </w:tcPr>
          <w:p w14:paraId="0173D3FF">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主观</w:t>
            </w:r>
          </w:p>
        </w:tc>
      </w:tr>
    </w:tbl>
    <w:p w14:paraId="1D54FE33">
      <w:pPr>
        <w:ind w:left="0" w:leftChars="0" w:firstLine="0" w:firstLineChars="0"/>
        <w:rPr>
          <w:rFonts w:hint="eastAsia"/>
          <w:color w:val="auto"/>
          <w:lang w:val="en-US" w:eastAsia="zh-CN"/>
        </w:rPr>
      </w:pPr>
      <w:r>
        <w:rPr>
          <w:rFonts w:hint="eastAsia"/>
          <w:color w:val="auto"/>
          <w:lang w:val="en-US" w:eastAsia="zh-CN"/>
        </w:rPr>
        <w:br w:type="page"/>
      </w:r>
    </w:p>
    <w:p w14:paraId="60E523A8">
      <w:pPr>
        <w:pStyle w:val="2"/>
        <w:rPr>
          <w:rFonts w:hint="eastAsia" w:ascii="仿宋" w:eastAsia="仿宋" w:cs="仿宋"/>
          <w:color w:val="auto"/>
          <w:highlight w:val="none"/>
        </w:rPr>
      </w:pPr>
      <w:bookmarkStart w:id="184" w:name="_Toc13256"/>
      <w:r>
        <w:rPr>
          <w:rFonts w:hint="eastAsia" w:ascii="仿宋" w:eastAsia="仿宋" w:cs="仿宋"/>
          <w:color w:val="auto"/>
          <w:highlight w:val="none"/>
        </w:rPr>
        <w:t>第</w:t>
      </w:r>
      <w:r>
        <w:rPr>
          <w:rFonts w:hint="eastAsia" w:ascii="仿宋" w:eastAsia="仿宋" w:cs="仿宋"/>
          <w:color w:val="auto"/>
          <w:highlight w:val="none"/>
          <w:lang w:val="en-US" w:eastAsia="zh-CN"/>
        </w:rPr>
        <w:t>六</w:t>
      </w:r>
      <w:r>
        <w:rPr>
          <w:rFonts w:hint="eastAsia" w:ascii="仿宋" w:eastAsia="仿宋" w:cs="仿宋"/>
          <w:color w:val="auto"/>
          <w:highlight w:val="none"/>
        </w:rPr>
        <w:t>章  投标文件构成及格式</w:t>
      </w:r>
      <w:bookmarkEnd w:id="156"/>
      <w:bookmarkEnd w:id="184"/>
    </w:p>
    <w:p w14:paraId="737AA265">
      <w:pPr>
        <w:spacing w:line="560" w:lineRule="exact"/>
        <w:jc w:val="both"/>
        <w:rPr>
          <w:rFonts w:hint="eastAsia" w:ascii="仿宋" w:hAnsi="仿宋" w:eastAsia="仿宋" w:cs="仿宋"/>
          <w:color w:val="auto"/>
          <w:sz w:val="32"/>
          <w:szCs w:val="32"/>
          <w:highlight w:val="none"/>
        </w:rPr>
      </w:pPr>
    </w:p>
    <w:p w14:paraId="799BF975">
      <w:pPr>
        <w:spacing w:line="560" w:lineRule="exact"/>
        <w:jc w:val="both"/>
        <w:outlineLvl w:val="9"/>
        <w:rPr>
          <w:rFonts w:hint="eastAsia" w:ascii="仿宋" w:hAnsi="仿宋" w:eastAsia="仿宋" w:cs="仿宋"/>
          <w:color w:val="auto"/>
          <w:sz w:val="32"/>
          <w:szCs w:val="32"/>
          <w:highlight w:val="none"/>
        </w:rPr>
      </w:pPr>
    </w:p>
    <w:p w14:paraId="117D1914">
      <w:pPr>
        <w:shd w:val="clear"/>
        <w:spacing w:line="560" w:lineRule="exact"/>
        <w:jc w:val="both"/>
        <w:rPr>
          <w:rFonts w:hint="eastAsia" w:ascii="仿宋" w:hAnsi="仿宋" w:eastAsia="仿宋" w:cs="仿宋"/>
          <w:b w:val="0"/>
          <w:bCs/>
          <w:color w:val="auto"/>
          <w:sz w:val="36"/>
          <w:szCs w:val="36"/>
          <w:highlight w:val="none"/>
          <w:lang w:eastAsia="zh-CN"/>
        </w:rPr>
      </w:pPr>
      <w:r>
        <w:rPr>
          <w:rFonts w:hint="eastAsia" w:ascii="仿宋" w:hAnsi="仿宋" w:eastAsia="仿宋" w:cs="仿宋"/>
          <w:b w:val="0"/>
          <w:bCs/>
          <w:color w:val="auto"/>
          <w:sz w:val="36"/>
          <w:szCs w:val="36"/>
          <w:highlight w:val="none"/>
        </w:rPr>
        <w:t>项目编号：</w:t>
      </w:r>
      <w:r>
        <w:rPr>
          <w:rFonts w:hint="eastAsia" w:ascii="仿宋" w:hAnsi="仿宋" w:eastAsia="仿宋" w:cs="仿宋"/>
          <w:b w:val="0"/>
          <w:bCs/>
          <w:color w:val="auto"/>
          <w:sz w:val="36"/>
          <w:szCs w:val="36"/>
          <w:highlight w:val="none"/>
          <w:lang w:eastAsia="zh-CN"/>
        </w:rPr>
        <w:t>HXGJXM2026-ZC-GK1036</w:t>
      </w:r>
    </w:p>
    <w:p w14:paraId="33D873C6">
      <w:pPr>
        <w:pStyle w:val="15"/>
        <w:rPr>
          <w:rFonts w:hint="eastAsia" w:ascii="仿宋" w:hAnsi="仿宋" w:eastAsia="仿宋" w:cs="仿宋"/>
          <w:color w:val="auto"/>
          <w:highlight w:val="none"/>
        </w:rPr>
      </w:pPr>
    </w:p>
    <w:p w14:paraId="51CEC7D9">
      <w:pPr>
        <w:widowControl/>
        <w:shd w:val="clear"/>
        <w:wordWrap/>
        <w:adjustRightInd/>
        <w:snapToGrid/>
        <w:jc w:val="center"/>
        <w:textAlignment w:val="auto"/>
        <w:outlineLvl w:val="9"/>
        <w:rPr>
          <w:rFonts w:hint="eastAsia" w:ascii="仿宋" w:hAnsi="仿宋" w:eastAsia="仿宋" w:cs="仿宋"/>
          <w:color w:val="auto"/>
          <w:sz w:val="52"/>
          <w:szCs w:val="52"/>
          <w:highlight w:val="none"/>
          <w:lang w:val="en-US" w:eastAsia="zh-CN" w:bidi="ar-SA"/>
        </w:rPr>
      </w:pPr>
      <w:bookmarkStart w:id="185" w:name="_Toc15367"/>
    </w:p>
    <w:p w14:paraId="589E5946">
      <w:pPr>
        <w:widowControl/>
        <w:shd w:val="clear"/>
        <w:wordWrap/>
        <w:adjustRightInd/>
        <w:snapToGrid/>
        <w:jc w:val="center"/>
        <w:textAlignment w:val="auto"/>
        <w:outlineLvl w:val="9"/>
        <w:rPr>
          <w:rFonts w:hint="eastAsia" w:ascii="仿宋" w:hAnsi="仿宋" w:eastAsia="仿宋" w:cs="仿宋"/>
          <w:color w:val="auto"/>
          <w:sz w:val="52"/>
          <w:szCs w:val="52"/>
          <w:highlight w:val="none"/>
          <w:lang w:val="en-US" w:eastAsia="zh-CN" w:bidi="ar-SA"/>
        </w:rPr>
      </w:pPr>
      <w:r>
        <w:rPr>
          <w:rFonts w:hint="eastAsia" w:ascii="仿宋" w:hAnsi="仿宋" w:eastAsia="仿宋" w:cs="仿宋"/>
          <w:color w:val="auto"/>
          <w:sz w:val="52"/>
          <w:szCs w:val="52"/>
          <w:highlight w:val="none"/>
          <w:lang w:val="en-US" w:eastAsia="zh-CN" w:bidi="ar-SA"/>
        </w:rPr>
        <w:t>非集采中药饮片招标采购项目（2包）二次</w:t>
      </w:r>
    </w:p>
    <w:p w14:paraId="38D2562C">
      <w:pPr>
        <w:widowControl/>
        <w:shd w:val="clear"/>
        <w:wordWrap/>
        <w:adjustRightInd/>
        <w:snapToGrid/>
        <w:jc w:val="center"/>
        <w:textAlignment w:val="auto"/>
        <w:outlineLvl w:val="9"/>
        <w:rPr>
          <w:rFonts w:hint="eastAsia" w:ascii="仿宋" w:hAnsi="仿宋" w:eastAsia="仿宋" w:cs="仿宋"/>
          <w:color w:val="auto"/>
          <w:sz w:val="48"/>
          <w:szCs w:val="48"/>
          <w:highlight w:val="none"/>
          <w:lang w:val="en-US" w:eastAsia="zh-CN" w:bidi="ar-SA"/>
        </w:rPr>
      </w:pPr>
    </w:p>
    <w:p w14:paraId="0A43FBF4">
      <w:pPr>
        <w:widowControl/>
        <w:shd w:val="clear"/>
        <w:wordWrap/>
        <w:adjustRightInd/>
        <w:snapToGrid/>
        <w:jc w:val="center"/>
        <w:textAlignment w:val="auto"/>
        <w:outlineLvl w:val="9"/>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8"/>
          <w:szCs w:val="48"/>
          <w:highlight w:val="none"/>
          <w:lang w:val="en-US" w:eastAsia="zh-CN" w:bidi="ar-SA"/>
        </w:rPr>
        <w:t>投标文件</w:t>
      </w:r>
      <w:bookmarkEnd w:id="185"/>
    </w:p>
    <w:p w14:paraId="68F89F0E">
      <w:pPr>
        <w:widowControl/>
        <w:shd w:val="clear"/>
        <w:wordWrap/>
        <w:adjustRightInd/>
        <w:snapToGrid/>
        <w:spacing w:line="560" w:lineRule="exact"/>
        <w:jc w:val="center"/>
        <w:textAlignment w:val="auto"/>
        <w:outlineLvl w:val="9"/>
        <w:rPr>
          <w:rFonts w:hint="eastAsia" w:ascii="仿宋" w:hAnsi="仿宋" w:eastAsia="仿宋" w:cs="仿宋"/>
          <w:color w:val="auto"/>
          <w:sz w:val="48"/>
          <w:szCs w:val="48"/>
          <w:highlight w:val="none"/>
          <w:lang w:val="en-US" w:eastAsia="zh-CN" w:bidi="ar-SA"/>
        </w:rPr>
      </w:pPr>
    </w:p>
    <w:p w14:paraId="7DB5902F">
      <w:pPr>
        <w:rPr>
          <w:rFonts w:hint="eastAsia" w:ascii="仿宋" w:hAnsi="仿宋" w:eastAsia="仿宋" w:cs="仿宋"/>
          <w:color w:val="auto"/>
          <w:highlight w:val="none"/>
        </w:rPr>
      </w:pPr>
    </w:p>
    <w:p w14:paraId="69AAB2A7">
      <w:pPr>
        <w:widowControl/>
        <w:shd w:val="clear"/>
        <w:wordWrap/>
        <w:adjustRightInd/>
        <w:snapToGrid/>
        <w:spacing w:line="560" w:lineRule="exact"/>
        <w:ind w:firstLine="640" w:firstLineChars="200"/>
        <w:jc w:val="both"/>
        <w:textAlignment w:val="auto"/>
        <w:outlineLvl w:val="9"/>
        <w:rPr>
          <w:rFonts w:hint="eastAsia" w:ascii="仿宋" w:hAnsi="仿宋" w:eastAsia="仿宋" w:cs="仿宋"/>
          <w:color w:val="auto"/>
          <w:sz w:val="32"/>
          <w:szCs w:val="32"/>
          <w:highlight w:val="none"/>
        </w:rPr>
      </w:pPr>
    </w:p>
    <w:p w14:paraId="32E69EDC">
      <w:pPr>
        <w:widowControl/>
        <w:shd w:val="clear"/>
        <w:wordWrap/>
        <w:adjustRightInd/>
        <w:snapToGrid/>
        <w:spacing w:line="560" w:lineRule="exact"/>
        <w:ind w:firstLine="640" w:firstLineChars="200"/>
        <w:jc w:val="both"/>
        <w:textAlignment w:val="auto"/>
        <w:outlineLvl w:val="9"/>
        <w:rPr>
          <w:rFonts w:hint="eastAsia" w:ascii="仿宋" w:hAnsi="仿宋" w:eastAsia="仿宋" w:cs="仿宋"/>
          <w:color w:val="auto"/>
          <w:sz w:val="32"/>
          <w:szCs w:val="32"/>
          <w:highlight w:val="none"/>
        </w:rPr>
      </w:pPr>
    </w:p>
    <w:p w14:paraId="20887475">
      <w:pPr>
        <w:widowControl/>
        <w:shd w:val="clear"/>
        <w:wordWrap/>
        <w:adjustRightInd/>
        <w:snapToGrid/>
        <w:jc w:val="center"/>
        <w:textAlignment w:val="auto"/>
        <w:outlineLvl w:val="9"/>
        <w:rPr>
          <w:rFonts w:hint="eastAsia" w:ascii="仿宋" w:hAnsi="仿宋" w:eastAsia="仿宋" w:cs="仿宋"/>
          <w:color w:val="auto"/>
          <w:sz w:val="44"/>
          <w:szCs w:val="44"/>
          <w:highlight w:val="none"/>
          <w:lang w:val="en-US" w:eastAsia="zh-CN" w:bidi="ar-SA"/>
        </w:rPr>
      </w:pPr>
      <w:bookmarkStart w:id="186" w:name="_Toc32146"/>
      <w:r>
        <w:rPr>
          <w:rFonts w:hint="eastAsia" w:ascii="仿宋" w:hAnsi="仿宋" w:eastAsia="仿宋" w:cs="仿宋"/>
          <w:color w:val="auto"/>
          <w:sz w:val="44"/>
          <w:szCs w:val="44"/>
          <w:highlight w:val="none"/>
          <w:lang w:val="en-US" w:eastAsia="zh-CN" w:bidi="ar-SA"/>
        </w:rPr>
        <w:t>投标人名称  （公章）</w:t>
      </w:r>
      <w:bookmarkEnd w:id="186"/>
    </w:p>
    <w:p w14:paraId="2A109B45">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outlineLvl w:val="9"/>
        <w:rPr>
          <w:rFonts w:hint="eastAsia" w:ascii="仿宋" w:hAnsi="仿宋" w:eastAsia="仿宋" w:cs="仿宋"/>
          <w:color w:val="auto"/>
          <w:sz w:val="32"/>
          <w:szCs w:val="32"/>
          <w:highlight w:val="none"/>
        </w:rPr>
      </w:pPr>
      <w:r>
        <w:rPr>
          <w:rFonts w:hint="eastAsia" w:ascii="仿宋" w:hAnsi="仿宋" w:eastAsia="仿宋" w:cs="仿宋"/>
          <w:color w:val="auto"/>
          <w:sz w:val="44"/>
          <w:szCs w:val="44"/>
          <w:highlight w:val="none"/>
          <w:lang w:val="en-US" w:eastAsia="zh-CN" w:bidi="ar-SA"/>
        </w:rPr>
        <w:t>年   月   日</w:t>
      </w:r>
    </w:p>
    <w:p w14:paraId="3D2A3018">
      <w:pPr>
        <w:spacing w:line="560" w:lineRule="exact"/>
        <w:ind w:firstLine="640" w:firstLineChars="200"/>
        <w:jc w:val="both"/>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r>
    </w:p>
    <w:p w14:paraId="1A2E702B">
      <w:pPr>
        <w:spacing w:line="560" w:lineRule="exact"/>
        <w:ind w:firstLine="880" w:firstLineChars="200"/>
        <w:jc w:val="center"/>
        <w:outlineLvl w:val="9"/>
        <w:rPr>
          <w:rFonts w:hint="eastAsia" w:ascii="仿宋" w:hAnsi="仿宋" w:eastAsia="仿宋" w:cs="仿宋"/>
          <w:color w:val="auto"/>
          <w:sz w:val="44"/>
          <w:szCs w:val="44"/>
          <w:highlight w:val="none"/>
        </w:rPr>
      </w:pPr>
      <w:bookmarkStart w:id="187" w:name="_Toc9300"/>
      <w:r>
        <w:rPr>
          <w:rFonts w:hint="eastAsia" w:ascii="仿宋" w:hAnsi="仿宋" w:eastAsia="仿宋" w:cs="仿宋"/>
          <w:color w:val="auto"/>
          <w:sz w:val="44"/>
          <w:szCs w:val="44"/>
          <w:highlight w:val="none"/>
        </w:rPr>
        <w:t>目    录</w:t>
      </w:r>
      <w:bookmarkEnd w:id="187"/>
    </w:p>
    <w:p w14:paraId="67866209">
      <w:pPr>
        <w:spacing w:line="560" w:lineRule="exact"/>
        <w:ind w:firstLine="640" w:firstLineChars="200"/>
        <w:jc w:val="center"/>
        <w:rPr>
          <w:rFonts w:hint="eastAsia" w:ascii="仿宋" w:hAnsi="仿宋" w:eastAsia="仿宋" w:cs="仿宋"/>
          <w:color w:val="auto"/>
          <w:sz w:val="32"/>
          <w:szCs w:val="32"/>
          <w:highlight w:val="none"/>
        </w:rPr>
      </w:pPr>
      <w:r>
        <w:rPr>
          <w:rFonts w:hint="eastAsia" w:ascii="仿宋" w:hAnsi="仿宋" w:eastAsia="仿宋" w:cs="仿宋"/>
          <w:b/>
          <w:bCs/>
          <w:i/>
          <w:iCs/>
          <w:color w:val="auto"/>
          <w:sz w:val="32"/>
          <w:szCs w:val="32"/>
          <w:lang w:eastAsia="zh-CN"/>
        </w:rPr>
        <w:t>（</w:t>
      </w:r>
      <w:r>
        <w:rPr>
          <w:rFonts w:hint="eastAsia" w:ascii="仿宋" w:hAnsi="仿宋" w:eastAsia="仿宋" w:cs="仿宋"/>
          <w:b/>
          <w:bCs/>
          <w:i/>
          <w:iCs/>
          <w:color w:val="auto"/>
          <w:sz w:val="32"/>
          <w:szCs w:val="32"/>
          <w:lang w:val="en-US" w:eastAsia="zh-CN"/>
        </w:rPr>
        <w:t>投标单位可根据实际情况编制详细目录</w:t>
      </w:r>
      <w:r>
        <w:rPr>
          <w:rFonts w:hint="eastAsia" w:ascii="仿宋" w:hAnsi="仿宋" w:eastAsia="仿宋" w:cs="仿宋"/>
          <w:b/>
          <w:bCs/>
          <w:i/>
          <w:iCs/>
          <w:color w:val="auto"/>
          <w:sz w:val="32"/>
          <w:szCs w:val="32"/>
          <w:lang w:eastAsia="zh-CN"/>
        </w:rPr>
        <w:t>）</w:t>
      </w:r>
    </w:p>
    <w:p w14:paraId="6E956547">
      <w:pPr>
        <w:spacing w:line="560" w:lineRule="exact"/>
        <w:ind w:firstLine="640" w:firstLineChars="200"/>
        <w:jc w:val="both"/>
        <w:rPr>
          <w:rFonts w:hint="eastAsia" w:ascii="仿宋" w:hAnsi="仿宋" w:eastAsia="仿宋" w:cs="仿宋"/>
          <w:color w:val="auto"/>
          <w:sz w:val="32"/>
          <w:szCs w:val="32"/>
          <w:highlight w:val="none"/>
        </w:rPr>
      </w:pPr>
    </w:p>
    <w:p w14:paraId="5E5447D6">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第一部分  投标函</w:t>
      </w:r>
    </w:p>
    <w:p w14:paraId="622BE718">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第二部分  开标一览表</w:t>
      </w:r>
    </w:p>
    <w:p w14:paraId="635D1386">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第三部分  投标方案说明书</w:t>
      </w:r>
    </w:p>
    <w:p w14:paraId="710F3EA9">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第四部分  商务条款偏离表</w:t>
      </w:r>
    </w:p>
    <w:p w14:paraId="202C9841">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第五部分  供应商承诺书</w:t>
      </w:r>
    </w:p>
    <w:p w14:paraId="09C3F5DB">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第六部分  资格证明文件</w:t>
      </w:r>
    </w:p>
    <w:p w14:paraId="30A5FF19">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第七部分  其他应说明的事项</w:t>
      </w:r>
    </w:p>
    <w:p w14:paraId="42F35051">
      <w:pPr>
        <w:rPr>
          <w:rFonts w:hint="eastAsia" w:ascii="仿宋" w:hAnsi="仿宋" w:eastAsia="仿宋" w:cs="仿宋"/>
          <w:color w:val="auto"/>
          <w:sz w:val="32"/>
          <w:szCs w:val="32"/>
          <w:highlight w:val="none"/>
        </w:rPr>
      </w:pPr>
      <w:r>
        <w:rPr>
          <w:rFonts w:hint="eastAsia" w:ascii="仿宋" w:hAnsi="仿宋" w:eastAsia="仿宋" w:cs="仿宋"/>
          <w:color w:val="auto"/>
          <w:highlight w:val="none"/>
        </w:rPr>
        <w:br w:type="page"/>
      </w:r>
    </w:p>
    <w:p w14:paraId="51507B31">
      <w:pPr>
        <w:pStyle w:val="3"/>
        <w:ind w:left="0" w:leftChars="0" w:firstLine="0" w:firstLineChars="0"/>
        <w:jc w:val="center"/>
        <w:outlineLvl w:val="1"/>
        <w:rPr>
          <w:rFonts w:hint="eastAsia" w:ascii="仿宋" w:hAnsi="仿宋" w:eastAsia="仿宋" w:cs="仿宋"/>
          <w:color w:val="auto"/>
          <w:highlight w:val="none"/>
        </w:rPr>
      </w:pPr>
      <w:bookmarkStart w:id="188" w:name="_Toc17895"/>
      <w:bookmarkStart w:id="189" w:name="_Toc15460"/>
      <w:r>
        <w:rPr>
          <w:rFonts w:hint="eastAsia" w:ascii="仿宋" w:hAnsi="仿宋" w:eastAsia="仿宋" w:cs="仿宋"/>
          <w:color w:val="auto"/>
          <w:highlight w:val="none"/>
        </w:rPr>
        <w:t>第一部分  投标函</w:t>
      </w:r>
      <w:bookmarkEnd w:id="188"/>
      <w:bookmarkEnd w:id="189"/>
    </w:p>
    <w:p w14:paraId="359EA92E">
      <w:pPr>
        <w:spacing w:line="560" w:lineRule="exact"/>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华夏国际项目管理（西安）有限公司</w:t>
      </w:r>
      <w:r>
        <w:rPr>
          <w:rFonts w:hint="eastAsia" w:ascii="仿宋" w:hAnsi="仿宋" w:eastAsia="仿宋" w:cs="仿宋"/>
          <w:color w:val="auto"/>
          <w:sz w:val="24"/>
          <w:szCs w:val="24"/>
          <w:highlight w:val="none"/>
        </w:rPr>
        <w:t>：</w:t>
      </w:r>
    </w:p>
    <w:p w14:paraId="6BC7D992">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我方收到贵</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szCs w:val="24"/>
          <w:highlight w:val="none"/>
        </w:rPr>
        <w:t>发布的</w:t>
      </w:r>
      <w:r>
        <w:rPr>
          <w:rFonts w:hint="eastAsia" w:ascii="仿宋" w:hAnsi="仿宋" w:eastAsia="仿宋" w:cs="仿宋"/>
          <w:color w:val="auto"/>
          <w:sz w:val="24"/>
          <w:szCs w:val="24"/>
          <w:highlight w:val="none"/>
          <w:lang w:eastAsia="zh-CN"/>
        </w:rPr>
        <w:t>非集采中药饮片招标采购项目（2包）二次</w:t>
      </w: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lang w:eastAsia="zh-CN"/>
        </w:rPr>
        <w:t>HXGJXM2026-ZC-GK1036</w:t>
      </w:r>
      <w:r>
        <w:rPr>
          <w:rFonts w:hint="eastAsia" w:ascii="仿宋" w:hAnsi="仿宋" w:eastAsia="仿宋" w:cs="仿宋"/>
          <w:color w:val="auto"/>
          <w:sz w:val="24"/>
          <w:szCs w:val="24"/>
          <w:highlight w:val="none"/>
        </w:rPr>
        <w:t>）招标文件，经详细研究，我方决定参加该项目的招标活动。为此，我方郑重声明以下诸点，并负法律责任。</w:t>
      </w:r>
    </w:p>
    <w:p w14:paraId="6084FF25">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1．我方已详细阅读了招标文件，完全理解并同意招标文件的所有事项及内容。</w:t>
      </w:r>
    </w:p>
    <w:p w14:paraId="1C6E320D">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2．我方已悉知并及时关注了贵</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szCs w:val="24"/>
          <w:highlight w:val="none"/>
        </w:rPr>
        <w:t>在陕西省政府采购网、全国公共资源交易平台（陕西省·西安市）上发布的关于本项目的有关变更公告（包括但不限于对招标文件做出的修改或澄清、答疑纪要，以及项目暂停、重启、延期、终止等）。</w:t>
      </w:r>
    </w:p>
    <w:p w14:paraId="2AC1605E">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3．我方同意向贵</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szCs w:val="24"/>
          <w:highlight w:val="none"/>
        </w:rPr>
        <w:t>提供与本次招标有关的全部证明材料，并保证所提交的证明材料真实、合法、有效。</w:t>
      </w:r>
    </w:p>
    <w:p w14:paraId="60F97345">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4．我方理解最低价不是成交的唯一条件，并尊重评标委员会的评审结果。</w:t>
      </w:r>
    </w:p>
    <w:p w14:paraId="2AEC9740">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5．我方投标文件在开启之日起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个日历日（应不少于90个日历日）内有效。</w:t>
      </w:r>
    </w:p>
    <w:p w14:paraId="515B370F">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6．若我方成交，我方承诺：（1）将投标文件有效期延长至合同执行完毕；（2）收到</w:t>
      </w:r>
      <w:r>
        <w:rPr>
          <w:rFonts w:hint="eastAsia" w:ascii="仿宋" w:hAnsi="仿宋" w:eastAsia="仿宋" w:cs="仿宋"/>
          <w:color w:val="auto"/>
          <w:sz w:val="24"/>
          <w:szCs w:val="24"/>
          <w:highlight w:val="none"/>
          <w:lang w:val="en-US" w:eastAsia="zh-CN"/>
        </w:rPr>
        <w:t>中标</w:t>
      </w:r>
      <w:r>
        <w:rPr>
          <w:rFonts w:hint="eastAsia" w:ascii="仿宋" w:hAnsi="仿宋" w:eastAsia="仿宋" w:cs="仿宋"/>
          <w:color w:val="auto"/>
          <w:sz w:val="24"/>
          <w:szCs w:val="24"/>
          <w:highlight w:val="none"/>
        </w:rPr>
        <w:t>通知书后提交纸质投标文件一正两副，并按时交纳履约保证金；（3）遵照招标文件中的要求，完成本项目的合同责任和义务。</w:t>
      </w:r>
    </w:p>
    <w:p w14:paraId="3E873A07">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7．所有关于此次招标活动的函电，请按下列方式联系：</w:t>
      </w:r>
    </w:p>
    <w:p w14:paraId="5AE3BF1F">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供应商：（供应商全称并加盖公章）</w:t>
      </w:r>
    </w:p>
    <w:p w14:paraId="6E4B5B61">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法定代表人（主要负责人）或委托代理人：（签字或盖章）</w:t>
      </w:r>
    </w:p>
    <w:p w14:paraId="1B0B94FC">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p w14:paraId="53C0C00C">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通讯地址：</w:t>
      </w:r>
    </w:p>
    <w:p w14:paraId="7D36A531">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    编：</w:t>
      </w:r>
    </w:p>
    <w:p w14:paraId="219FDF64">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电子邮箱：</w:t>
      </w:r>
    </w:p>
    <w:p w14:paraId="1339982A">
      <w:pPr>
        <w:spacing w:line="560" w:lineRule="exact"/>
        <w:ind w:firstLine="480"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日    期：    年  月  日</w:t>
      </w:r>
    </w:p>
    <w:p w14:paraId="12B40FD4">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55E53D0D">
      <w:pPr>
        <w:pStyle w:val="3"/>
        <w:ind w:left="0" w:leftChars="0" w:firstLine="0" w:firstLineChars="0"/>
        <w:jc w:val="center"/>
        <w:outlineLvl w:val="1"/>
        <w:rPr>
          <w:rFonts w:hint="eastAsia" w:ascii="仿宋" w:hAnsi="仿宋" w:eastAsia="仿宋" w:cs="仿宋"/>
          <w:color w:val="auto"/>
          <w:highlight w:val="none"/>
        </w:rPr>
      </w:pPr>
      <w:bookmarkStart w:id="190" w:name="_Toc32660"/>
      <w:bookmarkStart w:id="191" w:name="_Toc5672"/>
      <w:r>
        <w:rPr>
          <w:rFonts w:hint="eastAsia" w:ascii="仿宋" w:hAnsi="仿宋" w:eastAsia="仿宋" w:cs="仿宋"/>
          <w:color w:val="auto"/>
          <w:highlight w:val="none"/>
        </w:rPr>
        <w:t>第二部分  开标一览表</w:t>
      </w:r>
      <w:bookmarkEnd w:id="190"/>
      <w:bookmarkEnd w:id="191"/>
    </w:p>
    <w:p w14:paraId="78659DF9">
      <w:pPr>
        <w:spacing w:line="560" w:lineRule="exact"/>
        <w:jc w:val="both"/>
        <w:rPr>
          <w:rFonts w:hint="eastAsia" w:ascii="仿宋" w:hAnsi="仿宋" w:eastAsia="仿宋" w:cs="仿宋"/>
          <w:color w:val="auto"/>
          <w:sz w:val="28"/>
          <w:szCs w:val="28"/>
          <w:highlight w:val="none"/>
        </w:rPr>
      </w:pPr>
    </w:p>
    <w:p w14:paraId="7620EFC1">
      <w:pPr>
        <w:tabs>
          <w:tab w:val="left" w:pos="1800"/>
          <w:tab w:val="left" w:pos="5580"/>
        </w:tabs>
        <w:spacing w:line="360" w:lineRule="auto"/>
        <w:ind w:left="1156" w:leftChars="257" w:right="-991" w:rightChars="-413" w:hanging="54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非集采中药饮片招标采购项目（2包）二次</w:t>
      </w:r>
    </w:p>
    <w:p w14:paraId="0FFD5880">
      <w:pPr>
        <w:tabs>
          <w:tab w:val="left" w:pos="1800"/>
          <w:tab w:val="left" w:pos="5580"/>
        </w:tabs>
        <w:spacing w:line="360" w:lineRule="auto"/>
        <w:ind w:left="1156" w:leftChars="257" w:right="-991" w:rightChars="-413" w:hanging="54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采购项目编号：</w:t>
      </w:r>
      <w:r>
        <w:rPr>
          <w:rFonts w:hint="eastAsia" w:ascii="仿宋" w:hAnsi="仿宋" w:eastAsia="仿宋" w:cs="仿宋"/>
          <w:color w:val="auto"/>
          <w:sz w:val="24"/>
          <w:szCs w:val="24"/>
          <w:highlight w:val="none"/>
          <w:lang w:eastAsia="zh-CN"/>
        </w:rPr>
        <w:t>HXGJXM2026-ZC-GK1036</w:t>
      </w:r>
    </w:p>
    <w:p w14:paraId="6FB0264C">
      <w:pPr>
        <w:tabs>
          <w:tab w:val="left" w:pos="1800"/>
          <w:tab w:val="left" w:pos="5580"/>
        </w:tabs>
        <w:spacing w:line="360" w:lineRule="auto"/>
        <w:ind w:left="1156" w:leftChars="257" w:right="-991" w:rightChars="-413" w:hanging="5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报价单位：人民币</w:t>
      </w:r>
      <w:r>
        <w:rPr>
          <w:rFonts w:hint="eastAsia" w:ascii="仿宋" w:hAnsi="仿宋" w:eastAsia="仿宋" w:cs="仿宋"/>
          <w:b/>
          <w:color w:val="auto"/>
          <w:sz w:val="24"/>
          <w:szCs w:val="24"/>
          <w:highlight w:val="none"/>
        </w:rPr>
        <w:t xml:space="preserve"> </w:t>
      </w:r>
      <w:r>
        <w:rPr>
          <w:rFonts w:hint="eastAsia" w:ascii="仿宋" w:hAnsi="仿宋" w:eastAsia="仿宋" w:cs="仿宋"/>
          <w:color w:val="auto"/>
          <w:sz w:val="24"/>
          <w:szCs w:val="24"/>
          <w:highlight w:val="none"/>
        </w:rPr>
        <w:t>元</w:t>
      </w:r>
    </w:p>
    <w:tbl>
      <w:tblPr>
        <w:tblStyle w:val="32"/>
        <w:tblW w:w="4997" w:type="pct"/>
        <w:jc w:val="center"/>
        <w:tblLayout w:type="autofit"/>
        <w:tblCellMar>
          <w:top w:w="0" w:type="dxa"/>
          <w:left w:w="108" w:type="dxa"/>
          <w:bottom w:w="0" w:type="dxa"/>
          <w:right w:w="108" w:type="dxa"/>
        </w:tblCellMar>
      </w:tblPr>
      <w:tblGrid>
        <w:gridCol w:w="2319"/>
        <w:gridCol w:w="2343"/>
        <w:gridCol w:w="2309"/>
        <w:gridCol w:w="2311"/>
      </w:tblGrid>
      <w:tr w14:paraId="7830D800">
        <w:tblPrEx>
          <w:tblCellMar>
            <w:top w:w="0" w:type="dxa"/>
            <w:left w:w="108" w:type="dxa"/>
            <w:bottom w:w="0" w:type="dxa"/>
            <w:right w:w="108" w:type="dxa"/>
          </w:tblCellMar>
        </w:tblPrEx>
        <w:trPr>
          <w:trHeight w:val="871" w:hRule="atLeast"/>
          <w:jc w:val="center"/>
        </w:trPr>
        <w:tc>
          <w:tcPr>
            <w:tcW w:w="1249" w:type="pct"/>
            <w:tcBorders>
              <w:top w:val="single" w:color="auto" w:sz="6" w:space="0"/>
              <w:left w:val="single" w:color="auto" w:sz="6" w:space="0"/>
              <w:bottom w:val="single" w:color="auto" w:sz="6" w:space="0"/>
              <w:right w:val="single" w:color="auto" w:sz="6" w:space="0"/>
              <w:tl2br w:val="single" w:color="auto" w:sz="4" w:space="0"/>
            </w:tcBorders>
            <w:noWrap w:val="0"/>
            <w:vAlign w:val="top"/>
          </w:tcPr>
          <w:p w14:paraId="36AB829D">
            <w:pPr>
              <w:autoSpaceDE w:val="0"/>
              <w:autoSpaceDN w:val="0"/>
              <w:adjustRightInd w:val="0"/>
              <w:snapToGrid w:val="0"/>
              <w:spacing w:line="360" w:lineRule="auto"/>
              <w:ind w:right="14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报价内容</w:t>
            </w:r>
          </w:p>
          <w:p w14:paraId="5030471B">
            <w:pPr>
              <w:autoSpaceDE w:val="0"/>
              <w:autoSpaceDN w:val="0"/>
              <w:adjustRightInd w:val="0"/>
              <w:snapToGrid w:val="0"/>
              <w:spacing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项目名称</w:t>
            </w:r>
          </w:p>
        </w:tc>
        <w:tc>
          <w:tcPr>
            <w:tcW w:w="1262" w:type="pct"/>
            <w:tcBorders>
              <w:top w:val="single" w:color="auto" w:sz="6" w:space="0"/>
              <w:left w:val="single" w:color="auto" w:sz="6" w:space="0"/>
              <w:bottom w:val="single" w:color="auto" w:sz="6" w:space="0"/>
              <w:right w:val="single" w:color="auto" w:sz="6" w:space="0"/>
            </w:tcBorders>
            <w:noWrap w:val="0"/>
            <w:vAlign w:val="center"/>
          </w:tcPr>
          <w:p w14:paraId="54F45179">
            <w:pPr>
              <w:autoSpaceDE w:val="0"/>
              <w:autoSpaceDN w:val="0"/>
              <w:adjustRightInd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p w14:paraId="2CE1F411">
            <w:pPr>
              <w:autoSpaceDE w:val="0"/>
              <w:autoSpaceDN w:val="0"/>
              <w:adjustRightInd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（元）</w:t>
            </w:r>
          </w:p>
        </w:tc>
        <w:tc>
          <w:tcPr>
            <w:tcW w:w="1244" w:type="pct"/>
            <w:tcBorders>
              <w:top w:val="single" w:color="auto" w:sz="6" w:space="0"/>
              <w:left w:val="single" w:color="auto" w:sz="6" w:space="0"/>
              <w:bottom w:val="single" w:color="auto" w:sz="6" w:space="0"/>
              <w:right w:val="single" w:color="auto" w:sz="6" w:space="0"/>
            </w:tcBorders>
            <w:noWrap w:val="0"/>
            <w:vAlign w:val="center"/>
          </w:tcPr>
          <w:p w14:paraId="74D7F501">
            <w:pPr>
              <w:autoSpaceDE w:val="0"/>
              <w:autoSpaceDN w:val="0"/>
              <w:adjustRightInd w:val="0"/>
              <w:snapToGrid w:val="0"/>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交货时间</w:t>
            </w:r>
          </w:p>
        </w:tc>
        <w:tc>
          <w:tcPr>
            <w:tcW w:w="1244" w:type="pct"/>
            <w:tcBorders>
              <w:top w:val="single" w:color="auto" w:sz="6" w:space="0"/>
              <w:left w:val="single" w:color="auto" w:sz="6" w:space="0"/>
              <w:bottom w:val="single" w:color="auto" w:sz="6" w:space="0"/>
              <w:right w:val="single" w:color="auto" w:sz="6" w:space="0"/>
            </w:tcBorders>
            <w:noWrap w:val="0"/>
            <w:vAlign w:val="center"/>
          </w:tcPr>
          <w:p w14:paraId="2C693220">
            <w:pPr>
              <w:autoSpaceDE w:val="0"/>
              <w:autoSpaceDN w:val="0"/>
              <w:adjustRightInd w:val="0"/>
              <w:snapToGrid w:val="0"/>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服务期限</w:t>
            </w:r>
          </w:p>
        </w:tc>
      </w:tr>
      <w:tr w14:paraId="14622787">
        <w:tblPrEx>
          <w:tblCellMar>
            <w:top w:w="0" w:type="dxa"/>
            <w:left w:w="108" w:type="dxa"/>
            <w:bottom w:w="0" w:type="dxa"/>
            <w:right w:w="108" w:type="dxa"/>
          </w:tblCellMar>
        </w:tblPrEx>
        <w:trPr>
          <w:trHeight w:val="847" w:hRule="atLeast"/>
          <w:jc w:val="center"/>
        </w:trPr>
        <w:tc>
          <w:tcPr>
            <w:tcW w:w="1249" w:type="pct"/>
            <w:tcBorders>
              <w:top w:val="single" w:color="auto" w:sz="6" w:space="0"/>
              <w:left w:val="single" w:color="auto" w:sz="6" w:space="0"/>
              <w:bottom w:val="single" w:color="auto" w:sz="6" w:space="0"/>
              <w:right w:val="single" w:color="auto" w:sz="6" w:space="0"/>
            </w:tcBorders>
            <w:noWrap w:val="0"/>
            <w:vAlign w:val="center"/>
          </w:tcPr>
          <w:p w14:paraId="0F697674">
            <w:pPr>
              <w:autoSpaceDE w:val="0"/>
              <w:autoSpaceDN w:val="0"/>
              <w:adjustRightInd w:val="0"/>
              <w:snapToGrid w:val="0"/>
              <w:spacing w:line="360" w:lineRule="auto"/>
              <w:jc w:val="center"/>
              <w:rPr>
                <w:rFonts w:hint="eastAsia" w:ascii="仿宋" w:hAnsi="仿宋" w:eastAsia="仿宋" w:cs="仿宋"/>
                <w:color w:val="auto"/>
                <w:sz w:val="24"/>
                <w:szCs w:val="24"/>
                <w:highlight w:val="none"/>
                <w:lang w:eastAsia="zh-CN"/>
              </w:rPr>
            </w:pPr>
          </w:p>
        </w:tc>
        <w:tc>
          <w:tcPr>
            <w:tcW w:w="1262" w:type="pct"/>
            <w:tcBorders>
              <w:top w:val="single" w:color="auto" w:sz="6" w:space="0"/>
              <w:left w:val="single" w:color="auto" w:sz="6" w:space="0"/>
              <w:bottom w:val="single" w:color="auto" w:sz="6" w:space="0"/>
              <w:right w:val="single" w:color="auto" w:sz="6" w:space="0"/>
            </w:tcBorders>
            <w:noWrap w:val="0"/>
            <w:vAlign w:val="center"/>
          </w:tcPr>
          <w:p w14:paraId="17F3A3B2">
            <w:pPr>
              <w:autoSpaceDE w:val="0"/>
              <w:autoSpaceDN w:val="0"/>
              <w:adjustRightInd w:val="0"/>
              <w:snapToGrid w:val="0"/>
              <w:spacing w:line="360" w:lineRule="auto"/>
              <w:jc w:val="left"/>
              <w:rPr>
                <w:rFonts w:hint="eastAsia" w:ascii="仿宋" w:hAnsi="仿宋" w:eastAsia="仿宋" w:cs="仿宋"/>
                <w:color w:val="auto"/>
                <w:sz w:val="24"/>
                <w:szCs w:val="24"/>
                <w:highlight w:val="none"/>
                <w:lang w:val="en-US" w:eastAsia="zh-CN"/>
              </w:rPr>
            </w:pPr>
          </w:p>
          <w:p w14:paraId="0FA1AF51">
            <w:pPr>
              <w:autoSpaceDE w:val="0"/>
              <w:autoSpaceDN w:val="0"/>
              <w:adjustRightInd w:val="0"/>
              <w:snapToGrid w:val="0"/>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小写：</w:t>
            </w:r>
          </w:p>
          <w:p w14:paraId="2A6D5C14">
            <w:pPr>
              <w:autoSpaceDE w:val="0"/>
              <w:autoSpaceDN w:val="0"/>
              <w:adjustRightInd w:val="0"/>
              <w:snapToGrid w:val="0"/>
              <w:spacing w:line="360" w:lineRule="auto"/>
              <w:jc w:val="left"/>
              <w:rPr>
                <w:rFonts w:hint="eastAsia" w:ascii="仿宋" w:hAnsi="仿宋" w:eastAsia="仿宋" w:cs="仿宋"/>
                <w:color w:val="auto"/>
                <w:sz w:val="24"/>
                <w:szCs w:val="24"/>
                <w:highlight w:val="none"/>
              </w:rPr>
            </w:pPr>
          </w:p>
          <w:p w14:paraId="70F6F4AD">
            <w:pPr>
              <w:autoSpaceDE w:val="0"/>
              <w:autoSpaceDN w:val="0"/>
              <w:adjustRightInd w:val="0"/>
              <w:snapToGrid w:val="0"/>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大写：</w:t>
            </w:r>
          </w:p>
          <w:p w14:paraId="7F9744A2">
            <w:pPr>
              <w:pStyle w:val="15"/>
              <w:rPr>
                <w:rFonts w:hint="eastAsia" w:ascii="仿宋" w:hAnsi="仿宋" w:eastAsia="仿宋" w:cs="仿宋"/>
                <w:color w:val="auto"/>
                <w:sz w:val="24"/>
                <w:szCs w:val="24"/>
              </w:rPr>
            </w:pPr>
          </w:p>
        </w:tc>
        <w:tc>
          <w:tcPr>
            <w:tcW w:w="1244" w:type="pct"/>
            <w:tcBorders>
              <w:top w:val="single" w:color="auto" w:sz="6" w:space="0"/>
              <w:left w:val="single" w:color="auto" w:sz="6" w:space="0"/>
              <w:bottom w:val="single" w:color="auto" w:sz="6" w:space="0"/>
              <w:right w:val="single" w:color="auto" w:sz="6" w:space="0"/>
            </w:tcBorders>
            <w:noWrap w:val="0"/>
            <w:vAlign w:val="center"/>
          </w:tcPr>
          <w:p w14:paraId="3AE589D9">
            <w:pPr>
              <w:autoSpaceDE w:val="0"/>
              <w:autoSpaceDN w:val="0"/>
              <w:adjustRightInd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接到采购计划后</w:t>
            </w:r>
          </w:p>
          <w:p w14:paraId="458DD937">
            <w:pPr>
              <w:autoSpaceDE w:val="0"/>
              <w:autoSpaceDN w:val="0"/>
              <w:adjustRightInd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个工作日内送达</w:t>
            </w:r>
          </w:p>
        </w:tc>
        <w:tc>
          <w:tcPr>
            <w:tcW w:w="1244" w:type="pct"/>
            <w:tcBorders>
              <w:top w:val="single" w:color="auto" w:sz="6" w:space="0"/>
              <w:left w:val="single" w:color="auto" w:sz="6" w:space="0"/>
              <w:bottom w:val="single" w:color="auto" w:sz="6" w:space="0"/>
              <w:right w:val="single" w:color="auto" w:sz="6" w:space="0"/>
            </w:tcBorders>
            <w:noWrap w:val="0"/>
            <w:vAlign w:val="center"/>
          </w:tcPr>
          <w:p w14:paraId="585F3431">
            <w:pPr>
              <w:autoSpaceDE w:val="0"/>
              <w:autoSpaceDN w:val="0"/>
              <w:adjustRightInd w:val="0"/>
              <w:snapToGrid w:val="0"/>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1年</w:t>
            </w:r>
          </w:p>
        </w:tc>
      </w:tr>
      <w:tr w14:paraId="4CE4453E">
        <w:tblPrEx>
          <w:tblCellMar>
            <w:top w:w="0" w:type="dxa"/>
            <w:left w:w="108" w:type="dxa"/>
            <w:bottom w:w="0" w:type="dxa"/>
            <w:right w:w="108" w:type="dxa"/>
          </w:tblCellMar>
        </w:tblPrEx>
        <w:trPr>
          <w:trHeight w:val="847" w:hRule="atLeast"/>
          <w:jc w:val="center"/>
        </w:trPr>
        <w:tc>
          <w:tcPr>
            <w:tcW w:w="5000" w:type="pct"/>
            <w:gridSpan w:val="4"/>
            <w:tcBorders>
              <w:top w:val="single" w:color="auto" w:sz="6" w:space="0"/>
              <w:left w:val="single" w:color="auto" w:sz="6" w:space="0"/>
              <w:bottom w:val="single" w:color="auto" w:sz="6" w:space="0"/>
              <w:right w:val="single" w:color="auto" w:sz="6" w:space="0"/>
            </w:tcBorders>
            <w:noWrap w:val="0"/>
            <w:vAlign w:val="center"/>
          </w:tcPr>
          <w:p w14:paraId="132FEF53">
            <w:pPr>
              <w:autoSpaceDE w:val="0"/>
              <w:autoSpaceDN w:val="0"/>
              <w:adjustRightInd w:val="0"/>
              <w:snapToGrid w:val="0"/>
              <w:spacing w:line="360" w:lineRule="auto"/>
              <w:ind w:firstLine="0" w:firstLine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备注：表内报价内容以元为单位，保留小数点后（两位）。</w:t>
            </w:r>
          </w:p>
        </w:tc>
      </w:tr>
    </w:tbl>
    <w:p w14:paraId="16E9D090">
      <w:pPr>
        <w:pStyle w:val="17"/>
        <w:tabs>
          <w:tab w:val="left" w:pos="5580"/>
        </w:tabs>
        <w:spacing w:line="360" w:lineRule="auto"/>
        <w:ind w:left="1156" w:leftChars="257" w:hanging="540"/>
        <w:jc w:val="left"/>
        <w:rPr>
          <w:rFonts w:hint="eastAsia" w:ascii="仿宋" w:hAnsi="仿宋" w:eastAsia="仿宋" w:cs="仿宋"/>
          <w:color w:val="auto"/>
          <w:sz w:val="24"/>
          <w:highlight w:val="none"/>
          <w:u w:val="single"/>
        </w:rPr>
      </w:pPr>
    </w:p>
    <w:p w14:paraId="0ADB9D98">
      <w:pPr>
        <w:pStyle w:val="17"/>
        <w:tabs>
          <w:tab w:val="left" w:pos="5580"/>
        </w:tabs>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投标人（盖公章）：</w:t>
      </w:r>
      <w:r>
        <w:rPr>
          <w:rFonts w:hint="eastAsia" w:ascii="仿宋" w:hAnsi="仿宋" w:eastAsia="仿宋" w:cs="仿宋"/>
          <w:color w:val="auto"/>
          <w:sz w:val="24"/>
          <w:highlight w:val="none"/>
          <w:u w:val="single"/>
        </w:rPr>
        <w:t xml:space="preserve">                          </w:t>
      </w:r>
    </w:p>
    <w:p w14:paraId="4790A8F1">
      <w:pPr>
        <w:spacing w:line="560" w:lineRule="exact"/>
        <w:jc w:val="both"/>
        <w:rPr>
          <w:rFonts w:hint="eastAsia" w:ascii="仿宋" w:hAnsi="仿宋" w:eastAsia="仿宋" w:cs="仿宋"/>
          <w:color w:val="auto"/>
          <w:sz w:val="28"/>
          <w:szCs w:val="28"/>
          <w:highlight w:val="none"/>
        </w:rPr>
      </w:pPr>
      <w:r>
        <w:rPr>
          <w:rFonts w:hint="eastAsia" w:ascii="仿宋" w:hAnsi="仿宋" w:eastAsia="仿宋" w:cs="仿宋"/>
          <w:color w:val="auto"/>
          <w:sz w:val="24"/>
          <w:highlight w:val="none"/>
        </w:rPr>
        <w:t>法定代表人（负责人）或委托代理人(签字或签章):</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p>
    <w:p w14:paraId="5CA71D57">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p>
    <w:p w14:paraId="20403E31">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1．此表中，投标总价应和投标分项报价表的总价相一致。</w:t>
      </w:r>
    </w:p>
    <w:p w14:paraId="0200BDF3">
      <w:pPr>
        <w:spacing w:line="560" w:lineRule="exact"/>
        <w:ind w:firstLine="480"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2．“大写”栏</w:t>
      </w:r>
      <w:r>
        <w:rPr>
          <w:rFonts w:hint="eastAsia" w:ascii="仿宋" w:hAnsi="仿宋" w:eastAsia="仿宋" w:cs="仿宋"/>
          <w:color w:val="auto"/>
          <w:sz w:val="24"/>
          <w:szCs w:val="24"/>
          <w:highlight w:val="none"/>
          <w:lang w:val="en-US" w:eastAsia="zh-CN"/>
        </w:rPr>
        <w:t>应</w:t>
      </w:r>
      <w:r>
        <w:rPr>
          <w:rFonts w:hint="eastAsia" w:ascii="仿宋" w:hAnsi="仿宋" w:eastAsia="仿宋" w:cs="仿宋"/>
          <w:color w:val="auto"/>
          <w:sz w:val="24"/>
          <w:szCs w:val="24"/>
          <w:highlight w:val="none"/>
        </w:rPr>
        <w:t>按银行大写金额样式进行填写。样式参考：壹、贰、叁、肆、伍、陆、柒、捌、玖、拾、佰、仟、万、亿、元（圆）、角、分、零、整（正）。</w:t>
      </w:r>
    </w:p>
    <w:p w14:paraId="2C9FCD49">
      <w:pPr>
        <w:spacing w:line="560" w:lineRule="exact"/>
        <w:ind w:firstLine="560"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41B7CE64">
      <w:pPr>
        <w:pStyle w:val="103"/>
        <w:rPr>
          <w:rFonts w:hint="eastAsia" w:ascii="仿宋" w:eastAsia="仿宋" w:cs="仿宋"/>
          <w:color w:val="auto"/>
          <w:highlight w:val="none"/>
        </w:rPr>
      </w:pPr>
      <w:r>
        <w:rPr>
          <w:rFonts w:hint="eastAsia" w:ascii="仿宋" w:eastAsia="仿宋" w:cs="仿宋"/>
          <w:color w:val="auto"/>
          <w:sz w:val="32"/>
          <w:szCs w:val="32"/>
          <w:highlight w:val="none"/>
        </w:rPr>
        <w:t>分项报价表</w:t>
      </w:r>
    </w:p>
    <w:p w14:paraId="670F23EC">
      <w:pPr>
        <w:keepNext w:val="0"/>
        <w:keepLines w:val="0"/>
        <w:pageBreakBefore w:val="0"/>
        <w:widowControl/>
        <w:tabs>
          <w:tab w:val="left" w:pos="1800"/>
          <w:tab w:val="left" w:pos="5580"/>
        </w:tabs>
        <w:kinsoku/>
        <w:wordWrap/>
        <w:overflowPunct/>
        <w:topLinePunct w:val="0"/>
        <w:autoSpaceDE/>
        <w:autoSpaceDN/>
        <w:bidi w:val="0"/>
        <w:adjustRightInd/>
        <w:snapToGrid/>
        <w:spacing w:line="360" w:lineRule="auto"/>
        <w:ind w:right="-991" w:rightChars="-413"/>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lang w:eastAsia="zh-CN"/>
        </w:rPr>
        <w:t>非集采中药饮片招标采购项目（2包）二次</w:t>
      </w:r>
    </w:p>
    <w:p w14:paraId="4BB68A95">
      <w:pPr>
        <w:keepNext w:val="0"/>
        <w:keepLines w:val="0"/>
        <w:pageBreakBefore w:val="0"/>
        <w:widowControl/>
        <w:tabs>
          <w:tab w:val="left" w:pos="1800"/>
          <w:tab w:val="left" w:pos="5580"/>
        </w:tabs>
        <w:kinsoku/>
        <w:wordWrap/>
        <w:overflowPunct/>
        <w:topLinePunct w:val="0"/>
        <w:autoSpaceDE/>
        <w:autoSpaceDN/>
        <w:bidi w:val="0"/>
        <w:adjustRightInd/>
        <w:snapToGrid/>
        <w:spacing w:line="360" w:lineRule="auto"/>
        <w:ind w:right="-991" w:rightChars="-413"/>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采购项目编号：</w:t>
      </w:r>
      <w:r>
        <w:rPr>
          <w:rFonts w:hint="eastAsia" w:ascii="仿宋" w:hAnsi="仿宋" w:eastAsia="仿宋" w:cs="仿宋"/>
          <w:color w:val="auto"/>
          <w:sz w:val="24"/>
          <w:highlight w:val="none"/>
          <w:lang w:eastAsia="zh-CN"/>
        </w:rPr>
        <w:t>HXGJXM2026-ZC-GK1036</w:t>
      </w:r>
    </w:p>
    <w:p w14:paraId="568F2434">
      <w:pPr>
        <w:shd w:val="clear"/>
        <w:spacing w:line="560" w:lineRule="exact"/>
        <w:jc w:val="righ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单位：元</w:t>
      </w:r>
    </w:p>
    <w:tbl>
      <w:tblPr>
        <w:tblStyle w:val="3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4"/>
        <w:gridCol w:w="806"/>
        <w:gridCol w:w="1003"/>
        <w:gridCol w:w="711"/>
        <w:gridCol w:w="858"/>
        <w:gridCol w:w="934"/>
        <w:gridCol w:w="770"/>
        <w:gridCol w:w="856"/>
        <w:gridCol w:w="910"/>
        <w:gridCol w:w="795"/>
        <w:gridCol w:w="954"/>
      </w:tblGrid>
      <w:tr w14:paraId="28FDE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9" w:type="pct"/>
            <w:noWrap w:val="0"/>
            <w:vAlign w:val="center"/>
          </w:tcPr>
          <w:p w14:paraId="730FCABA">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序号</w:t>
            </w:r>
          </w:p>
        </w:tc>
        <w:tc>
          <w:tcPr>
            <w:tcW w:w="433" w:type="pct"/>
            <w:noWrap w:val="0"/>
            <w:vAlign w:val="center"/>
          </w:tcPr>
          <w:p w14:paraId="41AF36AD">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产品</w:t>
            </w:r>
          </w:p>
          <w:p w14:paraId="63FAE90B">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名称</w:t>
            </w:r>
          </w:p>
        </w:tc>
        <w:tc>
          <w:tcPr>
            <w:tcW w:w="540" w:type="pct"/>
            <w:noWrap w:val="0"/>
            <w:vAlign w:val="center"/>
          </w:tcPr>
          <w:p w14:paraId="114B1FE5">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品牌</w:t>
            </w:r>
          </w:p>
          <w:p w14:paraId="61409BD8">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（若有）</w:t>
            </w:r>
          </w:p>
        </w:tc>
        <w:tc>
          <w:tcPr>
            <w:tcW w:w="383" w:type="pct"/>
            <w:noWrap w:val="0"/>
            <w:vAlign w:val="center"/>
          </w:tcPr>
          <w:p w14:paraId="5524C50F">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生产</w:t>
            </w:r>
          </w:p>
          <w:p w14:paraId="177B3E29">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厂家</w:t>
            </w:r>
          </w:p>
        </w:tc>
        <w:tc>
          <w:tcPr>
            <w:tcW w:w="462" w:type="pct"/>
            <w:noWrap w:val="0"/>
            <w:vAlign w:val="center"/>
          </w:tcPr>
          <w:p w14:paraId="51E80424">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注册证名称（若有）</w:t>
            </w:r>
          </w:p>
        </w:tc>
        <w:tc>
          <w:tcPr>
            <w:tcW w:w="503" w:type="pct"/>
            <w:noWrap w:val="0"/>
            <w:vAlign w:val="center"/>
          </w:tcPr>
          <w:p w14:paraId="338C1FB6">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注册证号（若有）</w:t>
            </w:r>
          </w:p>
        </w:tc>
        <w:tc>
          <w:tcPr>
            <w:tcW w:w="415" w:type="pct"/>
            <w:noWrap w:val="0"/>
            <w:vAlign w:val="center"/>
          </w:tcPr>
          <w:p w14:paraId="7229E1F5">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产地</w:t>
            </w:r>
          </w:p>
        </w:tc>
        <w:tc>
          <w:tcPr>
            <w:tcW w:w="461" w:type="pct"/>
            <w:noWrap w:val="0"/>
            <w:vAlign w:val="center"/>
          </w:tcPr>
          <w:p w14:paraId="3EC9A40D">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规格</w:t>
            </w:r>
          </w:p>
          <w:p w14:paraId="6E3399E0">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型号</w:t>
            </w:r>
          </w:p>
        </w:tc>
        <w:tc>
          <w:tcPr>
            <w:tcW w:w="490" w:type="pct"/>
            <w:noWrap w:val="0"/>
            <w:vAlign w:val="center"/>
          </w:tcPr>
          <w:p w14:paraId="7AAB5D9A">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单价</w:t>
            </w:r>
          </w:p>
        </w:tc>
        <w:tc>
          <w:tcPr>
            <w:tcW w:w="428" w:type="pct"/>
            <w:noWrap w:val="0"/>
            <w:vAlign w:val="center"/>
          </w:tcPr>
          <w:p w14:paraId="4F8E2A0C">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预估数量</w:t>
            </w:r>
          </w:p>
        </w:tc>
        <w:tc>
          <w:tcPr>
            <w:tcW w:w="512" w:type="pct"/>
            <w:noWrap w:val="0"/>
            <w:vAlign w:val="center"/>
          </w:tcPr>
          <w:p w14:paraId="5A6A2BDB">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合计</w:t>
            </w:r>
          </w:p>
        </w:tc>
      </w:tr>
      <w:tr w14:paraId="146F7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69" w:type="pct"/>
            <w:noWrap w:val="0"/>
            <w:vAlign w:val="center"/>
          </w:tcPr>
          <w:p w14:paraId="27B8C868">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w:t>
            </w:r>
          </w:p>
        </w:tc>
        <w:tc>
          <w:tcPr>
            <w:tcW w:w="433" w:type="pct"/>
            <w:noWrap w:val="0"/>
            <w:vAlign w:val="center"/>
          </w:tcPr>
          <w:p w14:paraId="5D4056C3">
            <w:pPr>
              <w:widowControl/>
              <w:spacing w:beforeLines="0" w:afterLines="0" w:line="240" w:lineRule="auto"/>
              <w:jc w:val="center"/>
              <w:textAlignment w:val="center"/>
              <w:rPr>
                <w:rFonts w:hint="eastAsia" w:ascii="仿宋" w:hAnsi="仿宋" w:eastAsia="仿宋" w:cs="仿宋"/>
                <w:b w:val="0"/>
                <w:bCs/>
                <w:color w:val="auto"/>
                <w:kern w:val="2"/>
                <w:sz w:val="24"/>
                <w:szCs w:val="24"/>
                <w:lang w:val="en-US" w:eastAsia="zh-CN" w:bidi="ar-SA"/>
              </w:rPr>
            </w:pPr>
          </w:p>
        </w:tc>
        <w:tc>
          <w:tcPr>
            <w:tcW w:w="540" w:type="pct"/>
            <w:noWrap w:val="0"/>
            <w:vAlign w:val="center"/>
          </w:tcPr>
          <w:p w14:paraId="6FEEC6EB">
            <w:pPr>
              <w:widowControl/>
              <w:spacing w:beforeLines="0" w:afterLines="0" w:line="240" w:lineRule="auto"/>
              <w:jc w:val="center"/>
              <w:textAlignment w:val="center"/>
              <w:rPr>
                <w:rFonts w:hint="eastAsia" w:ascii="仿宋" w:hAnsi="仿宋" w:eastAsia="仿宋" w:cs="仿宋"/>
                <w:b/>
                <w:color w:val="auto"/>
                <w:kern w:val="2"/>
                <w:sz w:val="24"/>
                <w:szCs w:val="24"/>
                <w:lang w:val="en-US" w:eastAsia="zh-CN" w:bidi="ar-SA"/>
              </w:rPr>
            </w:pPr>
          </w:p>
        </w:tc>
        <w:tc>
          <w:tcPr>
            <w:tcW w:w="383" w:type="pct"/>
            <w:noWrap w:val="0"/>
            <w:vAlign w:val="center"/>
          </w:tcPr>
          <w:p w14:paraId="3B228D1E">
            <w:pPr>
              <w:pStyle w:val="17"/>
              <w:spacing w:line="240" w:lineRule="auto"/>
              <w:jc w:val="center"/>
              <w:rPr>
                <w:rFonts w:hint="eastAsia" w:ascii="仿宋" w:hAnsi="仿宋" w:eastAsia="仿宋" w:cs="仿宋"/>
                <w:color w:val="auto"/>
                <w:sz w:val="24"/>
                <w:szCs w:val="24"/>
                <w:lang w:val="en-US" w:eastAsia="zh-CN"/>
              </w:rPr>
            </w:pPr>
          </w:p>
        </w:tc>
        <w:tc>
          <w:tcPr>
            <w:tcW w:w="462" w:type="pct"/>
            <w:noWrap w:val="0"/>
            <w:vAlign w:val="center"/>
          </w:tcPr>
          <w:p w14:paraId="485EC8D1">
            <w:pPr>
              <w:pStyle w:val="17"/>
              <w:spacing w:line="240" w:lineRule="auto"/>
              <w:jc w:val="center"/>
              <w:rPr>
                <w:rFonts w:hint="eastAsia" w:ascii="仿宋" w:hAnsi="仿宋" w:eastAsia="仿宋" w:cs="仿宋"/>
                <w:color w:val="auto"/>
                <w:sz w:val="24"/>
                <w:szCs w:val="24"/>
                <w:lang w:val="en-US" w:eastAsia="zh-CN"/>
              </w:rPr>
            </w:pPr>
          </w:p>
        </w:tc>
        <w:tc>
          <w:tcPr>
            <w:tcW w:w="503" w:type="pct"/>
            <w:noWrap w:val="0"/>
            <w:vAlign w:val="center"/>
          </w:tcPr>
          <w:p w14:paraId="274D9948">
            <w:pPr>
              <w:pStyle w:val="17"/>
              <w:spacing w:line="240" w:lineRule="auto"/>
              <w:jc w:val="center"/>
              <w:rPr>
                <w:rFonts w:hint="eastAsia" w:ascii="仿宋" w:hAnsi="仿宋" w:eastAsia="仿宋" w:cs="仿宋"/>
                <w:color w:val="auto"/>
                <w:sz w:val="24"/>
                <w:szCs w:val="24"/>
                <w:lang w:val="en-US" w:eastAsia="zh-CN"/>
              </w:rPr>
            </w:pPr>
          </w:p>
        </w:tc>
        <w:tc>
          <w:tcPr>
            <w:tcW w:w="415" w:type="pct"/>
            <w:noWrap w:val="0"/>
            <w:vAlign w:val="center"/>
          </w:tcPr>
          <w:p w14:paraId="47FE3B59">
            <w:pPr>
              <w:pStyle w:val="17"/>
              <w:spacing w:line="240" w:lineRule="auto"/>
              <w:jc w:val="center"/>
              <w:rPr>
                <w:rFonts w:hint="eastAsia" w:ascii="仿宋" w:hAnsi="仿宋" w:eastAsia="仿宋" w:cs="仿宋"/>
                <w:color w:val="auto"/>
                <w:sz w:val="24"/>
                <w:szCs w:val="24"/>
                <w:lang w:val="en-US" w:eastAsia="zh-CN"/>
              </w:rPr>
            </w:pPr>
          </w:p>
        </w:tc>
        <w:tc>
          <w:tcPr>
            <w:tcW w:w="461" w:type="pct"/>
            <w:noWrap w:val="0"/>
            <w:vAlign w:val="center"/>
          </w:tcPr>
          <w:p w14:paraId="72E2D152">
            <w:pPr>
              <w:pStyle w:val="17"/>
              <w:spacing w:line="240" w:lineRule="auto"/>
              <w:jc w:val="center"/>
              <w:rPr>
                <w:rFonts w:hint="eastAsia" w:ascii="仿宋" w:hAnsi="仿宋" w:eastAsia="仿宋" w:cs="仿宋"/>
                <w:color w:val="auto"/>
                <w:sz w:val="24"/>
                <w:szCs w:val="24"/>
                <w:lang w:val="en-US" w:eastAsia="zh-CN"/>
              </w:rPr>
            </w:pPr>
          </w:p>
        </w:tc>
        <w:tc>
          <w:tcPr>
            <w:tcW w:w="490" w:type="pct"/>
            <w:noWrap w:val="0"/>
            <w:vAlign w:val="center"/>
          </w:tcPr>
          <w:p w14:paraId="742B7720">
            <w:pPr>
              <w:pStyle w:val="17"/>
              <w:spacing w:line="240" w:lineRule="auto"/>
              <w:jc w:val="center"/>
              <w:rPr>
                <w:rFonts w:hint="eastAsia" w:ascii="仿宋" w:hAnsi="仿宋" w:eastAsia="仿宋" w:cs="仿宋"/>
                <w:color w:val="auto"/>
                <w:sz w:val="24"/>
                <w:szCs w:val="24"/>
                <w:lang w:val="en-US" w:eastAsia="zh-CN"/>
              </w:rPr>
            </w:pPr>
          </w:p>
        </w:tc>
        <w:tc>
          <w:tcPr>
            <w:tcW w:w="428" w:type="pct"/>
            <w:noWrap w:val="0"/>
            <w:vAlign w:val="center"/>
          </w:tcPr>
          <w:p w14:paraId="7B457A35">
            <w:pPr>
              <w:pStyle w:val="17"/>
              <w:spacing w:line="240" w:lineRule="auto"/>
              <w:jc w:val="center"/>
              <w:rPr>
                <w:rFonts w:hint="eastAsia" w:ascii="仿宋" w:hAnsi="仿宋" w:eastAsia="仿宋" w:cs="仿宋"/>
                <w:color w:val="auto"/>
                <w:sz w:val="24"/>
                <w:szCs w:val="24"/>
                <w:lang w:val="en-US" w:eastAsia="zh-CN"/>
              </w:rPr>
            </w:pPr>
          </w:p>
        </w:tc>
        <w:tc>
          <w:tcPr>
            <w:tcW w:w="512" w:type="pct"/>
            <w:noWrap w:val="0"/>
            <w:vAlign w:val="center"/>
          </w:tcPr>
          <w:p w14:paraId="20ADABF5">
            <w:pPr>
              <w:pStyle w:val="17"/>
              <w:spacing w:line="240" w:lineRule="auto"/>
              <w:jc w:val="center"/>
              <w:rPr>
                <w:rFonts w:hint="eastAsia" w:ascii="仿宋" w:hAnsi="仿宋" w:eastAsia="仿宋" w:cs="仿宋"/>
                <w:color w:val="auto"/>
                <w:sz w:val="24"/>
                <w:szCs w:val="24"/>
                <w:lang w:val="en-US" w:eastAsia="zh-CN"/>
              </w:rPr>
            </w:pPr>
          </w:p>
        </w:tc>
      </w:tr>
      <w:tr w14:paraId="0EFDD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69" w:type="pct"/>
            <w:noWrap w:val="0"/>
            <w:vAlign w:val="center"/>
          </w:tcPr>
          <w:p w14:paraId="7818F6A4">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w:t>
            </w:r>
          </w:p>
        </w:tc>
        <w:tc>
          <w:tcPr>
            <w:tcW w:w="433" w:type="pct"/>
            <w:noWrap w:val="0"/>
            <w:vAlign w:val="center"/>
          </w:tcPr>
          <w:p w14:paraId="3733BC06">
            <w:pPr>
              <w:widowControl/>
              <w:spacing w:beforeLines="0" w:afterLines="0" w:line="240" w:lineRule="auto"/>
              <w:jc w:val="center"/>
              <w:textAlignment w:val="center"/>
              <w:rPr>
                <w:rFonts w:hint="eastAsia" w:ascii="仿宋" w:hAnsi="仿宋" w:eastAsia="仿宋" w:cs="仿宋"/>
                <w:b w:val="0"/>
                <w:bCs/>
                <w:color w:val="auto"/>
                <w:kern w:val="2"/>
                <w:sz w:val="24"/>
                <w:szCs w:val="24"/>
                <w:lang w:val="en-US" w:eastAsia="zh-CN" w:bidi="ar-SA"/>
              </w:rPr>
            </w:pPr>
          </w:p>
        </w:tc>
        <w:tc>
          <w:tcPr>
            <w:tcW w:w="540" w:type="pct"/>
            <w:noWrap w:val="0"/>
            <w:vAlign w:val="center"/>
          </w:tcPr>
          <w:p w14:paraId="0D8E11C2">
            <w:pPr>
              <w:widowControl/>
              <w:spacing w:beforeLines="0" w:afterLines="0" w:line="240" w:lineRule="auto"/>
              <w:jc w:val="center"/>
              <w:textAlignment w:val="center"/>
              <w:rPr>
                <w:rFonts w:hint="eastAsia" w:ascii="仿宋" w:hAnsi="仿宋" w:eastAsia="仿宋" w:cs="仿宋"/>
                <w:b/>
                <w:color w:val="auto"/>
                <w:kern w:val="2"/>
                <w:sz w:val="24"/>
                <w:szCs w:val="24"/>
                <w:lang w:val="en-US" w:eastAsia="zh-CN" w:bidi="ar-SA"/>
              </w:rPr>
            </w:pPr>
          </w:p>
        </w:tc>
        <w:tc>
          <w:tcPr>
            <w:tcW w:w="383" w:type="pct"/>
            <w:noWrap w:val="0"/>
            <w:vAlign w:val="center"/>
          </w:tcPr>
          <w:p w14:paraId="152FEC1D">
            <w:pPr>
              <w:pStyle w:val="17"/>
              <w:spacing w:line="240" w:lineRule="auto"/>
              <w:jc w:val="center"/>
              <w:rPr>
                <w:rFonts w:hint="eastAsia" w:ascii="仿宋" w:hAnsi="仿宋" w:eastAsia="仿宋" w:cs="仿宋"/>
                <w:color w:val="auto"/>
                <w:sz w:val="24"/>
                <w:szCs w:val="24"/>
                <w:lang w:val="en-US" w:eastAsia="zh-CN"/>
              </w:rPr>
            </w:pPr>
          </w:p>
        </w:tc>
        <w:tc>
          <w:tcPr>
            <w:tcW w:w="462" w:type="pct"/>
            <w:noWrap w:val="0"/>
            <w:vAlign w:val="center"/>
          </w:tcPr>
          <w:p w14:paraId="107F2D6E">
            <w:pPr>
              <w:pStyle w:val="17"/>
              <w:spacing w:line="240" w:lineRule="auto"/>
              <w:jc w:val="center"/>
              <w:rPr>
                <w:rFonts w:hint="eastAsia" w:ascii="仿宋" w:hAnsi="仿宋" w:eastAsia="仿宋" w:cs="仿宋"/>
                <w:color w:val="auto"/>
                <w:sz w:val="24"/>
                <w:szCs w:val="24"/>
                <w:lang w:val="en-US" w:eastAsia="zh-CN"/>
              </w:rPr>
            </w:pPr>
          </w:p>
        </w:tc>
        <w:tc>
          <w:tcPr>
            <w:tcW w:w="503" w:type="pct"/>
            <w:noWrap w:val="0"/>
            <w:vAlign w:val="center"/>
          </w:tcPr>
          <w:p w14:paraId="4AFAD711">
            <w:pPr>
              <w:pStyle w:val="17"/>
              <w:spacing w:line="240" w:lineRule="auto"/>
              <w:jc w:val="center"/>
              <w:rPr>
                <w:rFonts w:hint="eastAsia" w:ascii="仿宋" w:hAnsi="仿宋" w:eastAsia="仿宋" w:cs="仿宋"/>
                <w:color w:val="auto"/>
                <w:sz w:val="24"/>
                <w:szCs w:val="24"/>
                <w:lang w:val="en-US" w:eastAsia="zh-CN"/>
              </w:rPr>
            </w:pPr>
          </w:p>
        </w:tc>
        <w:tc>
          <w:tcPr>
            <w:tcW w:w="415" w:type="pct"/>
            <w:noWrap w:val="0"/>
            <w:vAlign w:val="center"/>
          </w:tcPr>
          <w:p w14:paraId="77EB3118">
            <w:pPr>
              <w:pStyle w:val="17"/>
              <w:spacing w:line="240" w:lineRule="auto"/>
              <w:jc w:val="center"/>
              <w:rPr>
                <w:rFonts w:hint="eastAsia" w:ascii="仿宋" w:hAnsi="仿宋" w:eastAsia="仿宋" w:cs="仿宋"/>
                <w:color w:val="auto"/>
                <w:sz w:val="24"/>
                <w:szCs w:val="24"/>
                <w:lang w:val="en-US" w:eastAsia="zh-CN"/>
              </w:rPr>
            </w:pPr>
          </w:p>
        </w:tc>
        <w:tc>
          <w:tcPr>
            <w:tcW w:w="461" w:type="pct"/>
            <w:noWrap w:val="0"/>
            <w:vAlign w:val="center"/>
          </w:tcPr>
          <w:p w14:paraId="5740C9E0">
            <w:pPr>
              <w:pStyle w:val="17"/>
              <w:spacing w:line="240" w:lineRule="auto"/>
              <w:jc w:val="center"/>
              <w:rPr>
                <w:rFonts w:hint="eastAsia" w:ascii="仿宋" w:hAnsi="仿宋" w:eastAsia="仿宋" w:cs="仿宋"/>
                <w:color w:val="auto"/>
                <w:sz w:val="24"/>
                <w:szCs w:val="24"/>
                <w:lang w:val="en-US" w:eastAsia="zh-CN"/>
              </w:rPr>
            </w:pPr>
          </w:p>
        </w:tc>
        <w:tc>
          <w:tcPr>
            <w:tcW w:w="490" w:type="pct"/>
            <w:noWrap w:val="0"/>
            <w:vAlign w:val="center"/>
          </w:tcPr>
          <w:p w14:paraId="44CECAC8">
            <w:pPr>
              <w:pStyle w:val="17"/>
              <w:spacing w:line="240" w:lineRule="auto"/>
              <w:jc w:val="center"/>
              <w:rPr>
                <w:rFonts w:hint="eastAsia" w:ascii="仿宋" w:hAnsi="仿宋" w:eastAsia="仿宋" w:cs="仿宋"/>
                <w:color w:val="auto"/>
                <w:sz w:val="24"/>
                <w:szCs w:val="24"/>
                <w:lang w:val="en-US" w:eastAsia="zh-CN"/>
              </w:rPr>
            </w:pPr>
          </w:p>
        </w:tc>
        <w:tc>
          <w:tcPr>
            <w:tcW w:w="428" w:type="pct"/>
            <w:noWrap w:val="0"/>
            <w:vAlign w:val="center"/>
          </w:tcPr>
          <w:p w14:paraId="15751621">
            <w:pPr>
              <w:pStyle w:val="17"/>
              <w:spacing w:line="240" w:lineRule="auto"/>
              <w:jc w:val="center"/>
              <w:rPr>
                <w:rFonts w:hint="eastAsia" w:ascii="仿宋" w:hAnsi="仿宋" w:eastAsia="仿宋" w:cs="仿宋"/>
                <w:color w:val="auto"/>
                <w:sz w:val="24"/>
                <w:szCs w:val="24"/>
                <w:lang w:val="en-US" w:eastAsia="zh-CN"/>
              </w:rPr>
            </w:pPr>
          </w:p>
        </w:tc>
        <w:tc>
          <w:tcPr>
            <w:tcW w:w="512" w:type="pct"/>
            <w:noWrap w:val="0"/>
            <w:vAlign w:val="center"/>
          </w:tcPr>
          <w:p w14:paraId="3B558B26">
            <w:pPr>
              <w:pStyle w:val="17"/>
              <w:spacing w:line="240" w:lineRule="auto"/>
              <w:jc w:val="center"/>
              <w:rPr>
                <w:rFonts w:hint="eastAsia" w:ascii="仿宋" w:hAnsi="仿宋" w:eastAsia="仿宋" w:cs="仿宋"/>
                <w:color w:val="auto"/>
                <w:sz w:val="24"/>
                <w:szCs w:val="24"/>
                <w:lang w:val="en-US" w:eastAsia="zh-CN"/>
              </w:rPr>
            </w:pPr>
          </w:p>
        </w:tc>
      </w:tr>
      <w:tr w14:paraId="067C3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69" w:type="pct"/>
            <w:noWrap w:val="0"/>
            <w:vAlign w:val="center"/>
          </w:tcPr>
          <w:p w14:paraId="29AC006F">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w:t>
            </w:r>
          </w:p>
        </w:tc>
        <w:tc>
          <w:tcPr>
            <w:tcW w:w="433" w:type="pct"/>
            <w:noWrap w:val="0"/>
            <w:vAlign w:val="center"/>
          </w:tcPr>
          <w:p w14:paraId="7E790459">
            <w:pPr>
              <w:widowControl/>
              <w:spacing w:beforeLines="0" w:afterLines="0" w:line="240" w:lineRule="auto"/>
              <w:jc w:val="center"/>
              <w:textAlignment w:val="center"/>
              <w:rPr>
                <w:rFonts w:hint="eastAsia" w:ascii="仿宋" w:hAnsi="仿宋" w:eastAsia="仿宋" w:cs="仿宋"/>
                <w:b w:val="0"/>
                <w:bCs/>
                <w:color w:val="auto"/>
                <w:kern w:val="2"/>
                <w:sz w:val="24"/>
                <w:szCs w:val="24"/>
                <w:lang w:val="en-US" w:eastAsia="zh-CN" w:bidi="ar-SA"/>
              </w:rPr>
            </w:pPr>
          </w:p>
        </w:tc>
        <w:tc>
          <w:tcPr>
            <w:tcW w:w="540" w:type="pct"/>
            <w:noWrap w:val="0"/>
            <w:vAlign w:val="center"/>
          </w:tcPr>
          <w:p w14:paraId="3ECC4DCD">
            <w:pPr>
              <w:widowControl/>
              <w:spacing w:beforeLines="0" w:afterLines="0" w:line="240" w:lineRule="auto"/>
              <w:jc w:val="center"/>
              <w:textAlignment w:val="center"/>
              <w:rPr>
                <w:rFonts w:hint="eastAsia" w:ascii="仿宋" w:hAnsi="仿宋" w:eastAsia="仿宋" w:cs="仿宋"/>
                <w:b/>
                <w:color w:val="auto"/>
                <w:kern w:val="2"/>
                <w:sz w:val="24"/>
                <w:szCs w:val="24"/>
                <w:lang w:val="en-US" w:eastAsia="zh-CN" w:bidi="ar-SA"/>
              </w:rPr>
            </w:pPr>
          </w:p>
        </w:tc>
        <w:tc>
          <w:tcPr>
            <w:tcW w:w="383" w:type="pct"/>
            <w:noWrap w:val="0"/>
            <w:vAlign w:val="center"/>
          </w:tcPr>
          <w:p w14:paraId="4C00CCE6">
            <w:pPr>
              <w:pStyle w:val="17"/>
              <w:spacing w:line="240" w:lineRule="auto"/>
              <w:jc w:val="center"/>
              <w:rPr>
                <w:rFonts w:hint="eastAsia" w:ascii="仿宋" w:hAnsi="仿宋" w:eastAsia="仿宋" w:cs="仿宋"/>
                <w:color w:val="auto"/>
                <w:sz w:val="24"/>
                <w:szCs w:val="24"/>
                <w:lang w:val="en-US" w:eastAsia="zh-CN"/>
              </w:rPr>
            </w:pPr>
          </w:p>
        </w:tc>
        <w:tc>
          <w:tcPr>
            <w:tcW w:w="462" w:type="pct"/>
            <w:noWrap w:val="0"/>
            <w:vAlign w:val="center"/>
          </w:tcPr>
          <w:p w14:paraId="4C5E8949">
            <w:pPr>
              <w:pStyle w:val="17"/>
              <w:spacing w:line="240" w:lineRule="auto"/>
              <w:jc w:val="center"/>
              <w:rPr>
                <w:rFonts w:hint="eastAsia" w:ascii="仿宋" w:hAnsi="仿宋" w:eastAsia="仿宋" w:cs="仿宋"/>
                <w:color w:val="auto"/>
                <w:sz w:val="24"/>
                <w:szCs w:val="24"/>
                <w:lang w:val="en-US" w:eastAsia="zh-CN"/>
              </w:rPr>
            </w:pPr>
          </w:p>
        </w:tc>
        <w:tc>
          <w:tcPr>
            <w:tcW w:w="503" w:type="pct"/>
            <w:noWrap w:val="0"/>
            <w:vAlign w:val="center"/>
          </w:tcPr>
          <w:p w14:paraId="3F4588E1">
            <w:pPr>
              <w:pStyle w:val="17"/>
              <w:spacing w:line="240" w:lineRule="auto"/>
              <w:jc w:val="center"/>
              <w:rPr>
                <w:rFonts w:hint="eastAsia" w:ascii="仿宋" w:hAnsi="仿宋" w:eastAsia="仿宋" w:cs="仿宋"/>
                <w:color w:val="auto"/>
                <w:sz w:val="24"/>
                <w:szCs w:val="24"/>
                <w:lang w:val="en-US" w:eastAsia="zh-CN"/>
              </w:rPr>
            </w:pPr>
          </w:p>
        </w:tc>
        <w:tc>
          <w:tcPr>
            <w:tcW w:w="415" w:type="pct"/>
            <w:noWrap w:val="0"/>
            <w:vAlign w:val="center"/>
          </w:tcPr>
          <w:p w14:paraId="54D31855">
            <w:pPr>
              <w:pStyle w:val="17"/>
              <w:spacing w:line="240" w:lineRule="auto"/>
              <w:jc w:val="center"/>
              <w:rPr>
                <w:rFonts w:hint="eastAsia" w:ascii="仿宋" w:hAnsi="仿宋" w:eastAsia="仿宋" w:cs="仿宋"/>
                <w:color w:val="auto"/>
                <w:sz w:val="24"/>
                <w:szCs w:val="24"/>
                <w:lang w:val="en-US" w:eastAsia="zh-CN"/>
              </w:rPr>
            </w:pPr>
          </w:p>
        </w:tc>
        <w:tc>
          <w:tcPr>
            <w:tcW w:w="461" w:type="pct"/>
            <w:noWrap w:val="0"/>
            <w:vAlign w:val="center"/>
          </w:tcPr>
          <w:p w14:paraId="0E6395F9">
            <w:pPr>
              <w:pStyle w:val="17"/>
              <w:spacing w:line="240" w:lineRule="auto"/>
              <w:jc w:val="center"/>
              <w:rPr>
                <w:rFonts w:hint="eastAsia" w:ascii="仿宋" w:hAnsi="仿宋" w:eastAsia="仿宋" w:cs="仿宋"/>
                <w:color w:val="auto"/>
                <w:sz w:val="24"/>
                <w:szCs w:val="24"/>
                <w:lang w:val="en-US" w:eastAsia="zh-CN"/>
              </w:rPr>
            </w:pPr>
          </w:p>
        </w:tc>
        <w:tc>
          <w:tcPr>
            <w:tcW w:w="490" w:type="pct"/>
            <w:noWrap w:val="0"/>
            <w:vAlign w:val="center"/>
          </w:tcPr>
          <w:p w14:paraId="346BAF04">
            <w:pPr>
              <w:pStyle w:val="17"/>
              <w:spacing w:line="240" w:lineRule="auto"/>
              <w:jc w:val="center"/>
              <w:rPr>
                <w:rFonts w:hint="eastAsia" w:ascii="仿宋" w:hAnsi="仿宋" w:eastAsia="仿宋" w:cs="仿宋"/>
                <w:color w:val="auto"/>
                <w:sz w:val="24"/>
                <w:szCs w:val="24"/>
                <w:lang w:val="en-US" w:eastAsia="zh-CN"/>
              </w:rPr>
            </w:pPr>
          </w:p>
        </w:tc>
        <w:tc>
          <w:tcPr>
            <w:tcW w:w="428" w:type="pct"/>
            <w:noWrap w:val="0"/>
            <w:vAlign w:val="center"/>
          </w:tcPr>
          <w:p w14:paraId="5FB1DE14">
            <w:pPr>
              <w:pStyle w:val="17"/>
              <w:spacing w:line="240" w:lineRule="auto"/>
              <w:jc w:val="center"/>
              <w:rPr>
                <w:rFonts w:hint="eastAsia" w:ascii="仿宋" w:hAnsi="仿宋" w:eastAsia="仿宋" w:cs="仿宋"/>
                <w:color w:val="auto"/>
                <w:sz w:val="24"/>
                <w:szCs w:val="24"/>
                <w:lang w:val="en-US" w:eastAsia="zh-CN"/>
              </w:rPr>
            </w:pPr>
          </w:p>
        </w:tc>
        <w:tc>
          <w:tcPr>
            <w:tcW w:w="512" w:type="pct"/>
            <w:noWrap w:val="0"/>
            <w:vAlign w:val="center"/>
          </w:tcPr>
          <w:p w14:paraId="23518415">
            <w:pPr>
              <w:pStyle w:val="17"/>
              <w:spacing w:line="240" w:lineRule="auto"/>
              <w:jc w:val="center"/>
              <w:rPr>
                <w:rFonts w:hint="eastAsia" w:ascii="仿宋" w:hAnsi="仿宋" w:eastAsia="仿宋" w:cs="仿宋"/>
                <w:color w:val="auto"/>
                <w:sz w:val="24"/>
                <w:szCs w:val="24"/>
                <w:lang w:val="en-US" w:eastAsia="zh-CN"/>
              </w:rPr>
            </w:pPr>
          </w:p>
        </w:tc>
      </w:tr>
      <w:tr w14:paraId="03EA5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69" w:type="pct"/>
            <w:noWrap w:val="0"/>
            <w:vAlign w:val="center"/>
          </w:tcPr>
          <w:p w14:paraId="7DEAFD66">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w:t>
            </w:r>
          </w:p>
        </w:tc>
        <w:tc>
          <w:tcPr>
            <w:tcW w:w="433" w:type="pct"/>
            <w:noWrap w:val="0"/>
            <w:vAlign w:val="center"/>
          </w:tcPr>
          <w:p w14:paraId="72FA9BCD">
            <w:pPr>
              <w:widowControl/>
              <w:spacing w:beforeLines="0" w:afterLines="0" w:line="240" w:lineRule="auto"/>
              <w:jc w:val="center"/>
              <w:textAlignment w:val="center"/>
              <w:rPr>
                <w:rFonts w:hint="eastAsia" w:ascii="仿宋" w:hAnsi="仿宋" w:eastAsia="仿宋" w:cs="仿宋"/>
                <w:b w:val="0"/>
                <w:bCs/>
                <w:color w:val="auto"/>
                <w:kern w:val="2"/>
                <w:sz w:val="24"/>
                <w:szCs w:val="24"/>
                <w:lang w:val="en-US" w:eastAsia="zh-CN" w:bidi="ar-SA"/>
              </w:rPr>
            </w:pPr>
          </w:p>
        </w:tc>
        <w:tc>
          <w:tcPr>
            <w:tcW w:w="540" w:type="pct"/>
            <w:noWrap w:val="0"/>
            <w:vAlign w:val="center"/>
          </w:tcPr>
          <w:p w14:paraId="28755ADF">
            <w:pPr>
              <w:widowControl/>
              <w:spacing w:beforeLines="0" w:afterLines="0" w:line="240" w:lineRule="auto"/>
              <w:jc w:val="center"/>
              <w:textAlignment w:val="center"/>
              <w:rPr>
                <w:rFonts w:hint="eastAsia" w:ascii="仿宋" w:hAnsi="仿宋" w:eastAsia="仿宋" w:cs="仿宋"/>
                <w:b/>
                <w:color w:val="auto"/>
                <w:kern w:val="2"/>
                <w:sz w:val="24"/>
                <w:szCs w:val="24"/>
                <w:lang w:val="en-US" w:eastAsia="zh-CN" w:bidi="ar-SA"/>
              </w:rPr>
            </w:pPr>
          </w:p>
        </w:tc>
        <w:tc>
          <w:tcPr>
            <w:tcW w:w="383" w:type="pct"/>
            <w:noWrap w:val="0"/>
            <w:vAlign w:val="center"/>
          </w:tcPr>
          <w:p w14:paraId="4CCB7989">
            <w:pPr>
              <w:pStyle w:val="17"/>
              <w:spacing w:line="240" w:lineRule="auto"/>
              <w:jc w:val="center"/>
              <w:rPr>
                <w:rFonts w:hint="eastAsia" w:ascii="仿宋" w:hAnsi="仿宋" w:eastAsia="仿宋" w:cs="仿宋"/>
                <w:color w:val="auto"/>
                <w:sz w:val="24"/>
                <w:szCs w:val="24"/>
                <w:lang w:val="en-US" w:eastAsia="zh-CN"/>
              </w:rPr>
            </w:pPr>
          </w:p>
        </w:tc>
        <w:tc>
          <w:tcPr>
            <w:tcW w:w="462" w:type="pct"/>
            <w:noWrap w:val="0"/>
            <w:vAlign w:val="center"/>
          </w:tcPr>
          <w:p w14:paraId="07950E59">
            <w:pPr>
              <w:pStyle w:val="17"/>
              <w:spacing w:line="240" w:lineRule="auto"/>
              <w:jc w:val="center"/>
              <w:rPr>
                <w:rFonts w:hint="eastAsia" w:ascii="仿宋" w:hAnsi="仿宋" w:eastAsia="仿宋" w:cs="仿宋"/>
                <w:color w:val="auto"/>
                <w:sz w:val="24"/>
                <w:szCs w:val="24"/>
                <w:lang w:val="en-US" w:eastAsia="zh-CN"/>
              </w:rPr>
            </w:pPr>
          </w:p>
        </w:tc>
        <w:tc>
          <w:tcPr>
            <w:tcW w:w="503" w:type="pct"/>
            <w:noWrap w:val="0"/>
            <w:vAlign w:val="center"/>
          </w:tcPr>
          <w:p w14:paraId="3D5141FA">
            <w:pPr>
              <w:pStyle w:val="17"/>
              <w:spacing w:line="240" w:lineRule="auto"/>
              <w:jc w:val="center"/>
              <w:rPr>
                <w:rFonts w:hint="eastAsia" w:ascii="仿宋" w:hAnsi="仿宋" w:eastAsia="仿宋" w:cs="仿宋"/>
                <w:color w:val="auto"/>
                <w:sz w:val="24"/>
                <w:szCs w:val="24"/>
                <w:lang w:val="en-US" w:eastAsia="zh-CN"/>
              </w:rPr>
            </w:pPr>
          </w:p>
        </w:tc>
        <w:tc>
          <w:tcPr>
            <w:tcW w:w="415" w:type="pct"/>
            <w:noWrap w:val="0"/>
            <w:vAlign w:val="center"/>
          </w:tcPr>
          <w:p w14:paraId="41AD0F31">
            <w:pPr>
              <w:pStyle w:val="17"/>
              <w:spacing w:line="240" w:lineRule="auto"/>
              <w:jc w:val="center"/>
              <w:rPr>
                <w:rFonts w:hint="eastAsia" w:ascii="仿宋" w:hAnsi="仿宋" w:eastAsia="仿宋" w:cs="仿宋"/>
                <w:color w:val="auto"/>
                <w:sz w:val="24"/>
                <w:szCs w:val="24"/>
                <w:lang w:val="en-US" w:eastAsia="zh-CN"/>
              </w:rPr>
            </w:pPr>
          </w:p>
        </w:tc>
        <w:tc>
          <w:tcPr>
            <w:tcW w:w="461" w:type="pct"/>
            <w:noWrap w:val="0"/>
            <w:vAlign w:val="center"/>
          </w:tcPr>
          <w:p w14:paraId="02056813">
            <w:pPr>
              <w:pStyle w:val="17"/>
              <w:spacing w:line="240" w:lineRule="auto"/>
              <w:jc w:val="center"/>
              <w:rPr>
                <w:rFonts w:hint="eastAsia" w:ascii="仿宋" w:hAnsi="仿宋" w:eastAsia="仿宋" w:cs="仿宋"/>
                <w:color w:val="auto"/>
                <w:sz w:val="24"/>
                <w:szCs w:val="24"/>
                <w:lang w:val="en-US" w:eastAsia="zh-CN"/>
              </w:rPr>
            </w:pPr>
          </w:p>
        </w:tc>
        <w:tc>
          <w:tcPr>
            <w:tcW w:w="490" w:type="pct"/>
            <w:noWrap w:val="0"/>
            <w:vAlign w:val="center"/>
          </w:tcPr>
          <w:p w14:paraId="0231DD20">
            <w:pPr>
              <w:pStyle w:val="17"/>
              <w:spacing w:line="240" w:lineRule="auto"/>
              <w:jc w:val="center"/>
              <w:rPr>
                <w:rFonts w:hint="eastAsia" w:ascii="仿宋" w:hAnsi="仿宋" w:eastAsia="仿宋" w:cs="仿宋"/>
                <w:color w:val="auto"/>
                <w:sz w:val="24"/>
                <w:szCs w:val="24"/>
                <w:lang w:val="en-US" w:eastAsia="zh-CN"/>
              </w:rPr>
            </w:pPr>
          </w:p>
        </w:tc>
        <w:tc>
          <w:tcPr>
            <w:tcW w:w="428" w:type="pct"/>
            <w:noWrap w:val="0"/>
            <w:vAlign w:val="center"/>
          </w:tcPr>
          <w:p w14:paraId="3EE8FF6E">
            <w:pPr>
              <w:pStyle w:val="17"/>
              <w:spacing w:line="240" w:lineRule="auto"/>
              <w:jc w:val="center"/>
              <w:rPr>
                <w:rFonts w:hint="eastAsia" w:ascii="仿宋" w:hAnsi="仿宋" w:eastAsia="仿宋" w:cs="仿宋"/>
                <w:color w:val="auto"/>
                <w:sz w:val="24"/>
                <w:szCs w:val="24"/>
                <w:lang w:val="en-US" w:eastAsia="zh-CN"/>
              </w:rPr>
            </w:pPr>
          </w:p>
        </w:tc>
        <w:tc>
          <w:tcPr>
            <w:tcW w:w="512" w:type="pct"/>
            <w:noWrap w:val="0"/>
            <w:vAlign w:val="center"/>
          </w:tcPr>
          <w:p w14:paraId="126DEC81">
            <w:pPr>
              <w:pStyle w:val="17"/>
              <w:spacing w:line="240" w:lineRule="auto"/>
              <w:jc w:val="center"/>
              <w:rPr>
                <w:rFonts w:hint="eastAsia" w:ascii="仿宋" w:hAnsi="仿宋" w:eastAsia="仿宋" w:cs="仿宋"/>
                <w:color w:val="auto"/>
                <w:sz w:val="24"/>
                <w:szCs w:val="24"/>
                <w:lang w:val="en-US" w:eastAsia="zh-CN"/>
              </w:rPr>
            </w:pPr>
          </w:p>
        </w:tc>
      </w:tr>
      <w:tr w14:paraId="163C1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369" w:type="pct"/>
            <w:noWrap w:val="0"/>
            <w:vAlign w:val="center"/>
          </w:tcPr>
          <w:p w14:paraId="456DFF9E">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w:t>
            </w:r>
          </w:p>
        </w:tc>
        <w:tc>
          <w:tcPr>
            <w:tcW w:w="433" w:type="pct"/>
            <w:noWrap w:val="0"/>
            <w:vAlign w:val="center"/>
          </w:tcPr>
          <w:p w14:paraId="572D0D2A">
            <w:pPr>
              <w:widowControl/>
              <w:spacing w:beforeLines="0" w:afterLines="0" w:line="240" w:lineRule="auto"/>
              <w:jc w:val="center"/>
              <w:textAlignment w:val="center"/>
              <w:rPr>
                <w:rFonts w:hint="eastAsia" w:ascii="仿宋" w:hAnsi="仿宋" w:eastAsia="仿宋" w:cs="仿宋"/>
                <w:b w:val="0"/>
                <w:bCs/>
                <w:color w:val="auto"/>
                <w:kern w:val="2"/>
                <w:sz w:val="24"/>
                <w:szCs w:val="24"/>
                <w:lang w:val="en-US" w:eastAsia="zh-CN" w:bidi="ar-SA"/>
              </w:rPr>
            </w:pPr>
          </w:p>
        </w:tc>
        <w:tc>
          <w:tcPr>
            <w:tcW w:w="540" w:type="pct"/>
            <w:noWrap w:val="0"/>
            <w:vAlign w:val="center"/>
          </w:tcPr>
          <w:p w14:paraId="4013B140">
            <w:pPr>
              <w:widowControl/>
              <w:spacing w:beforeLines="0" w:afterLines="0" w:line="240" w:lineRule="auto"/>
              <w:jc w:val="center"/>
              <w:textAlignment w:val="center"/>
              <w:rPr>
                <w:rFonts w:hint="eastAsia" w:ascii="仿宋" w:hAnsi="仿宋" w:eastAsia="仿宋" w:cs="仿宋"/>
                <w:b/>
                <w:color w:val="auto"/>
                <w:kern w:val="2"/>
                <w:sz w:val="24"/>
                <w:szCs w:val="24"/>
                <w:lang w:val="en-US" w:eastAsia="zh-CN" w:bidi="ar-SA"/>
              </w:rPr>
            </w:pPr>
          </w:p>
        </w:tc>
        <w:tc>
          <w:tcPr>
            <w:tcW w:w="383" w:type="pct"/>
            <w:noWrap w:val="0"/>
            <w:vAlign w:val="center"/>
          </w:tcPr>
          <w:p w14:paraId="598DB95F">
            <w:pPr>
              <w:pStyle w:val="17"/>
              <w:spacing w:line="240" w:lineRule="auto"/>
              <w:jc w:val="center"/>
              <w:rPr>
                <w:rFonts w:hint="eastAsia" w:ascii="仿宋" w:hAnsi="仿宋" w:eastAsia="仿宋" w:cs="仿宋"/>
                <w:color w:val="auto"/>
                <w:sz w:val="24"/>
                <w:szCs w:val="24"/>
                <w:lang w:val="en-US" w:eastAsia="zh-CN"/>
              </w:rPr>
            </w:pPr>
          </w:p>
        </w:tc>
        <w:tc>
          <w:tcPr>
            <w:tcW w:w="462" w:type="pct"/>
            <w:noWrap w:val="0"/>
            <w:vAlign w:val="center"/>
          </w:tcPr>
          <w:p w14:paraId="6B85817A">
            <w:pPr>
              <w:pStyle w:val="17"/>
              <w:spacing w:line="240" w:lineRule="auto"/>
              <w:jc w:val="center"/>
              <w:rPr>
                <w:rFonts w:hint="eastAsia" w:ascii="仿宋" w:hAnsi="仿宋" w:eastAsia="仿宋" w:cs="仿宋"/>
                <w:color w:val="auto"/>
                <w:sz w:val="24"/>
                <w:szCs w:val="24"/>
                <w:lang w:val="en-US" w:eastAsia="zh-CN"/>
              </w:rPr>
            </w:pPr>
          </w:p>
        </w:tc>
        <w:tc>
          <w:tcPr>
            <w:tcW w:w="503" w:type="pct"/>
            <w:noWrap w:val="0"/>
            <w:vAlign w:val="center"/>
          </w:tcPr>
          <w:p w14:paraId="44B198AF">
            <w:pPr>
              <w:pStyle w:val="17"/>
              <w:spacing w:line="240" w:lineRule="auto"/>
              <w:jc w:val="center"/>
              <w:rPr>
                <w:rFonts w:hint="eastAsia" w:ascii="仿宋" w:hAnsi="仿宋" w:eastAsia="仿宋" w:cs="仿宋"/>
                <w:color w:val="auto"/>
                <w:sz w:val="24"/>
                <w:szCs w:val="24"/>
                <w:lang w:val="en-US" w:eastAsia="zh-CN"/>
              </w:rPr>
            </w:pPr>
          </w:p>
        </w:tc>
        <w:tc>
          <w:tcPr>
            <w:tcW w:w="415" w:type="pct"/>
            <w:noWrap w:val="0"/>
            <w:vAlign w:val="center"/>
          </w:tcPr>
          <w:p w14:paraId="694A6362">
            <w:pPr>
              <w:pStyle w:val="17"/>
              <w:spacing w:line="240" w:lineRule="auto"/>
              <w:jc w:val="center"/>
              <w:rPr>
                <w:rFonts w:hint="eastAsia" w:ascii="仿宋" w:hAnsi="仿宋" w:eastAsia="仿宋" w:cs="仿宋"/>
                <w:color w:val="auto"/>
                <w:sz w:val="24"/>
                <w:szCs w:val="24"/>
                <w:lang w:val="en-US" w:eastAsia="zh-CN"/>
              </w:rPr>
            </w:pPr>
          </w:p>
        </w:tc>
        <w:tc>
          <w:tcPr>
            <w:tcW w:w="461" w:type="pct"/>
            <w:noWrap w:val="0"/>
            <w:vAlign w:val="center"/>
          </w:tcPr>
          <w:p w14:paraId="68C79723">
            <w:pPr>
              <w:pStyle w:val="17"/>
              <w:spacing w:line="240" w:lineRule="auto"/>
              <w:jc w:val="center"/>
              <w:rPr>
                <w:rFonts w:hint="eastAsia" w:ascii="仿宋" w:hAnsi="仿宋" w:eastAsia="仿宋" w:cs="仿宋"/>
                <w:color w:val="auto"/>
                <w:sz w:val="24"/>
                <w:szCs w:val="24"/>
                <w:lang w:val="en-US" w:eastAsia="zh-CN"/>
              </w:rPr>
            </w:pPr>
          </w:p>
        </w:tc>
        <w:tc>
          <w:tcPr>
            <w:tcW w:w="490" w:type="pct"/>
            <w:noWrap w:val="0"/>
            <w:vAlign w:val="center"/>
          </w:tcPr>
          <w:p w14:paraId="20892EAB">
            <w:pPr>
              <w:pStyle w:val="17"/>
              <w:spacing w:line="240" w:lineRule="auto"/>
              <w:jc w:val="center"/>
              <w:rPr>
                <w:rFonts w:hint="eastAsia" w:ascii="仿宋" w:hAnsi="仿宋" w:eastAsia="仿宋" w:cs="仿宋"/>
                <w:color w:val="auto"/>
                <w:sz w:val="24"/>
                <w:szCs w:val="24"/>
                <w:lang w:val="en-US" w:eastAsia="zh-CN"/>
              </w:rPr>
            </w:pPr>
          </w:p>
        </w:tc>
        <w:tc>
          <w:tcPr>
            <w:tcW w:w="428" w:type="pct"/>
            <w:noWrap w:val="0"/>
            <w:vAlign w:val="center"/>
          </w:tcPr>
          <w:p w14:paraId="7781EF2C">
            <w:pPr>
              <w:pStyle w:val="17"/>
              <w:spacing w:line="240" w:lineRule="auto"/>
              <w:jc w:val="center"/>
              <w:rPr>
                <w:rFonts w:hint="eastAsia" w:ascii="仿宋" w:hAnsi="仿宋" w:eastAsia="仿宋" w:cs="仿宋"/>
                <w:color w:val="auto"/>
                <w:sz w:val="24"/>
                <w:szCs w:val="24"/>
                <w:lang w:val="en-US" w:eastAsia="zh-CN"/>
              </w:rPr>
            </w:pPr>
          </w:p>
        </w:tc>
        <w:tc>
          <w:tcPr>
            <w:tcW w:w="512" w:type="pct"/>
            <w:noWrap w:val="0"/>
            <w:vAlign w:val="center"/>
          </w:tcPr>
          <w:p w14:paraId="4027222D">
            <w:pPr>
              <w:pStyle w:val="17"/>
              <w:spacing w:line="240" w:lineRule="auto"/>
              <w:jc w:val="center"/>
              <w:rPr>
                <w:rFonts w:hint="eastAsia" w:ascii="仿宋" w:hAnsi="仿宋" w:eastAsia="仿宋" w:cs="仿宋"/>
                <w:color w:val="auto"/>
                <w:sz w:val="24"/>
                <w:szCs w:val="24"/>
                <w:lang w:val="en-US" w:eastAsia="zh-CN"/>
              </w:rPr>
            </w:pPr>
          </w:p>
        </w:tc>
      </w:tr>
      <w:tr w14:paraId="5C6FB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803" w:type="pct"/>
            <w:gridSpan w:val="2"/>
            <w:noWrap w:val="0"/>
            <w:vAlign w:val="center"/>
          </w:tcPr>
          <w:p w14:paraId="5212E7AC">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总报价</w:t>
            </w:r>
          </w:p>
        </w:tc>
        <w:tc>
          <w:tcPr>
            <w:tcW w:w="4196" w:type="pct"/>
            <w:gridSpan w:val="9"/>
            <w:noWrap w:val="0"/>
            <w:vAlign w:val="center"/>
          </w:tcPr>
          <w:p w14:paraId="79E156D3">
            <w:pPr>
              <w:pStyle w:val="17"/>
              <w:spacing w:line="240" w:lineRule="auto"/>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大写：</w:t>
            </w:r>
          </w:p>
          <w:p w14:paraId="33C3A474">
            <w:pPr>
              <w:pStyle w:val="17"/>
              <w:spacing w:line="240" w:lineRule="auto"/>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小写：</w:t>
            </w:r>
          </w:p>
        </w:tc>
      </w:tr>
    </w:tbl>
    <w:p w14:paraId="77B11F1C">
      <w:pPr>
        <w:shd w:val="clear"/>
        <w:spacing w:line="560" w:lineRule="exact"/>
        <w:jc w:val="both"/>
        <w:rPr>
          <w:rFonts w:hint="eastAsia" w:ascii="仿宋" w:hAnsi="仿宋" w:eastAsia="仿宋" w:cs="仿宋"/>
          <w:color w:val="auto"/>
          <w:sz w:val="28"/>
          <w:szCs w:val="28"/>
          <w:highlight w:val="none"/>
        </w:rPr>
      </w:pPr>
    </w:p>
    <w:p w14:paraId="1361D80F">
      <w:pPr>
        <w:pStyle w:val="11"/>
        <w:ind w:left="0" w:leftChars="0" w:firstLine="0" w:firstLineChars="0"/>
        <w:rPr>
          <w:rFonts w:hint="eastAsia" w:ascii="仿宋" w:hAnsi="仿宋" w:eastAsia="仿宋" w:cs="仿宋"/>
          <w:color w:val="auto"/>
          <w:sz w:val="28"/>
          <w:szCs w:val="28"/>
          <w:highlight w:val="none"/>
        </w:rPr>
      </w:pPr>
    </w:p>
    <w:p w14:paraId="26CF694E">
      <w:pPr>
        <w:pStyle w:val="11"/>
        <w:ind w:left="0" w:leftChars="0" w:firstLine="0" w:firstLineChars="0"/>
        <w:rPr>
          <w:rFonts w:hint="eastAsia" w:ascii="仿宋" w:hAnsi="仿宋" w:eastAsia="仿宋" w:cs="仿宋"/>
          <w:color w:val="auto"/>
          <w:sz w:val="28"/>
          <w:szCs w:val="28"/>
          <w:highlight w:val="none"/>
        </w:rPr>
      </w:pPr>
    </w:p>
    <w:p w14:paraId="119CE604">
      <w:pPr>
        <w:pStyle w:val="17"/>
        <w:tabs>
          <w:tab w:val="left" w:pos="5580"/>
        </w:tabs>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投标人（盖公章）：</w:t>
      </w:r>
      <w:r>
        <w:rPr>
          <w:rFonts w:hint="eastAsia" w:ascii="仿宋" w:hAnsi="仿宋" w:eastAsia="仿宋" w:cs="仿宋"/>
          <w:color w:val="auto"/>
          <w:sz w:val="24"/>
          <w:szCs w:val="24"/>
          <w:highlight w:val="none"/>
          <w:u w:val="single"/>
        </w:rPr>
        <w:t xml:space="preserve">                          </w:t>
      </w:r>
    </w:p>
    <w:p w14:paraId="2093E582">
      <w:pPr>
        <w:spacing w:line="560" w:lineRule="exact"/>
        <w:jc w:val="both"/>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法定代表人（负责人）或委托代理人(签字或签章):</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p>
    <w:p w14:paraId="57B5D29E">
      <w:pPr>
        <w:shd w:val="clear"/>
        <w:spacing w:line="560" w:lineRule="exact"/>
        <w:jc w:val="both"/>
        <w:rPr>
          <w:rFonts w:hint="eastAsia" w:ascii="仿宋" w:hAnsi="仿宋" w:eastAsia="仿宋" w:cs="仿宋"/>
          <w:color w:val="auto"/>
          <w:sz w:val="28"/>
          <w:szCs w:val="28"/>
          <w:highlight w:val="none"/>
        </w:rPr>
      </w:pPr>
    </w:p>
    <w:p w14:paraId="36008834">
      <w:pPr>
        <w:spacing w:line="560" w:lineRule="exact"/>
        <w:ind w:firstLine="420"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sz w:val="21"/>
          <w:szCs w:val="21"/>
          <w:highlight w:val="none"/>
        </w:rPr>
        <w:t>注：表格空间不足时，可自行扩展。</w:t>
      </w:r>
    </w:p>
    <w:p w14:paraId="25417290">
      <w:pPr>
        <w:spacing w:line="560" w:lineRule="exact"/>
        <w:ind w:firstLine="560" w:firstLineChars="200"/>
        <w:jc w:val="both"/>
        <w:rPr>
          <w:rFonts w:hint="eastAsia" w:ascii="仿宋" w:hAnsi="仿宋" w:eastAsia="仿宋" w:cs="仿宋"/>
          <w:color w:val="auto"/>
          <w:sz w:val="28"/>
          <w:szCs w:val="28"/>
          <w:highlight w:val="none"/>
        </w:rPr>
      </w:pPr>
    </w:p>
    <w:p w14:paraId="42989F82">
      <w:pPr>
        <w:spacing w:line="560" w:lineRule="exact"/>
        <w:ind w:firstLine="560"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275BB2D0">
      <w:pPr>
        <w:pStyle w:val="3"/>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hint="eastAsia" w:ascii="仿宋" w:hAnsi="仿宋" w:eastAsia="仿宋" w:cs="仿宋"/>
          <w:color w:val="auto"/>
          <w:highlight w:val="none"/>
        </w:rPr>
      </w:pPr>
      <w:bookmarkStart w:id="192" w:name="_Toc19010"/>
      <w:bookmarkStart w:id="193" w:name="_Toc10116"/>
      <w:r>
        <w:rPr>
          <w:rFonts w:hint="eastAsia" w:ascii="仿宋" w:hAnsi="仿宋" w:eastAsia="仿宋" w:cs="仿宋"/>
          <w:color w:val="auto"/>
          <w:highlight w:val="none"/>
        </w:rPr>
        <w:t>第三部分  投标方案说明书</w:t>
      </w:r>
      <w:bookmarkEnd w:id="192"/>
      <w:bookmarkEnd w:id="193"/>
    </w:p>
    <w:p w14:paraId="5F3447CA">
      <w:pPr>
        <w:pStyle w:val="15"/>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投标人</w:t>
      </w:r>
      <w:r>
        <w:rPr>
          <w:rFonts w:hint="eastAsia" w:ascii="仿宋" w:hAnsi="仿宋" w:eastAsia="仿宋" w:cs="仿宋"/>
          <w:b/>
          <w:color w:val="auto"/>
          <w:sz w:val="24"/>
          <w:szCs w:val="24"/>
          <w:highlight w:val="none"/>
        </w:rPr>
        <w:t>结合第四章</w:t>
      </w:r>
      <w:r>
        <w:rPr>
          <w:rFonts w:hint="eastAsia" w:ascii="仿宋" w:hAnsi="仿宋" w:eastAsia="仿宋" w:cs="仿宋"/>
          <w:b/>
          <w:color w:val="auto"/>
          <w:sz w:val="24"/>
          <w:szCs w:val="24"/>
          <w:highlight w:val="none"/>
          <w:lang w:eastAsia="zh-CN"/>
        </w:rPr>
        <w:t>招标内容</w:t>
      </w:r>
      <w:r>
        <w:rPr>
          <w:rFonts w:hint="eastAsia" w:ascii="仿宋" w:hAnsi="仿宋" w:eastAsia="仿宋" w:cs="仿宋"/>
          <w:b/>
          <w:color w:val="auto"/>
          <w:sz w:val="24"/>
          <w:szCs w:val="24"/>
          <w:highlight w:val="none"/>
          <w:lang w:val="en-US" w:eastAsia="zh-CN"/>
        </w:rPr>
        <w:t>及要求</w:t>
      </w:r>
      <w:r>
        <w:rPr>
          <w:rFonts w:hint="eastAsia" w:ascii="仿宋" w:hAnsi="仿宋" w:eastAsia="仿宋" w:cs="仿宋"/>
          <w:b/>
          <w:color w:val="auto"/>
          <w:sz w:val="24"/>
          <w:szCs w:val="24"/>
          <w:highlight w:val="none"/>
        </w:rPr>
        <w:t>，根据第五章评标办法中综合评分明细表内容，自行编写</w:t>
      </w:r>
      <w:r>
        <w:rPr>
          <w:rFonts w:hint="eastAsia" w:ascii="仿宋" w:hAnsi="仿宋" w:eastAsia="仿宋" w:cs="仿宋"/>
          <w:b/>
          <w:color w:val="auto"/>
          <w:sz w:val="24"/>
          <w:szCs w:val="24"/>
          <w:highlight w:val="none"/>
          <w:lang w:eastAsia="zh-CN"/>
        </w:rPr>
        <w:t>。</w:t>
      </w:r>
    </w:p>
    <w:p w14:paraId="636B0128">
      <w:pPr>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br w:type="page"/>
      </w:r>
    </w:p>
    <w:p w14:paraId="5C503B7C">
      <w:pPr>
        <w:spacing w:line="440" w:lineRule="exact"/>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t>附表1</w:t>
      </w:r>
    </w:p>
    <w:p w14:paraId="5FB7D939">
      <w:pPr>
        <w:shd w:val="clear"/>
        <w:spacing w:after="120"/>
        <w:jc w:val="center"/>
        <w:rPr>
          <w:rFonts w:hint="eastAsia" w:ascii="仿宋" w:hAnsi="仿宋" w:eastAsia="仿宋" w:cs="仿宋"/>
          <w:b/>
          <w:color w:val="auto"/>
          <w:sz w:val="32"/>
          <w:szCs w:val="32"/>
          <w:highlight w:val="none"/>
        </w:rPr>
      </w:pPr>
      <w:r>
        <w:rPr>
          <w:rFonts w:hint="eastAsia" w:ascii="仿宋" w:hAnsi="仿宋" w:eastAsia="仿宋" w:cs="仿宋"/>
          <w:color w:val="auto"/>
          <w:sz w:val="32"/>
          <w:szCs w:val="32"/>
          <w:highlight w:val="none"/>
          <w:lang w:val="en-US" w:eastAsia="zh-CN" w:bidi="ar-SA"/>
        </w:rPr>
        <w:t>技术规格响应表</w:t>
      </w:r>
    </w:p>
    <w:p w14:paraId="746EAB9D">
      <w:pPr>
        <w:shd w:val="clear"/>
        <w:spacing w:after="120"/>
        <w:ind w:firstLine="120" w:firstLineChars="50"/>
        <w:rPr>
          <w:rFonts w:hint="eastAsia" w:ascii="仿宋" w:hAnsi="仿宋" w:eastAsia="仿宋" w:cs="仿宋"/>
          <w:color w:val="auto"/>
          <w:szCs w:val="24"/>
          <w:highlight w:val="none"/>
        </w:rPr>
      </w:pPr>
    </w:p>
    <w:tbl>
      <w:tblPr>
        <w:tblStyle w:val="32"/>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857"/>
        <w:gridCol w:w="1822"/>
        <w:gridCol w:w="2014"/>
        <w:gridCol w:w="2056"/>
        <w:gridCol w:w="1457"/>
        <w:gridCol w:w="918"/>
      </w:tblGrid>
      <w:tr w14:paraId="1A84B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470" w:type="pct"/>
            <w:noWrap w:val="0"/>
            <w:vAlign w:val="center"/>
          </w:tcPr>
          <w:p w14:paraId="452965F3">
            <w:pPr>
              <w:spacing w:line="400" w:lineRule="atLeast"/>
              <w:jc w:val="center"/>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序号</w:t>
            </w:r>
          </w:p>
        </w:tc>
        <w:tc>
          <w:tcPr>
            <w:tcW w:w="998" w:type="pct"/>
            <w:noWrap w:val="0"/>
            <w:vAlign w:val="center"/>
          </w:tcPr>
          <w:p w14:paraId="5BF24CDA">
            <w:pPr>
              <w:spacing w:line="400" w:lineRule="atLeast"/>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产品名称</w:t>
            </w:r>
          </w:p>
        </w:tc>
        <w:tc>
          <w:tcPr>
            <w:tcW w:w="1103" w:type="pct"/>
            <w:noWrap w:val="0"/>
            <w:vAlign w:val="center"/>
          </w:tcPr>
          <w:p w14:paraId="619C94EB">
            <w:pPr>
              <w:spacing w:line="400" w:lineRule="atLeast"/>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招标文件技术标准</w:t>
            </w:r>
          </w:p>
        </w:tc>
        <w:tc>
          <w:tcPr>
            <w:tcW w:w="1126" w:type="pct"/>
            <w:noWrap w:val="0"/>
            <w:vAlign w:val="center"/>
          </w:tcPr>
          <w:p w14:paraId="55853B5B">
            <w:pPr>
              <w:spacing w:line="400" w:lineRule="atLeast"/>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投标响应技术标准</w:t>
            </w:r>
          </w:p>
        </w:tc>
        <w:tc>
          <w:tcPr>
            <w:tcW w:w="798" w:type="pct"/>
            <w:noWrap w:val="0"/>
            <w:vAlign w:val="center"/>
          </w:tcPr>
          <w:p w14:paraId="29E659CF">
            <w:pPr>
              <w:spacing w:line="400" w:lineRule="atLeas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偏离</w:t>
            </w:r>
          </w:p>
        </w:tc>
        <w:tc>
          <w:tcPr>
            <w:tcW w:w="503" w:type="pct"/>
            <w:noWrap w:val="0"/>
            <w:vAlign w:val="top"/>
          </w:tcPr>
          <w:p w14:paraId="7C8F0422">
            <w:pPr>
              <w:spacing w:line="400" w:lineRule="atLeas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佐证材料页码</w:t>
            </w:r>
          </w:p>
        </w:tc>
      </w:tr>
      <w:tr w14:paraId="36A1F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470" w:type="pct"/>
            <w:noWrap w:val="0"/>
            <w:vAlign w:val="top"/>
          </w:tcPr>
          <w:p w14:paraId="56A713B3">
            <w:pPr>
              <w:spacing w:line="40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998" w:type="pct"/>
            <w:noWrap w:val="0"/>
            <w:vAlign w:val="top"/>
          </w:tcPr>
          <w:p w14:paraId="55D786B4">
            <w:pPr>
              <w:spacing w:line="400" w:lineRule="atLeast"/>
              <w:jc w:val="center"/>
              <w:rPr>
                <w:rFonts w:hint="eastAsia" w:ascii="仿宋" w:hAnsi="仿宋" w:eastAsia="仿宋" w:cs="仿宋"/>
                <w:color w:val="auto"/>
                <w:sz w:val="24"/>
                <w:szCs w:val="24"/>
                <w:highlight w:val="none"/>
              </w:rPr>
            </w:pPr>
          </w:p>
        </w:tc>
        <w:tc>
          <w:tcPr>
            <w:tcW w:w="1103" w:type="pct"/>
            <w:noWrap w:val="0"/>
            <w:vAlign w:val="top"/>
          </w:tcPr>
          <w:p w14:paraId="07B4C711">
            <w:pPr>
              <w:spacing w:line="400" w:lineRule="atLeast"/>
              <w:jc w:val="center"/>
              <w:rPr>
                <w:rFonts w:hint="eastAsia" w:ascii="仿宋" w:hAnsi="仿宋" w:eastAsia="仿宋" w:cs="仿宋"/>
                <w:color w:val="auto"/>
                <w:sz w:val="24"/>
                <w:szCs w:val="24"/>
                <w:highlight w:val="none"/>
              </w:rPr>
            </w:pPr>
          </w:p>
        </w:tc>
        <w:tc>
          <w:tcPr>
            <w:tcW w:w="1126" w:type="pct"/>
            <w:noWrap w:val="0"/>
            <w:vAlign w:val="top"/>
          </w:tcPr>
          <w:p w14:paraId="26B26EB4">
            <w:pPr>
              <w:spacing w:line="400" w:lineRule="atLeast"/>
              <w:jc w:val="center"/>
              <w:rPr>
                <w:rFonts w:hint="eastAsia" w:ascii="仿宋" w:hAnsi="仿宋" w:eastAsia="仿宋" w:cs="仿宋"/>
                <w:color w:val="auto"/>
                <w:sz w:val="24"/>
                <w:szCs w:val="24"/>
                <w:highlight w:val="none"/>
              </w:rPr>
            </w:pPr>
          </w:p>
        </w:tc>
        <w:tc>
          <w:tcPr>
            <w:tcW w:w="798" w:type="pct"/>
            <w:noWrap w:val="0"/>
            <w:vAlign w:val="top"/>
          </w:tcPr>
          <w:p w14:paraId="7521E96D">
            <w:pPr>
              <w:spacing w:line="400" w:lineRule="atLeast"/>
              <w:jc w:val="center"/>
              <w:rPr>
                <w:rFonts w:hint="eastAsia" w:ascii="仿宋" w:hAnsi="仿宋" w:eastAsia="仿宋" w:cs="仿宋"/>
                <w:color w:val="auto"/>
                <w:sz w:val="24"/>
                <w:szCs w:val="24"/>
                <w:highlight w:val="none"/>
              </w:rPr>
            </w:pPr>
          </w:p>
        </w:tc>
        <w:tc>
          <w:tcPr>
            <w:tcW w:w="503" w:type="pct"/>
            <w:noWrap w:val="0"/>
            <w:vAlign w:val="top"/>
          </w:tcPr>
          <w:p w14:paraId="7BA57A83">
            <w:pPr>
              <w:spacing w:line="400" w:lineRule="atLeast"/>
              <w:jc w:val="center"/>
              <w:rPr>
                <w:rFonts w:hint="eastAsia" w:ascii="仿宋" w:hAnsi="仿宋" w:eastAsia="仿宋" w:cs="仿宋"/>
                <w:color w:val="auto"/>
                <w:sz w:val="24"/>
                <w:szCs w:val="24"/>
                <w:highlight w:val="none"/>
              </w:rPr>
            </w:pPr>
          </w:p>
        </w:tc>
      </w:tr>
      <w:tr w14:paraId="4F98E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470" w:type="pct"/>
            <w:noWrap w:val="0"/>
            <w:vAlign w:val="top"/>
          </w:tcPr>
          <w:p w14:paraId="62F3FB15">
            <w:pPr>
              <w:spacing w:line="40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998" w:type="pct"/>
            <w:noWrap w:val="0"/>
            <w:vAlign w:val="top"/>
          </w:tcPr>
          <w:p w14:paraId="19A3FD93">
            <w:pPr>
              <w:spacing w:line="400" w:lineRule="atLeast"/>
              <w:jc w:val="center"/>
              <w:rPr>
                <w:rFonts w:hint="eastAsia" w:ascii="仿宋" w:hAnsi="仿宋" w:eastAsia="仿宋" w:cs="仿宋"/>
                <w:color w:val="auto"/>
                <w:sz w:val="24"/>
                <w:szCs w:val="24"/>
                <w:highlight w:val="none"/>
              </w:rPr>
            </w:pPr>
          </w:p>
        </w:tc>
        <w:tc>
          <w:tcPr>
            <w:tcW w:w="1103" w:type="pct"/>
            <w:noWrap w:val="0"/>
            <w:vAlign w:val="top"/>
          </w:tcPr>
          <w:p w14:paraId="5F547E12">
            <w:pPr>
              <w:spacing w:line="400" w:lineRule="atLeast"/>
              <w:jc w:val="center"/>
              <w:rPr>
                <w:rFonts w:hint="eastAsia" w:ascii="仿宋" w:hAnsi="仿宋" w:eastAsia="仿宋" w:cs="仿宋"/>
                <w:color w:val="auto"/>
                <w:sz w:val="24"/>
                <w:szCs w:val="24"/>
                <w:highlight w:val="none"/>
              </w:rPr>
            </w:pPr>
          </w:p>
        </w:tc>
        <w:tc>
          <w:tcPr>
            <w:tcW w:w="1126" w:type="pct"/>
            <w:noWrap w:val="0"/>
            <w:vAlign w:val="top"/>
          </w:tcPr>
          <w:p w14:paraId="6708FD11">
            <w:pPr>
              <w:spacing w:line="400" w:lineRule="atLeast"/>
              <w:jc w:val="center"/>
              <w:rPr>
                <w:rFonts w:hint="eastAsia" w:ascii="仿宋" w:hAnsi="仿宋" w:eastAsia="仿宋" w:cs="仿宋"/>
                <w:color w:val="auto"/>
                <w:sz w:val="24"/>
                <w:szCs w:val="24"/>
                <w:highlight w:val="none"/>
              </w:rPr>
            </w:pPr>
          </w:p>
        </w:tc>
        <w:tc>
          <w:tcPr>
            <w:tcW w:w="798" w:type="pct"/>
            <w:noWrap w:val="0"/>
            <w:vAlign w:val="top"/>
          </w:tcPr>
          <w:p w14:paraId="259C7A2F">
            <w:pPr>
              <w:spacing w:line="400" w:lineRule="atLeast"/>
              <w:jc w:val="center"/>
              <w:rPr>
                <w:rFonts w:hint="eastAsia" w:ascii="仿宋" w:hAnsi="仿宋" w:eastAsia="仿宋" w:cs="仿宋"/>
                <w:color w:val="auto"/>
                <w:sz w:val="24"/>
                <w:szCs w:val="24"/>
                <w:highlight w:val="none"/>
              </w:rPr>
            </w:pPr>
          </w:p>
        </w:tc>
        <w:tc>
          <w:tcPr>
            <w:tcW w:w="503" w:type="pct"/>
            <w:noWrap w:val="0"/>
            <w:vAlign w:val="top"/>
          </w:tcPr>
          <w:p w14:paraId="041F7EC1">
            <w:pPr>
              <w:spacing w:line="400" w:lineRule="atLeast"/>
              <w:jc w:val="center"/>
              <w:rPr>
                <w:rFonts w:hint="eastAsia" w:ascii="仿宋" w:hAnsi="仿宋" w:eastAsia="仿宋" w:cs="仿宋"/>
                <w:color w:val="auto"/>
                <w:sz w:val="24"/>
                <w:szCs w:val="24"/>
                <w:highlight w:val="none"/>
              </w:rPr>
            </w:pPr>
          </w:p>
        </w:tc>
      </w:tr>
      <w:tr w14:paraId="27946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470" w:type="pct"/>
            <w:noWrap w:val="0"/>
            <w:vAlign w:val="top"/>
          </w:tcPr>
          <w:p w14:paraId="0A3B6473">
            <w:pPr>
              <w:spacing w:line="40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998" w:type="pct"/>
            <w:noWrap w:val="0"/>
            <w:vAlign w:val="top"/>
          </w:tcPr>
          <w:p w14:paraId="0241E246">
            <w:pPr>
              <w:spacing w:line="400" w:lineRule="atLeast"/>
              <w:jc w:val="center"/>
              <w:rPr>
                <w:rFonts w:hint="eastAsia" w:ascii="仿宋" w:hAnsi="仿宋" w:eastAsia="仿宋" w:cs="仿宋"/>
                <w:color w:val="auto"/>
                <w:sz w:val="24"/>
                <w:szCs w:val="24"/>
                <w:highlight w:val="none"/>
              </w:rPr>
            </w:pPr>
          </w:p>
        </w:tc>
        <w:tc>
          <w:tcPr>
            <w:tcW w:w="1103" w:type="pct"/>
            <w:noWrap w:val="0"/>
            <w:vAlign w:val="top"/>
          </w:tcPr>
          <w:p w14:paraId="7DD54B03">
            <w:pPr>
              <w:spacing w:line="400" w:lineRule="atLeast"/>
              <w:jc w:val="center"/>
              <w:rPr>
                <w:rFonts w:hint="eastAsia" w:ascii="仿宋" w:hAnsi="仿宋" w:eastAsia="仿宋" w:cs="仿宋"/>
                <w:color w:val="auto"/>
                <w:sz w:val="24"/>
                <w:szCs w:val="24"/>
                <w:highlight w:val="none"/>
              </w:rPr>
            </w:pPr>
          </w:p>
        </w:tc>
        <w:tc>
          <w:tcPr>
            <w:tcW w:w="1126" w:type="pct"/>
            <w:noWrap w:val="0"/>
            <w:vAlign w:val="top"/>
          </w:tcPr>
          <w:p w14:paraId="7AA7E3A8">
            <w:pPr>
              <w:spacing w:line="400" w:lineRule="atLeast"/>
              <w:jc w:val="center"/>
              <w:rPr>
                <w:rFonts w:hint="eastAsia" w:ascii="仿宋" w:hAnsi="仿宋" w:eastAsia="仿宋" w:cs="仿宋"/>
                <w:color w:val="auto"/>
                <w:sz w:val="24"/>
                <w:szCs w:val="24"/>
                <w:highlight w:val="none"/>
              </w:rPr>
            </w:pPr>
          </w:p>
        </w:tc>
        <w:tc>
          <w:tcPr>
            <w:tcW w:w="798" w:type="pct"/>
            <w:noWrap w:val="0"/>
            <w:vAlign w:val="top"/>
          </w:tcPr>
          <w:p w14:paraId="08E7854C">
            <w:pPr>
              <w:spacing w:line="400" w:lineRule="atLeast"/>
              <w:jc w:val="center"/>
              <w:rPr>
                <w:rFonts w:hint="eastAsia" w:ascii="仿宋" w:hAnsi="仿宋" w:eastAsia="仿宋" w:cs="仿宋"/>
                <w:color w:val="auto"/>
                <w:sz w:val="24"/>
                <w:szCs w:val="24"/>
                <w:highlight w:val="none"/>
              </w:rPr>
            </w:pPr>
          </w:p>
        </w:tc>
        <w:tc>
          <w:tcPr>
            <w:tcW w:w="503" w:type="pct"/>
            <w:noWrap w:val="0"/>
            <w:vAlign w:val="top"/>
          </w:tcPr>
          <w:p w14:paraId="47440853">
            <w:pPr>
              <w:spacing w:line="400" w:lineRule="atLeast"/>
              <w:jc w:val="center"/>
              <w:rPr>
                <w:rFonts w:hint="eastAsia" w:ascii="仿宋" w:hAnsi="仿宋" w:eastAsia="仿宋" w:cs="仿宋"/>
                <w:color w:val="auto"/>
                <w:sz w:val="24"/>
                <w:szCs w:val="24"/>
                <w:highlight w:val="none"/>
              </w:rPr>
            </w:pPr>
          </w:p>
        </w:tc>
      </w:tr>
    </w:tbl>
    <w:p w14:paraId="6FAE4F9F">
      <w:pPr>
        <w:shd w:val="clear"/>
        <w:rPr>
          <w:rFonts w:hint="eastAsia" w:ascii="仿宋" w:hAnsi="仿宋" w:eastAsia="仿宋" w:cs="仿宋"/>
          <w:color w:val="auto"/>
          <w:highlight w:val="none"/>
        </w:rPr>
      </w:pPr>
    </w:p>
    <w:p w14:paraId="33D37523">
      <w:pPr>
        <w:shd w:val="clear"/>
        <w:rPr>
          <w:rFonts w:hint="eastAsia" w:ascii="仿宋" w:hAnsi="仿宋" w:eastAsia="仿宋" w:cs="仿宋"/>
          <w:color w:val="auto"/>
          <w:szCs w:val="24"/>
          <w:highlight w:val="none"/>
        </w:rPr>
      </w:pPr>
    </w:p>
    <w:p w14:paraId="7FF62806">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（盖单位公章）</w:t>
      </w:r>
    </w:p>
    <w:p w14:paraId="5AC8F2E5">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jc w:val="left"/>
        <w:textAlignment w:val="auto"/>
        <w:outlineLvl w:val="9"/>
        <w:rPr>
          <w:rFonts w:hint="eastAsia" w:ascii="仿宋" w:hAnsi="仿宋" w:eastAsia="仿宋" w:cs="仿宋"/>
          <w:color w:val="auto"/>
          <w:spacing w:val="4"/>
          <w:highlight w:val="none"/>
          <w:lang w:eastAsia="zh-CN"/>
        </w:rPr>
      </w:pPr>
    </w:p>
    <w:p w14:paraId="322C6627">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jc w:val="left"/>
        <w:textAlignment w:val="auto"/>
        <w:outlineLvl w:val="9"/>
        <w:rPr>
          <w:rFonts w:hint="eastAsia" w:ascii="仿宋" w:hAnsi="仿宋" w:eastAsia="仿宋" w:cs="仿宋"/>
          <w:color w:val="auto"/>
          <w:spacing w:val="4"/>
          <w:highlight w:val="none"/>
          <w:u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7AF150EB">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p>
    <w:p w14:paraId="015A8519">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r>
        <w:rPr>
          <w:rFonts w:hint="eastAsia" w:ascii="仿宋" w:hAnsi="仿宋" w:eastAsia="仿宋" w:cs="仿宋"/>
          <w:color w:val="auto"/>
          <w:szCs w:val="24"/>
          <w:highlight w:val="none"/>
        </w:rPr>
        <w:t xml:space="preserve">      年   月    日</w:t>
      </w:r>
    </w:p>
    <w:p w14:paraId="17A1057D">
      <w:pPr>
        <w:shd w:val="clear"/>
        <w:adjustRightInd w:val="0"/>
        <w:snapToGrid w:val="0"/>
        <w:spacing w:line="440" w:lineRule="exact"/>
        <w:ind w:left="136" w:leftChars="57" w:firstLine="1440" w:firstLineChars="600"/>
        <w:rPr>
          <w:rFonts w:hint="eastAsia" w:ascii="仿宋" w:hAnsi="仿宋" w:eastAsia="仿宋" w:cs="仿宋"/>
          <w:b/>
          <w:bCs/>
          <w:color w:val="auto"/>
          <w:sz w:val="24"/>
          <w:szCs w:val="24"/>
          <w:highlight w:val="none"/>
        </w:rPr>
      </w:pPr>
    </w:p>
    <w:p w14:paraId="6CEDD71C">
      <w:pPr>
        <w:spacing w:line="400" w:lineRule="atLeas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注：1、所有技术条款须列明偏离情况。对于有偏离的必须具体指出技术指标项目，无偏离条款须填写“无偏离”。</w:t>
      </w:r>
    </w:p>
    <w:p w14:paraId="01AF7E84">
      <w:pPr>
        <w:spacing w:line="400" w:lineRule="atLeast"/>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b/>
          <w:bCs/>
          <w:color w:val="auto"/>
          <w:sz w:val="24"/>
          <w:szCs w:val="24"/>
          <w:highlight w:val="none"/>
          <w:u w:val="thick"/>
        </w:rPr>
        <w:t>提供佐证材料</w:t>
      </w:r>
      <w:r>
        <w:rPr>
          <w:rFonts w:hint="eastAsia" w:ascii="仿宋" w:hAnsi="仿宋" w:eastAsia="仿宋" w:cs="仿宋"/>
          <w:b/>
          <w:bCs/>
          <w:color w:val="auto"/>
          <w:sz w:val="24"/>
          <w:szCs w:val="24"/>
          <w:highlight w:val="none"/>
          <w:u w:val="thick"/>
          <w:lang w:val="en-US" w:eastAsia="zh-CN"/>
        </w:rPr>
        <w:t>的应</w:t>
      </w:r>
      <w:r>
        <w:rPr>
          <w:rFonts w:hint="eastAsia" w:ascii="仿宋" w:hAnsi="仿宋" w:eastAsia="仿宋" w:cs="仿宋"/>
          <w:b/>
          <w:bCs/>
          <w:color w:val="auto"/>
          <w:sz w:val="24"/>
          <w:szCs w:val="24"/>
          <w:highlight w:val="none"/>
          <w:u w:val="thick"/>
        </w:rPr>
        <w:t>列明页码范围</w:t>
      </w:r>
      <w:r>
        <w:rPr>
          <w:rFonts w:hint="eastAsia" w:ascii="仿宋" w:hAnsi="仿宋" w:eastAsia="仿宋" w:cs="仿宋"/>
          <w:color w:val="auto"/>
          <w:sz w:val="24"/>
          <w:szCs w:val="24"/>
          <w:highlight w:val="none"/>
        </w:rPr>
        <w:t>（佐证材料指</w:t>
      </w:r>
      <w:r>
        <w:rPr>
          <w:rFonts w:hint="eastAsia" w:ascii="仿宋" w:hAnsi="仿宋" w:eastAsia="仿宋" w:cs="仿宋"/>
          <w:color w:val="auto"/>
          <w:sz w:val="24"/>
          <w:szCs w:val="24"/>
          <w:highlight w:val="none"/>
          <w:lang w:val="en-US" w:eastAsia="zh-CN"/>
        </w:rPr>
        <w:t>厂家</w:t>
      </w:r>
      <w:r>
        <w:rPr>
          <w:rFonts w:hint="eastAsia" w:ascii="仿宋" w:hAnsi="仿宋" w:eastAsia="仿宋" w:cs="仿宋"/>
          <w:color w:val="auto"/>
          <w:sz w:val="24"/>
          <w:szCs w:val="24"/>
          <w:highlight w:val="none"/>
        </w:rPr>
        <w:t>公开发布的印刷资料（技术白皮书、图片等技术标准资料）或检测机构出具的检测报告或技术说明书等）。</w:t>
      </w:r>
      <w:r>
        <w:rPr>
          <w:rFonts w:hint="eastAsia" w:ascii="仿宋" w:hAnsi="仿宋" w:eastAsia="仿宋" w:cs="仿宋"/>
          <w:b/>
          <w:bCs/>
          <w:i/>
          <w:iCs/>
          <w:color w:val="auto"/>
          <w:sz w:val="24"/>
          <w:szCs w:val="24"/>
          <w:highlight w:val="none"/>
          <w:u w:val="thick"/>
        </w:rPr>
        <w:t>如上表内容与技术支持资料不符，</w:t>
      </w:r>
      <w:r>
        <w:rPr>
          <w:rFonts w:hint="eastAsia" w:ascii="仿宋" w:hAnsi="仿宋" w:eastAsia="仿宋" w:cs="仿宋"/>
          <w:b/>
          <w:bCs/>
          <w:i/>
          <w:iCs/>
          <w:color w:val="auto"/>
          <w:sz w:val="24"/>
          <w:szCs w:val="24"/>
          <w:highlight w:val="none"/>
          <w:u w:val="thick"/>
          <w:lang w:val="en-US" w:eastAsia="zh-CN"/>
        </w:rPr>
        <w:t>以</w:t>
      </w:r>
      <w:r>
        <w:rPr>
          <w:rFonts w:hint="eastAsia" w:ascii="仿宋" w:hAnsi="仿宋" w:eastAsia="仿宋" w:cs="仿宋"/>
          <w:b/>
          <w:bCs/>
          <w:i/>
          <w:iCs/>
          <w:color w:val="auto"/>
          <w:sz w:val="24"/>
          <w:szCs w:val="24"/>
          <w:highlight w:val="none"/>
          <w:u w:val="thick"/>
        </w:rPr>
        <w:t>技术支持资料</w:t>
      </w:r>
      <w:r>
        <w:rPr>
          <w:rFonts w:hint="eastAsia" w:ascii="仿宋" w:hAnsi="仿宋" w:eastAsia="仿宋" w:cs="仿宋"/>
          <w:b/>
          <w:bCs/>
          <w:i/>
          <w:iCs/>
          <w:color w:val="auto"/>
          <w:sz w:val="24"/>
          <w:szCs w:val="24"/>
          <w:highlight w:val="none"/>
          <w:u w:val="thick"/>
          <w:lang w:val="en-US" w:eastAsia="zh-CN"/>
        </w:rPr>
        <w:t>为准</w:t>
      </w:r>
      <w:r>
        <w:rPr>
          <w:rFonts w:hint="eastAsia" w:ascii="仿宋" w:hAnsi="仿宋" w:eastAsia="仿宋" w:cs="仿宋"/>
          <w:color w:val="auto"/>
          <w:sz w:val="24"/>
          <w:szCs w:val="24"/>
          <w:highlight w:val="none"/>
        </w:rPr>
        <w:t>，请各供应商</w:t>
      </w:r>
      <w:r>
        <w:rPr>
          <w:rFonts w:hint="eastAsia" w:ascii="仿宋" w:hAnsi="仿宋" w:eastAsia="仿宋" w:cs="仿宋"/>
          <w:b/>
          <w:bCs/>
          <w:i/>
          <w:iCs/>
          <w:color w:val="auto"/>
          <w:sz w:val="24"/>
          <w:szCs w:val="24"/>
          <w:highlight w:val="none"/>
          <w:u w:val="thick"/>
        </w:rPr>
        <w:t>慎重填写</w:t>
      </w:r>
      <w:r>
        <w:rPr>
          <w:rFonts w:hint="eastAsia" w:ascii="仿宋" w:hAnsi="仿宋" w:eastAsia="仿宋" w:cs="仿宋"/>
          <w:b/>
          <w:bCs/>
          <w:i/>
          <w:iCs/>
          <w:color w:val="auto"/>
          <w:sz w:val="24"/>
          <w:szCs w:val="24"/>
          <w:highlight w:val="none"/>
          <w:u w:val="thick"/>
          <w:lang w:val="en-US" w:eastAsia="zh-CN"/>
        </w:rPr>
        <w:t>偏离情况</w:t>
      </w:r>
      <w:r>
        <w:rPr>
          <w:rFonts w:hint="eastAsia" w:ascii="仿宋" w:hAnsi="仿宋" w:eastAsia="仿宋" w:cs="仿宋"/>
          <w:b/>
          <w:bCs/>
          <w:i/>
          <w:iCs/>
          <w:color w:val="auto"/>
          <w:sz w:val="24"/>
          <w:szCs w:val="24"/>
          <w:highlight w:val="none"/>
          <w:u w:val="none"/>
        </w:rPr>
        <w:t>。</w:t>
      </w:r>
    </w:p>
    <w:p w14:paraId="0EB83557">
      <w:pPr>
        <w:spacing w:line="400" w:lineRule="atLeas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若签订合同发现与</w:t>
      </w:r>
      <w:r>
        <w:rPr>
          <w:rFonts w:hint="eastAsia" w:ascii="仿宋" w:hAnsi="仿宋" w:eastAsia="仿宋" w:cs="仿宋"/>
          <w:color w:val="auto"/>
          <w:sz w:val="24"/>
          <w:szCs w:val="24"/>
          <w:highlight w:val="none"/>
          <w:lang w:val="en-US" w:eastAsia="zh-CN"/>
        </w:rPr>
        <w:t>本表</w:t>
      </w:r>
      <w:r>
        <w:rPr>
          <w:rFonts w:hint="eastAsia" w:ascii="仿宋" w:hAnsi="仿宋" w:eastAsia="仿宋" w:cs="仿宋"/>
          <w:color w:val="auto"/>
          <w:sz w:val="24"/>
          <w:szCs w:val="24"/>
          <w:highlight w:val="none"/>
        </w:rPr>
        <w:t>所投产品不符</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投标文件中为正偏离或无偏离实际为负偏离，</w:t>
      </w:r>
      <w:r>
        <w:rPr>
          <w:rFonts w:hint="eastAsia" w:ascii="仿宋" w:hAnsi="仿宋" w:eastAsia="仿宋" w:cs="仿宋"/>
          <w:color w:val="auto"/>
          <w:sz w:val="24"/>
          <w:szCs w:val="24"/>
          <w:highlight w:val="none"/>
        </w:rPr>
        <w:t>将被视为虚假应标</w:t>
      </w:r>
      <w:r>
        <w:rPr>
          <w:rFonts w:hint="eastAsia" w:ascii="仿宋" w:hAnsi="仿宋" w:eastAsia="仿宋" w:cs="仿宋"/>
          <w:color w:val="auto"/>
          <w:sz w:val="24"/>
          <w:szCs w:val="24"/>
          <w:highlight w:val="none"/>
          <w:lang w:val="en-US" w:eastAsia="zh-CN"/>
        </w:rPr>
        <w:t>并</w:t>
      </w:r>
      <w:r>
        <w:rPr>
          <w:rFonts w:hint="eastAsia" w:ascii="仿宋" w:hAnsi="仿宋" w:eastAsia="仿宋" w:cs="仿宋"/>
          <w:color w:val="auto"/>
          <w:sz w:val="24"/>
          <w:szCs w:val="24"/>
          <w:highlight w:val="none"/>
        </w:rPr>
        <w:t>上报财政主管部门，列入政府采购黑名单，1-3年不得参加政府采购活动；</w:t>
      </w:r>
    </w:p>
    <w:p w14:paraId="4413F88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4、技术支持资料附于本表之后，标注页码。</w:t>
      </w:r>
    </w:p>
    <w:p w14:paraId="382AAA44">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7D2883C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Cs w:val="24"/>
          <w:highlight w:val="none"/>
          <w:lang w:eastAsia="zh-CN"/>
        </w:rPr>
      </w:pPr>
      <w:r>
        <w:rPr>
          <w:rFonts w:hint="eastAsia" w:ascii="仿宋" w:hAnsi="仿宋" w:eastAsia="仿宋" w:cs="仿宋"/>
          <w:b/>
          <w:color w:val="auto"/>
          <w:szCs w:val="24"/>
          <w:highlight w:val="none"/>
        </w:rPr>
        <w:t>附表</w:t>
      </w:r>
      <w:r>
        <w:rPr>
          <w:rFonts w:hint="eastAsia" w:ascii="仿宋" w:hAnsi="仿宋" w:eastAsia="仿宋" w:cs="仿宋"/>
          <w:b/>
          <w:color w:val="auto"/>
          <w:szCs w:val="24"/>
          <w:highlight w:val="none"/>
          <w:lang w:val="en-US" w:eastAsia="zh-CN"/>
        </w:rPr>
        <w:t>2</w:t>
      </w:r>
      <w:r>
        <w:rPr>
          <w:rFonts w:hint="eastAsia" w:ascii="仿宋" w:hAnsi="仿宋" w:eastAsia="仿宋" w:cs="仿宋"/>
          <w:b/>
          <w:color w:val="auto"/>
          <w:szCs w:val="24"/>
          <w:highlight w:val="none"/>
        </w:rPr>
        <w:t xml:space="preserve"> 本项目拟投入人员汇总表</w:t>
      </w:r>
      <w:r>
        <w:rPr>
          <w:rFonts w:hint="eastAsia" w:ascii="仿宋" w:hAnsi="仿宋" w:eastAsia="仿宋" w:cs="仿宋"/>
          <w:b/>
          <w:color w:val="auto"/>
          <w:szCs w:val="24"/>
          <w:highlight w:val="none"/>
          <w:lang w:eastAsia="zh-CN"/>
        </w:rPr>
        <w:t>（如有）</w:t>
      </w:r>
    </w:p>
    <w:p w14:paraId="3F28211A">
      <w:pPr>
        <w:pStyle w:val="110"/>
        <w:keepNext w:val="0"/>
        <w:keepLines w:val="0"/>
        <w:pageBreakBefore w:val="0"/>
        <w:widowControl w:val="0"/>
        <w:kinsoku/>
        <w:wordWrap/>
        <w:overflowPunct/>
        <w:topLinePunct w:val="0"/>
        <w:autoSpaceDE w:val="0"/>
        <w:autoSpaceDN w:val="0"/>
        <w:bidi w:val="0"/>
        <w:adjustRightInd w:val="0"/>
        <w:snapToGrid/>
        <w:spacing w:before="168" w:beforeLines="50" w:line="360" w:lineRule="auto"/>
        <w:ind w:firstLine="0" w:firstLineChars="0"/>
        <w:jc w:val="center"/>
        <w:textAlignment w:val="baseline"/>
        <w:outlineLvl w:val="9"/>
        <w:rPr>
          <w:rFonts w:hint="eastAsia" w:ascii="仿宋" w:hAnsi="仿宋" w:eastAsia="仿宋" w:cs="仿宋"/>
          <w:color w:val="auto"/>
          <w:szCs w:val="24"/>
          <w:highlight w:val="none"/>
        </w:rPr>
      </w:pPr>
      <w:bookmarkStart w:id="194" w:name="_Toc14631"/>
      <w:bookmarkStart w:id="195" w:name="_Toc13827"/>
      <w:bookmarkStart w:id="196" w:name="_Toc19082"/>
      <w:bookmarkStart w:id="197" w:name="_Toc4115"/>
      <w:bookmarkStart w:id="198" w:name="_Toc426457710"/>
      <w:bookmarkStart w:id="199" w:name="_Toc8093"/>
      <w:bookmarkStart w:id="200" w:name="_Toc214"/>
      <w:bookmarkStart w:id="201" w:name="_Toc17592"/>
      <w:bookmarkStart w:id="202" w:name="_Toc25551"/>
      <w:bookmarkStart w:id="203" w:name="_Toc396304714"/>
      <w:bookmarkStart w:id="204" w:name="_Toc403077652"/>
      <w:bookmarkStart w:id="205" w:name="_Toc2768"/>
      <w:r>
        <w:rPr>
          <w:rFonts w:hint="eastAsia" w:ascii="仿宋" w:hAnsi="仿宋" w:eastAsia="仿宋" w:cs="仿宋"/>
          <w:color w:val="auto"/>
          <w:szCs w:val="24"/>
          <w:highlight w:val="none"/>
        </w:rPr>
        <w:t>（一）本项目拟投入人员汇总表</w:t>
      </w:r>
      <w:bookmarkEnd w:id="194"/>
      <w:bookmarkEnd w:id="195"/>
      <w:bookmarkEnd w:id="196"/>
      <w:bookmarkEnd w:id="197"/>
      <w:bookmarkEnd w:id="198"/>
      <w:bookmarkEnd w:id="199"/>
      <w:bookmarkEnd w:id="200"/>
      <w:bookmarkEnd w:id="201"/>
      <w:bookmarkEnd w:id="202"/>
      <w:bookmarkEnd w:id="203"/>
      <w:bookmarkEnd w:id="204"/>
      <w:bookmarkEnd w:id="205"/>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57"/>
        <w:gridCol w:w="1240"/>
        <w:gridCol w:w="570"/>
        <w:gridCol w:w="570"/>
        <w:gridCol w:w="570"/>
        <w:gridCol w:w="835"/>
        <w:gridCol w:w="1157"/>
        <w:gridCol w:w="748"/>
        <w:gridCol w:w="1877"/>
        <w:gridCol w:w="680"/>
      </w:tblGrid>
      <w:tr w14:paraId="5184C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tblHeader/>
        </w:trPr>
        <w:tc>
          <w:tcPr>
            <w:tcW w:w="557" w:type="dxa"/>
            <w:noWrap w:val="0"/>
            <w:tcMar>
              <w:top w:w="15" w:type="dxa"/>
              <w:left w:w="15" w:type="dxa"/>
              <w:bottom w:w="0" w:type="dxa"/>
              <w:right w:w="15" w:type="dxa"/>
            </w:tcMar>
            <w:vAlign w:val="center"/>
          </w:tcPr>
          <w:p w14:paraId="305668F7">
            <w:pPr>
              <w:pStyle w:val="111"/>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1240" w:type="dxa"/>
            <w:noWrap w:val="0"/>
            <w:tcMar>
              <w:top w:w="15" w:type="dxa"/>
              <w:left w:w="15" w:type="dxa"/>
              <w:bottom w:w="0" w:type="dxa"/>
              <w:right w:w="15" w:type="dxa"/>
            </w:tcMar>
            <w:vAlign w:val="center"/>
          </w:tcPr>
          <w:p w14:paraId="14D11B2B">
            <w:pPr>
              <w:pStyle w:val="111"/>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姓  名</w:t>
            </w:r>
          </w:p>
        </w:tc>
        <w:tc>
          <w:tcPr>
            <w:tcW w:w="570" w:type="dxa"/>
            <w:noWrap w:val="0"/>
            <w:tcMar>
              <w:top w:w="15" w:type="dxa"/>
              <w:left w:w="15" w:type="dxa"/>
              <w:bottom w:w="0" w:type="dxa"/>
              <w:right w:w="15" w:type="dxa"/>
            </w:tcMar>
            <w:vAlign w:val="center"/>
          </w:tcPr>
          <w:p w14:paraId="12F2025F">
            <w:pPr>
              <w:pStyle w:val="111"/>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性别</w:t>
            </w:r>
          </w:p>
        </w:tc>
        <w:tc>
          <w:tcPr>
            <w:tcW w:w="570" w:type="dxa"/>
            <w:noWrap w:val="0"/>
            <w:tcMar>
              <w:top w:w="15" w:type="dxa"/>
              <w:left w:w="15" w:type="dxa"/>
              <w:bottom w:w="0" w:type="dxa"/>
              <w:right w:w="15" w:type="dxa"/>
            </w:tcMar>
            <w:vAlign w:val="center"/>
          </w:tcPr>
          <w:p w14:paraId="67E36943">
            <w:pPr>
              <w:pStyle w:val="111"/>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年龄</w:t>
            </w:r>
          </w:p>
        </w:tc>
        <w:tc>
          <w:tcPr>
            <w:tcW w:w="570" w:type="dxa"/>
            <w:noWrap w:val="0"/>
            <w:tcMar>
              <w:top w:w="15" w:type="dxa"/>
              <w:left w:w="15" w:type="dxa"/>
              <w:bottom w:w="0" w:type="dxa"/>
              <w:right w:w="15" w:type="dxa"/>
            </w:tcMar>
            <w:vAlign w:val="center"/>
          </w:tcPr>
          <w:p w14:paraId="1C5045F3">
            <w:pPr>
              <w:pStyle w:val="111"/>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学历</w:t>
            </w:r>
          </w:p>
        </w:tc>
        <w:tc>
          <w:tcPr>
            <w:tcW w:w="835" w:type="dxa"/>
            <w:noWrap w:val="0"/>
            <w:tcMar>
              <w:top w:w="15" w:type="dxa"/>
              <w:left w:w="15" w:type="dxa"/>
              <w:bottom w:w="0" w:type="dxa"/>
              <w:right w:w="15" w:type="dxa"/>
            </w:tcMar>
            <w:vAlign w:val="center"/>
          </w:tcPr>
          <w:p w14:paraId="147CAC5D">
            <w:pPr>
              <w:pStyle w:val="111"/>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技术</w:t>
            </w:r>
          </w:p>
          <w:p w14:paraId="1B8F5B39">
            <w:pPr>
              <w:pStyle w:val="111"/>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职称</w:t>
            </w:r>
          </w:p>
        </w:tc>
        <w:tc>
          <w:tcPr>
            <w:tcW w:w="1157" w:type="dxa"/>
            <w:noWrap w:val="0"/>
            <w:tcMar>
              <w:top w:w="15" w:type="dxa"/>
              <w:left w:w="15" w:type="dxa"/>
              <w:bottom w:w="0" w:type="dxa"/>
              <w:right w:w="15" w:type="dxa"/>
            </w:tcMar>
            <w:vAlign w:val="top"/>
          </w:tcPr>
          <w:p w14:paraId="55B9C4EC">
            <w:pPr>
              <w:pStyle w:val="111"/>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资格证</w:t>
            </w:r>
          </w:p>
          <w:p w14:paraId="4ACA8E03">
            <w:pPr>
              <w:pStyle w:val="111"/>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书种类</w:t>
            </w:r>
          </w:p>
        </w:tc>
        <w:tc>
          <w:tcPr>
            <w:tcW w:w="748" w:type="dxa"/>
            <w:noWrap w:val="0"/>
            <w:tcMar>
              <w:top w:w="15" w:type="dxa"/>
              <w:left w:w="15" w:type="dxa"/>
              <w:bottom w:w="0" w:type="dxa"/>
              <w:right w:w="15" w:type="dxa"/>
            </w:tcMar>
            <w:vAlign w:val="center"/>
          </w:tcPr>
          <w:p w14:paraId="231E4672">
            <w:pPr>
              <w:pStyle w:val="111"/>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工作</w:t>
            </w:r>
          </w:p>
          <w:p w14:paraId="590E9220">
            <w:pPr>
              <w:pStyle w:val="111"/>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年限</w:t>
            </w:r>
          </w:p>
        </w:tc>
        <w:tc>
          <w:tcPr>
            <w:tcW w:w="1877" w:type="dxa"/>
            <w:noWrap w:val="0"/>
            <w:tcMar>
              <w:top w:w="15" w:type="dxa"/>
              <w:left w:w="15" w:type="dxa"/>
              <w:bottom w:w="0" w:type="dxa"/>
              <w:right w:w="15" w:type="dxa"/>
            </w:tcMar>
            <w:vAlign w:val="center"/>
          </w:tcPr>
          <w:p w14:paraId="00041B20">
            <w:pPr>
              <w:pStyle w:val="111"/>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拟担任的职务</w:t>
            </w:r>
          </w:p>
        </w:tc>
        <w:tc>
          <w:tcPr>
            <w:tcW w:w="680" w:type="dxa"/>
            <w:noWrap w:val="0"/>
            <w:tcMar>
              <w:top w:w="15" w:type="dxa"/>
              <w:left w:w="15" w:type="dxa"/>
              <w:bottom w:w="0" w:type="dxa"/>
              <w:right w:w="15" w:type="dxa"/>
            </w:tcMar>
            <w:vAlign w:val="center"/>
          </w:tcPr>
          <w:p w14:paraId="4079B654">
            <w:pPr>
              <w:pStyle w:val="111"/>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岗位</w:t>
            </w:r>
          </w:p>
          <w:p w14:paraId="5202665E">
            <w:pPr>
              <w:pStyle w:val="111"/>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情况</w:t>
            </w:r>
          </w:p>
        </w:tc>
      </w:tr>
      <w:tr w14:paraId="3A49F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5407F406">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0AB43101">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71C6ADCE">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0BD9CD41">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087EC824">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64E4B6D9">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1EF5246C">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0942ED7F">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12C09796">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202276E4">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13F7F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74F5379B">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68CBA4BC">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1D258BE2">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58940CE8">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715E4CBF">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542D79F9">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694AB10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5110740E">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27955169">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37DA1C9C">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7E60C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noWrap w:val="0"/>
            <w:tcMar>
              <w:top w:w="15" w:type="dxa"/>
              <w:left w:w="15" w:type="dxa"/>
              <w:bottom w:w="0" w:type="dxa"/>
              <w:right w:w="15" w:type="dxa"/>
            </w:tcMar>
            <w:vAlign w:val="bottom"/>
          </w:tcPr>
          <w:p w14:paraId="32F584C4">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3C9F21F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50A52BEE">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08905306">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7DF6E50D">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54B5CC10">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77E62BCC">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69CFC80C">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09B5C3A3">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0D023F77">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3F2E0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2FEBB09D">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0EE2638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2BCCBE29">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6D0F854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7D0BF45A">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521AFEF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40421798">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28075B42">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50E9B01D">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041D7A70">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0B3B5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2DD9C37E">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3ECE56AA">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0A122A1E">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006B5966">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06B7665D">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71894B4A">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624B25BE">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11066BAF">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7114F942">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2A05C81F">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7AA5D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noWrap w:val="0"/>
            <w:tcMar>
              <w:top w:w="15" w:type="dxa"/>
              <w:left w:w="15" w:type="dxa"/>
              <w:bottom w:w="0" w:type="dxa"/>
              <w:right w:w="15" w:type="dxa"/>
            </w:tcMar>
            <w:vAlign w:val="bottom"/>
          </w:tcPr>
          <w:p w14:paraId="1EE69483">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6811FB5E">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2CCA9CC7">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183A6838">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30610A69">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2D99681F">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3F276460">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7A4EA756">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74B85EB3">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6589B8FA">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10F7E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7FC00154">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566921BD">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446A250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625357DB">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232474EB">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378EAFA6">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101C8671">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516768DF">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55456591">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395E9F57">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32D81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4124AB4C">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3B96D256">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331185A1">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0142C40F">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39A9EB12">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784B5E8A">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5235262C">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40195FA8">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4F246543">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547059FB">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36F56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noWrap w:val="0"/>
            <w:tcMar>
              <w:top w:w="15" w:type="dxa"/>
              <w:left w:w="15" w:type="dxa"/>
              <w:bottom w:w="0" w:type="dxa"/>
              <w:right w:w="15" w:type="dxa"/>
            </w:tcMar>
            <w:vAlign w:val="bottom"/>
          </w:tcPr>
          <w:p w14:paraId="56BC9140">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017D2E83">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33E93216">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1C47FDBC">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505C05BF">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32B2EDA1">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08B83E62">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53997188">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087198BA">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43734B84">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0A7CC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61A11FE7">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56A06BCC">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7CD5E9A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064EAEEE">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0EF67316">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764B3F5E">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0FDD929A">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248EE35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13FC8F74">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385CDEDF">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3F99D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24B4C648">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42E0777B">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322502EF">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391DFA9D">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107F8CEC">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5BAC7FDF">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791575E7">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30FFB849">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57E502D8">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36E1D3CB">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15BA6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noWrap w:val="0"/>
            <w:tcMar>
              <w:top w:w="15" w:type="dxa"/>
              <w:left w:w="15" w:type="dxa"/>
              <w:bottom w:w="0" w:type="dxa"/>
              <w:right w:w="15" w:type="dxa"/>
            </w:tcMar>
            <w:vAlign w:val="bottom"/>
          </w:tcPr>
          <w:p w14:paraId="55FF1FAF">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014392D7">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050F65B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64D4FA8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25D3A7E8">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758189AA">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66F3F96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634461B0">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502264F8">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202E2AF7">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49C44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0A58B483">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0C3B1E6F">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5921C921">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7B938E17">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4ADFCC1B">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46E63EE7">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593A6958">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5B7331D9">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2AC30D8E">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3E459CE4">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769ED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414E73AD">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3458FC70">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39DE7762">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51821191">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2DF83DBC">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69EA7C90">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22E7FA81">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462FF1EC">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19D8BE21">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67F38E5D">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6BAF7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noWrap w:val="0"/>
            <w:tcMar>
              <w:top w:w="15" w:type="dxa"/>
              <w:left w:w="15" w:type="dxa"/>
              <w:bottom w:w="0" w:type="dxa"/>
              <w:right w:w="15" w:type="dxa"/>
            </w:tcMar>
            <w:vAlign w:val="bottom"/>
          </w:tcPr>
          <w:p w14:paraId="1D618CB3">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21065E07">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12F6D6F4">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0F28B0E7">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0B8C09A3">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1E3FC448">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282D4510">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1DE66A0F">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079C8444">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7075424A">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38949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256B2F1E">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1E3B16BD">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7A5F9F7E">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69557341">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1D981D62">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15BE02F0">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4E181727">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1FBD1387">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57C33328">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358F2A87">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1EB75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7F216B32">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780C9CC3">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1CC6F889">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3C07B41E">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1BAC3804">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4A40EFAB">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363DF4E1">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5CB19C9C">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41EADFB9">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7A732C6A">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79EC4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noWrap w:val="0"/>
            <w:tcMar>
              <w:top w:w="15" w:type="dxa"/>
              <w:left w:w="15" w:type="dxa"/>
              <w:bottom w:w="0" w:type="dxa"/>
              <w:right w:w="15" w:type="dxa"/>
            </w:tcMar>
            <w:vAlign w:val="bottom"/>
          </w:tcPr>
          <w:p w14:paraId="26A7ABCF">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5CDED81F">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42C2D0FD">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298F8BDD">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6E25873F">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399206B2">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7657FE59">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5F68FBF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0BE130DC">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54E46C14">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19F23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7D1728BD">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4124FFC1">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77F855D6">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548B5017">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4CF4BE38">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34939F7E">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495C46B8">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37BCEFBA">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07C7A61B">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4E299C76">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29278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2D7456AF">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274031E2">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383A7CF3">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5B7CE2A6">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470DAE4C">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4491952A">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41DDCC3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54BE3797">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345D349F">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5FB93C25">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20322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noWrap w:val="0"/>
            <w:tcMar>
              <w:top w:w="15" w:type="dxa"/>
              <w:left w:w="15" w:type="dxa"/>
              <w:bottom w:w="0" w:type="dxa"/>
              <w:right w:w="15" w:type="dxa"/>
            </w:tcMar>
            <w:vAlign w:val="bottom"/>
          </w:tcPr>
          <w:p w14:paraId="3CDDCCB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32E87BAD">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18C43DA7">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3949E9F3">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34F32E73">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2EEC9314">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0AA2FCF2">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415A523A">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76FAD8E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496EE2C5">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70B5A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1BD3A8F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0EB3B3F1">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373154A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608266F0">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6FC53BDE">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5BC15646">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777D4801">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2DEB68B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33C0E61B">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0CEDCF00">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5E702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39CC1A62">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72172FAA">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23A8DCCD">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33611828">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4E1DDCE1">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0F8742BC">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259C2B89">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45A396B3">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1D929AF7">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0A107196">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30B13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noWrap w:val="0"/>
            <w:tcMar>
              <w:top w:w="15" w:type="dxa"/>
              <w:left w:w="15" w:type="dxa"/>
              <w:bottom w:w="0" w:type="dxa"/>
              <w:right w:w="15" w:type="dxa"/>
            </w:tcMar>
            <w:vAlign w:val="bottom"/>
          </w:tcPr>
          <w:p w14:paraId="12DE139E">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26BDA616">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5D46BA3B">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2C6E150C">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2786556A">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275A5002">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5EF359E3">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74D1FA14">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543FC89E">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3A591A04">
            <w:pPr>
              <w:pStyle w:val="111"/>
              <w:spacing w:line="400" w:lineRule="exact"/>
              <w:ind w:left="0" w:leftChars="0" w:firstLine="480" w:firstLineChars="200"/>
              <w:jc w:val="both"/>
              <w:rPr>
                <w:rFonts w:hint="eastAsia" w:ascii="仿宋" w:hAnsi="仿宋" w:eastAsia="仿宋" w:cs="仿宋"/>
                <w:color w:val="auto"/>
                <w:szCs w:val="21"/>
                <w:highlight w:val="none"/>
              </w:rPr>
            </w:pPr>
          </w:p>
        </w:tc>
      </w:tr>
    </w:tbl>
    <w:p w14:paraId="691E218E">
      <w:pPr>
        <w:pStyle w:val="112"/>
        <w:tabs>
          <w:tab w:val="left" w:pos="2040"/>
        </w:tabs>
        <w:spacing w:beforeLines="0"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注：1</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“岗位情况”须注明该人在本单位是在岗、返聘还是外聘。</w:t>
      </w:r>
    </w:p>
    <w:p w14:paraId="7B085711">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r>
        <w:rPr>
          <w:rFonts w:hint="eastAsia" w:ascii="仿宋" w:hAnsi="仿宋" w:eastAsia="仿宋" w:cs="仿宋"/>
          <w:color w:val="auto"/>
          <w:szCs w:val="21"/>
          <w:highlight w:val="none"/>
          <w:lang w:eastAsia="zh-CN"/>
        </w:rPr>
        <w:t>、供应商</w:t>
      </w:r>
      <w:r>
        <w:rPr>
          <w:rFonts w:hint="eastAsia" w:ascii="仿宋" w:hAnsi="仿宋" w:eastAsia="仿宋" w:cs="仿宋"/>
          <w:color w:val="auto"/>
          <w:szCs w:val="21"/>
          <w:highlight w:val="none"/>
        </w:rPr>
        <w:t>可适当调整该表格式，但不得减少信息内容。</w:t>
      </w:r>
    </w:p>
    <w:p w14:paraId="0C699F36">
      <w:pPr>
        <w:rPr>
          <w:rFonts w:hint="eastAsia" w:ascii="仿宋" w:hAnsi="仿宋" w:eastAsia="仿宋" w:cs="仿宋"/>
          <w:color w:val="auto"/>
        </w:rPr>
      </w:pPr>
      <w:r>
        <w:rPr>
          <w:rFonts w:hint="eastAsia" w:ascii="仿宋" w:hAnsi="仿宋" w:eastAsia="仿宋" w:cs="仿宋"/>
          <w:color w:val="auto"/>
          <w:szCs w:val="21"/>
          <w:highlight w:val="none"/>
        </w:rPr>
        <w:br w:type="page"/>
      </w:r>
    </w:p>
    <w:p w14:paraId="359EF1C3">
      <w:pPr>
        <w:pStyle w:val="3"/>
        <w:keepNext w:val="0"/>
        <w:keepLines w:val="0"/>
        <w:pageBreakBefore w:val="0"/>
        <w:widowControl w:val="0"/>
        <w:kinsoku/>
        <w:wordWrap/>
        <w:overflowPunct/>
        <w:topLinePunct w:val="0"/>
        <w:autoSpaceDE/>
        <w:autoSpaceDN/>
        <w:bidi w:val="0"/>
        <w:adjustRightInd/>
        <w:snapToGrid/>
        <w:spacing w:before="168" w:beforeLines="50" w:after="0" w:line="360" w:lineRule="auto"/>
        <w:ind w:left="0" w:firstLine="0" w:firstLineChars="0"/>
        <w:jc w:val="center"/>
        <w:textAlignment w:val="auto"/>
        <w:outlineLvl w:val="1"/>
        <w:rPr>
          <w:rFonts w:hint="eastAsia" w:ascii="仿宋" w:hAnsi="仿宋" w:eastAsia="仿宋" w:cs="仿宋"/>
          <w:b/>
          <w:bCs/>
          <w:color w:val="auto"/>
          <w:sz w:val="32"/>
          <w:szCs w:val="32"/>
          <w:highlight w:val="none"/>
        </w:rPr>
      </w:pPr>
      <w:bookmarkStart w:id="206" w:name="_Toc18288"/>
      <w:bookmarkStart w:id="207" w:name="_Toc23686"/>
      <w:bookmarkStart w:id="208" w:name="_Toc21816"/>
      <w:bookmarkStart w:id="209" w:name="_Toc10895"/>
      <w:bookmarkStart w:id="210" w:name="_Toc28352"/>
      <w:bookmarkStart w:id="211" w:name="_Toc31425"/>
      <w:r>
        <w:rPr>
          <w:rFonts w:hint="eastAsia" w:ascii="仿宋" w:hAnsi="仿宋" w:eastAsia="仿宋" w:cs="仿宋"/>
          <w:color w:val="auto"/>
          <w:highlight w:val="none"/>
          <w:lang w:val="en-US" w:eastAsia="zh-CN"/>
        </w:rPr>
        <w:t>第四部分  商务条款偏离表</w:t>
      </w:r>
      <w:bookmarkEnd w:id="206"/>
      <w:bookmarkEnd w:id="207"/>
      <w:bookmarkEnd w:id="208"/>
      <w:bookmarkEnd w:id="209"/>
      <w:bookmarkEnd w:id="210"/>
      <w:bookmarkEnd w:id="211"/>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
        <w:gridCol w:w="1935"/>
        <w:gridCol w:w="1995"/>
        <w:gridCol w:w="2085"/>
        <w:gridCol w:w="1260"/>
        <w:gridCol w:w="944"/>
      </w:tblGrid>
      <w:tr w14:paraId="78917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5D2C938B">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序号</w:t>
            </w:r>
          </w:p>
        </w:tc>
        <w:tc>
          <w:tcPr>
            <w:tcW w:w="1935" w:type="dxa"/>
            <w:tcBorders>
              <w:top w:val="single" w:color="auto" w:sz="4" w:space="0"/>
              <w:left w:val="single" w:color="auto" w:sz="4" w:space="0"/>
              <w:bottom w:val="single" w:color="auto" w:sz="4" w:space="0"/>
              <w:right w:val="single" w:color="auto" w:sz="4" w:space="0"/>
            </w:tcBorders>
            <w:noWrap w:val="0"/>
            <w:vAlign w:val="center"/>
          </w:tcPr>
          <w:p w14:paraId="5377158B">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招标文件条目号</w:t>
            </w:r>
          </w:p>
        </w:tc>
        <w:tc>
          <w:tcPr>
            <w:tcW w:w="1995" w:type="dxa"/>
            <w:tcBorders>
              <w:top w:val="single" w:color="auto" w:sz="4" w:space="0"/>
              <w:left w:val="single" w:color="auto" w:sz="4" w:space="0"/>
              <w:bottom w:val="single" w:color="auto" w:sz="4" w:space="0"/>
              <w:right w:val="single" w:color="auto" w:sz="4" w:space="0"/>
            </w:tcBorders>
            <w:noWrap w:val="0"/>
            <w:vAlign w:val="center"/>
          </w:tcPr>
          <w:p w14:paraId="677B7645">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招标文件的商务条款</w:t>
            </w:r>
          </w:p>
        </w:tc>
        <w:tc>
          <w:tcPr>
            <w:tcW w:w="2085" w:type="dxa"/>
            <w:tcBorders>
              <w:top w:val="single" w:color="auto" w:sz="4" w:space="0"/>
              <w:left w:val="single" w:color="auto" w:sz="4" w:space="0"/>
              <w:bottom w:val="single" w:color="auto" w:sz="4" w:space="0"/>
              <w:right w:val="single" w:color="auto" w:sz="4" w:space="0"/>
            </w:tcBorders>
            <w:noWrap w:val="0"/>
            <w:vAlign w:val="center"/>
          </w:tcPr>
          <w:p w14:paraId="2E63B787">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投标文件的商务条款</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90356D3">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偏离</w:t>
            </w:r>
          </w:p>
        </w:tc>
        <w:tc>
          <w:tcPr>
            <w:tcW w:w="944" w:type="dxa"/>
            <w:tcBorders>
              <w:top w:val="single" w:color="auto" w:sz="4" w:space="0"/>
              <w:left w:val="single" w:color="auto" w:sz="4" w:space="0"/>
              <w:bottom w:val="single" w:color="auto" w:sz="4" w:space="0"/>
              <w:right w:val="single" w:color="auto" w:sz="4" w:space="0"/>
            </w:tcBorders>
            <w:noWrap w:val="0"/>
            <w:vAlign w:val="center"/>
          </w:tcPr>
          <w:p w14:paraId="04368FDE">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说明</w:t>
            </w:r>
          </w:p>
        </w:tc>
      </w:tr>
      <w:tr w14:paraId="18825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46BED1D0">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0D11D811">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2C3F4652">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26026471">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0F3EDB0">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26B3B81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348CE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45898A06">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6A842FC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452C5A8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3F8700A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27852C3">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7FE160D3">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5FE2A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6D989913">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0C2F6CBF">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72267CB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1F23BFA3">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A3AD907">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1851D24F">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709D8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3FF07EA4">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3EA97ED8">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3B5056BE">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57536A4E">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D1F488D">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1E7DB10A">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2F28B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15B695C6">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24A1670F">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5C97710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3DFEA3B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70899A4">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3FDDD3B0">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3D851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16BF311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3657243B">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1A7CB86C">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7D210BB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5D3D0F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2D80168D">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725DC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24C19CC1">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697E8C1E">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0EBCA68C">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0A413D34">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440227C">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06D19ACB">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bl>
    <w:p w14:paraId="13A23D60">
      <w:pPr>
        <w:pStyle w:val="27"/>
        <w:keepNext w:val="0"/>
        <w:keepLines w:val="0"/>
        <w:widowControl w:val="0"/>
        <w:suppressLineNumbers w:val="0"/>
        <w:spacing w:before="0" w:beforeAutospacing="0" w:after="0" w:afterAutospacing="0"/>
        <w:ind w:right="0"/>
        <w:jc w:val="left"/>
        <w:rPr>
          <w:rFonts w:hint="eastAsia" w:ascii="仿宋" w:hAnsi="仿宋" w:eastAsia="仿宋" w:cs="仿宋"/>
          <w:color w:val="auto"/>
          <w:highlight w:val="none"/>
          <w:lang w:val="en-US"/>
        </w:rPr>
      </w:pPr>
      <w:r>
        <w:rPr>
          <w:rFonts w:hint="eastAsia" w:ascii="仿宋" w:hAnsi="仿宋" w:eastAsia="仿宋" w:cs="仿宋"/>
          <w:color w:val="auto"/>
          <w:highlight w:val="none"/>
          <w:lang w:val="en-US"/>
        </w:rPr>
        <w:t>说明：</w:t>
      </w:r>
    </w:p>
    <w:p w14:paraId="4EFAE5E7">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outlineLvl w:val="9"/>
        <w:rPr>
          <w:rFonts w:hint="eastAsia" w:ascii="仿宋" w:hAnsi="仿宋" w:eastAsia="仿宋" w:cs="仿宋"/>
          <w:b/>
          <w:bCs/>
          <w:color w:val="auto"/>
          <w:highlight w:val="none"/>
          <w:lang w:val="en-US"/>
        </w:rPr>
      </w:pPr>
      <w:r>
        <w:rPr>
          <w:rFonts w:hint="eastAsia" w:ascii="仿宋" w:hAnsi="仿宋" w:eastAsia="仿宋" w:cs="仿宋"/>
          <w:b/>
          <w:bCs/>
          <w:color w:val="auto"/>
          <w:highlight w:val="none"/>
          <w:lang w:val="en-US"/>
        </w:rPr>
        <w:t>1</w:t>
      </w:r>
      <w:r>
        <w:rPr>
          <w:rFonts w:hint="eastAsia" w:ascii="仿宋" w:hAnsi="仿宋" w:eastAsia="仿宋" w:cs="仿宋"/>
          <w:b/>
          <w:bCs/>
          <w:color w:val="auto"/>
          <w:highlight w:val="none"/>
          <w:lang w:val="en-US" w:eastAsia="zh-CN"/>
        </w:rPr>
        <w:t>、</w:t>
      </w:r>
      <w:r>
        <w:rPr>
          <w:rFonts w:hint="eastAsia" w:ascii="仿宋" w:hAnsi="仿宋" w:eastAsia="仿宋" w:cs="仿宋"/>
          <w:b/>
          <w:bCs/>
          <w:color w:val="auto"/>
          <w:highlight w:val="none"/>
          <w:lang w:val="en-US"/>
        </w:rPr>
        <w:t>本表只填写投标文件中与招标文件有偏离（包括正偏离和负偏离）的内容，投标文件中商务响应与招标文件要求完全一致的，不用在此表中列出，但必须提交空白表。</w:t>
      </w:r>
    </w:p>
    <w:p w14:paraId="0689C618">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firstLine="480" w:firstLineChars="200"/>
        <w:jc w:val="left"/>
        <w:textAlignment w:val="auto"/>
        <w:outlineLvl w:val="9"/>
        <w:rPr>
          <w:rFonts w:hint="eastAsia" w:ascii="仿宋" w:hAnsi="仿宋" w:eastAsia="仿宋" w:cs="仿宋"/>
          <w:color w:val="auto"/>
          <w:highlight w:val="none"/>
          <w:lang w:val="en-US"/>
        </w:rPr>
      </w:pPr>
      <w:r>
        <w:rPr>
          <w:rFonts w:hint="eastAsia" w:ascii="仿宋" w:hAnsi="仿宋" w:eastAsia="仿宋" w:cs="仿宋"/>
          <w:color w:val="auto"/>
          <w:highlight w:val="none"/>
          <w:lang w:val="en-US"/>
        </w:rPr>
        <w:t>2</w:t>
      </w:r>
      <w:r>
        <w:rPr>
          <w:rFonts w:hint="eastAsia" w:ascii="仿宋" w:hAnsi="仿宋" w:eastAsia="仿宋" w:cs="仿宋"/>
          <w:color w:val="auto"/>
          <w:highlight w:val="none"/>
          <w:lang w:val="en-US" w:eastAsia="zh-CN"/>
        </w:rPr>
        <w:t>、供应商</w:t>
      </w:r>
      <w:r>
        <w:rPr>
          <w:rFonts w:hint="eastAsia" w:ascii="仿宋" w:hAnsi="仿宋" w:eastAsia="仿宋" w:cs="仿宋"/>
          <w:color w:val="auto"/>
          <w:highlight w:val="none"/>
          <w:lang w:val="en-US"/>
        </w:rPr>
        <w:t>必须据实填写，不得虚假响应，否则将取消其投标或中标资格，并按有关规定进</w:t>
      </w:r>
      <w:r>
        <w:rPr>
          <w:rFonts w:hint="eastAsia" w:ascii="仿宋" w:hAnsi="仿宋" w:eastAsia="仿宋" w:cs="仿宋"/>
          <w:color w:val="auto"/>
          <w:highlight w:val="none"/>
          <w:lang w:val="en-US" w:eastAsia="zh-CN"/>
        </w:rPr>
        <w:t>行</w:t>
      </w:r>
      <w:r>
        <w:rPr>
          <w:rFonts w:hint="eastAsia" w:ascii="仿宋" w:hAnsi="仿宋" w:eastAsia="仿宋" w:cs="仿宋"/>
          <w:color w:val="auto"/>
          <w:highlight w:val="none"/>
          <w:lang w:val="en-US"/>
        </w:rPr>
        <w:t>处罚。</w:t>
      </w:r>
    </w:p>
    <w:p w14:paraId="43928843">
      <w:pPr>
        <w:pStyle w:val="27"/>
        <w:keepNext w:val="0"/>
        <w:keepLines w:val="0"/>
        <w:widowControl w:val="0"/>
        <w:suppressLineNumbers w:val="0"/>
        <w:spacing w:before="0" w:beforeAutospacing="0" w:after="0" w:afterAutospacing="0"/>
        <w:ind w:left="0" w:right="0" w:firstLine="480" w:firstLineChars="200"/>
        <w:jc w:val="center"/>
        <w:rPr>
          <w:rFonts w:hint="eastAsia" w:ascii="仿宋" w:hAnsi="仿宋" w:eastAsia="仿宋" w:cs="仿宋"/>
          <w:color w:val="auto"/>
          <w:highlight w:val="none"/>
          <w:lang w:val="en-US"/>
        </w:rPr>
      </w:pPr>
    </w:p>
    <w:p w14:paraId="2A72C179">
      <w:pPr>
        <w:pStyle w:val="27"/>
        <w:keepNext w:val="0"/>
        <w:keepLines w:val="0"/>
        <w:widowControl w:val="0"/>
        <w:suppressLineNumbers w:val="0"/>
        <w:spacing w:before="0" w:beforeAutospacing="0" w:after="0" w:afterAutospacing="0"/>
        <w:ind w:left="0" w:right="0" w:firstLine="480" w:firstLineChars="200"/>
        <w:jc w:val="left"/>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供应商</w:t>
      </w:r>
      <w:r>
        <w:rPr>
          <w:rFonts w:hint="eastAsia" w:ascii="仿宋" w:hAnsi="仿宋" w:eastAsia="仿宋" w:cs="仿宋"/>
          <w:color w:val="auto"/>
          <w:highlight w:val="none"/>
          <w:lang w:val="en-US"/>
        </w:rPr>
        <w:t>名称：</w:t>
      </w:r>
      <w:r>
        <w:rPr>
          <w:rFonts w:hint="eastAsia" w:ascii="仿宋" w:hAnsi="仿宋" w:eastAsia="仿宋" w:cs="仿宋"/>
          <w:color w:val="auto"/>
          <w:highlight w:val="none"/>
          <w:u w:val="single"/>
          <w:lang w:val="en-US"/>
        </w:rPr>
        <w:t xml:space="preserve">                     </w:t>
      </w:r>
      <w:r>
        <w:rPr>
          <w:rFonts w:hint="eastAsia" w:ascii="仿宋" w:hAnsi="仿宋" w:eastAsia="仿宋" w:cs="仿宋"/>
          <w:color w:val="auto"/>
          <w:highlight w:val="none"/>
          <w:lang w:val="en-US"/>
        </w:rPr>
        <w:t>（</w:t>
      </w:r>
      <w:r>
        <w:rPr>
          <w:rFonts w:hint="eastAsia" w:ascii="仿宋" w:hAnsi="仿宋" w:eastAsia="仿宋" w:cs="仿宋"/>
          <w:color w:val="auto"/>
          <w:highlight w:val="none"/>
          <w:lang w:val="en-US" w:eastAsia="zh-CN"/>
        </w:rPr>
        <w:t>盖</w:t>
      </w:r>
      <w:r>
        <w:rPr>
          <w:rFonts w:hint="eastAsia" w:ascii="仿宋" w:hAnsi="仿宋" w:eastAsia="仿宋" w:cs="仿宋"/>
          <w:color w:val="auto"/>
          <w:highlight w:val="none"/>
          <w:lang w:val="en-US"/>
        </w:rPr>
        <w:t>单位公章）</w:t>
      </w:r>
    </w:p>
    <w:p w14:paraId="18ECA67D">
      <w:pPr>
        <w:pStyle w:val="27"/>
        <w:keepNext w:val="0"/>
        <w:keepLines w:val="0"/>
        <w:widowControl w:val="0"/>
        <w:suppressLineNumbers w:val="0"/>
        <w:spacing w:before="0" w:beforeAutospacing="0" w:after="0" w:afterAutospacing="0"/>
        <w:ind w:left="0" w:right="0" w:firstLine="480" w:firstLineChars="200"/>
        <w:jc w:val="center"/>
        <w:rPr>
          <w:rFonts w:hint="eastAsia" w:ascii="仿宋" w:hAnsi="仿宋" w:eastAsia="仿宋" w:cs="仿宋"/>
          <w:color w:val="auto"/>
          <w:highlight w:val="none"/>
          <w:lang w:val="en-US"/>
        </w:rPr>
      </w:pPr>
    </w:p>
    <w:p w14:paraId="7B44582F">
      <w:pPr>
        <w:keepNext w:val="0"/>
        <w:keepLines w:val="0"/>
        <w:pageBreakBefore w:val="0"/>
        <w:widowControl w:val="0"/>
        <w:kinsoku/>
        <w:wordWrap/>
        <w:overflowPunct/>
        <w:topLinePunct w:val="0"/>
        <w:autoSpaceDE/>
        <w:autoSpaceDN/>
        <w:bidi w:val="0"/>
        <w:adjustRightInd/>
        <w:snapToGrid/>
        <w:spacing w:line="500" w:lineRule="exact"/>
        <w:ind w:firstLine="496" w:firstLineChars="200"/>
        <w:jc w:val="left"/>
        <w:textAlignment w:val="auto"/>
        <w:outlineLvl w:val="9"/>
        <w:rPr>
          <w:rFonts w:hint="eastAsia" w:ascii="仿宋" w:hAnsi="仿宋" w:eastAsia="仿宋" w:cs="仿宋"/>
          <w:color w:val="auto"/>
          <w:spacing w:val="4"/>
          <w:highlight w:val="none"/>
          <w:u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5EB403C7">
      <w:pPr>
        <w:pStyle w:val="27"/>
        <w:keepNext w:val="0"/>
        <w:keepLines w:val="0"/>
        <w:widowControl w:val="0"/>
        <w:suppressLineNumbers w:val="0"/>
        <w:spacing w:before="0" w:beforeAutospacing="0" w:after="0" w:afterAutospacing="0"/>
        <w:ind w:left="0" w:right="0" w:firstLine="480" w:firstLineChars="200"/>
        <w:jc w:val="left"/>
        <w:rPr>
          <w:rFonts w:hint="eastAsia" w:ascii="仿宋" w:hAnsi="仿宋" w:eastAsia="仿宋" w:cs="仿宋"/>
          <w:color w:val="auto"/>
          <w:highlight w:val="none"/>
          <w:lang w:val="en-US"/>
        </w:rPr>
      </w:pPr>
      <w:r>
        <w:rPr>
          <w:rFonts w:hint="eastAsia" w:ascii="仿宋" w:hAnsi="仿宋" w:eastAsia="仿宋" w:cs="仿宋"/>
          <w:color w:val="auto"/>
          <w:highlight w:val="none"/>
          <w:lang w:val="en-US"/>
        </w:rPr>
        <w:t xml:space="preserve">      </w:t>
      </w:r>
    </w:p>
    <w:p w14:paraId="35BD49E5">
      <w:pPr>
        <w:pStyle w:val="15"/>
        <w:ind w:firstLine="480" w:firstLineChars="200"/>
        <w:rPr>
          <w:rFonts w:hint="eastAsia" w:ascii="仿宋" w:hAnsi="仿宋" w:eastAsia="仿宋" w:cs="仿宋"/>
          <w:color w:val="auto"/>
          <w:szCs w:val="24"/>
          <w:highlight w:val="none"/>
        </w:rPr>
      </w:pPr>
      <w:r>
        <w:rPr>
          <w:rFonts w:hint="eastAsia" w:ascii="仿宋" w:hAnsi="仿宋" w:eastAsia="仿宋" w:cs="仿宋"/>
          <w:color w:val="auto"/>
          <w:sz w:val="24"/>
          <w:szCs w:val="24"/>
          <w:highlight w:val="none"/>
        </w:rPr>
        <w:t>日      期：</w:t>
      </w:r>
      <w:r>
        <w:rPr>
          <w:rFonts w:hint="eastAsia" w:ascii="仿宋" w:hAnsi="仿宋" w:eastAsia="仿宋" w:cs="仿宋"/>
          <w:color w:val="auto"/>
          <w:szCs w:val="24"/>
          <w:highlight w:val="none"/>
        </w:rPr>
        <w:t xml:space="preserve">      年   月    日</w:t>
      </w:r>
    </w:p>
    <w:p w14:paraId="4E4B5D3F">
      <w:pPr>
        <w:rPr>
          <w:rFonts w:hint="eastAsia" w:ascii="仿宋" w:hAnsi="仿宋" w:eastAsia="仿宋" w:cs="仿宋"/>
          <w:color w:val="auto"/>
          <w:szCs w:val="24"/>
          <w:highlight w:val="none"/>
        </w:rPr>
      </w:pPr>
      <w:r>
        <w:rPr>
          <w:rFonts w:hint="eastAsia" w:ascii="仿宋" w:hAnsi="仿宋" w:eastAsia="仿宋" w:cs="仿宋"/>
          <w:color w:val="auto"/>
          <w:szCs w:val="24"/>
          <w:highlight w:val="none"/>
        </w:rPr>
        <w:br w:type="page"/>
      </w:r>
    </w:p>
    <w:p w14:paraId="0CC96379">
      <w:pPr>
        <w:jc w:val="center"/>
        <w:outlineLvl w:val="1"/>
        <w:rPr>
          <w:rFonts w:hint="eastAsia" w:ascii="仿宋" w:hAnsi="仿宋" w:eastAsia="仿宋" w:cs="仿宋"/>
          <w:color w:val="auto"/>
          <w:highlight w:val="none"/>
          <w:lang w:eastAsia="zh-CN"/>
        </w:rPr>
      </w:pPr>
      <w:bookmarkStart w:id="212" w:name="_Toc29761"/>
      <w:bookmarkStart w:id="213" w:name="_Toc10346"/>
      <w:bookmarkStart w:id="214" w:name="_Toc25112"/>
      <w:bookmarkStart w:id="215" w:name="_Toc15418"/>
      <w:bookmarkStart w:id="216" w:name="_Toc4341"/>
      <w:bookmarkStart w:id="217" w:name="_Toc14939"/>
      <w:r>
        <w:rPr>
          <w:rFonts w:hint="eastAsia" w:ascii="仿宋" w:hAnsi="仿宋" w:eastAsia="仿宋" w:cs="仿宋"/>
          <w:color w:val="auto"/>
          <w:sz w:val="32"/>
          <w:szCs w:val="32"/>
          <w:highlight w:val="none"/>
          <w:lang w:val="en-US" w:eastAsia="zh-CN" w:bidi="ar-SA"/>
        </w:rPr>
        <w:t xml:space="preserve">第五部分  </w:t>
      </w:r>
      <w:r>
        <w:rPr>
          <w:rFonts w:hint="eastAsia" w:ascii="仿宋" w:hAnsi="仿宋" w:eastAsia="仿宋" w:cs="仿宋"/>
          <w:color w:val="auto"/>
          <w:sz w:val="32"/>
          <w:szCs w:val="32"/>
          <w:highlight w:val="none"/>
          <w:lang w:val="zh-CN" w:eastAsia="zh-CN" w:bidi="ar-SA"/>
        </w:rPr>
        <w:t>供应商承诺书</w:t>
      </w:r>
      <w:bookmarkEnd w:id="212"/>
      <w:bookmarkEnd w:id="213"/>
      <w:bookmarkEnd w:id="214"/>
      <w:bookmarkEnd w:id="215"/>
      <w:bookmarkEnd w:id="216"/>
      <w:bookmarkEnd w:id="217"/>
    </w:p>
    <w:p w14:paraId="41C1D6A6">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5.1</w:t>
      </w:r>
      <w:r>
        <w:rPr>
          <w:rFonts w:hint="eastAsia" w:ascii="仿宋" w:hAnsi="仿宋" w:eastAsia="仿宋" w:cs="仿宋"/>
          <w:b/>
          <w:bCs/>
          <w:color w:val="auto"/>
          <w:sz w:val="24"/>
          <w:szCs w:val="24"/>
          <w:highlight w:val="none"/>
        </w:rPr>
        <w:t>陕西省政府采购供应商拒绝政府采购领域商业贿赂承诺书</w:t>
      </w:r>
    </w:p>
    <w:p w14:paraId="1747345D">
      <w:pPr>
        <w:keepNext w:val="0"/>
        <w:keepLines w:val="0"/>
        <w:pageBreakBefore w:val="0"/>
        <w:widowControl/>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为响应党中央、国务院关于治理政府采购领域商业贿赂行为的号召，我公司在此庄严承诺：</w:t>
      </w:r>
    </w:p>
    <w:p w14:paraId="5F6BAC28">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bidi="ar-SA"/>
        </w:rPr>
        <w:t>1、</w:t>
      </w:r>
      <w:r>
        <w:rPr>
          <w:rFonts w:hint="eastAsia" w:ascii="仿宋" w:hAnsi="仿宋" w:eastAsia="仿宋" w:cs="仿宋"/>
          <w:color w:val="auto"/>
          <w:sz w:val="24"/>
          <w:szCs w:val="24"/>
          <w:highlight w:val="none"/>
        </w:rPr>
        <w:t>在参与政府采购活动中遵纪守法、诚信经营、公平竞标。</w:t>
      </w:r>
    </w:p>
    <w:p w14:paraId="590BDC88">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bidi="ar-SA"/>
        </w:rPr>
        <w:t>2、</w:t>
      </w:r>
      <w:r>
        <w:rPr>
          <w:rFonts w:hint="eastAsia" w:ascii="仿宋" w:hAnsi="仿宋" w:eastAsia="仿宋" w:cs="仿宋"/>
          <w:color w:val="auto"/>
          <w:sz w:val="24"/>
          <w:szCs w:val="24"/>
          <w:highlight w:val="none"/>
        </w:rPr>
        <w:t>不向政府采购人、采购代理机构和政府采购评审专家进行任何形式的商业贿赂以谋取交易机会。</w:t>
      </w:r>
    </w:p>
    <w:p w14:paraId="72E699BA">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bidi="ar-SA"/>
        </w:rPr>
        <w:t>3、</w:t>
      </w:r>
      <w:r>
        <w:rPr>
          <w:rFonts w:hint="eastAsia" w:ascii="仿宋" w:hAnsi="仿宋" w:eastAsia="仿宋" w:cs="仿宋"/>
          <w:color w:val="auto"/>
          <w:sz w:val="24"/>
          <w:szCs w:val="24"/>
          <w:highlight w:val="none"/>
        </w:rPr>
        <w:t>不向政府采购代理机构和采购人提供虚假资质文件或采用虚假应标方式参与政府采购市场竞争并谋取中标、成交。</w:t>
      </w:r>
    </w:p>
    <w:p w14:paraId="7A23B130">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bidi="ar-SA"/>
        </w:rPr>
        <w:t>4、</w:t>
      </w:r>
      <w:r>
        <w:rPr>
          <w:rFonts w:hint="eastAsia" w:ascii="仿宋" w:hAnsi="仿宋" w:eastAsia="仿宋" w:cs="仿宋"/>
          <w:color w:val="auto"/>
          <w:sz w:val="24"/>
          <w:szCs w:val="24"/>
          <w:highlight w:val="none"/>
        </w:rPr>
        <w:t>不采取“围标、陪标”等商业欺诈手段获得政府采购定单。</w:t>
      </w:r>
    </w:p>
    <w:p w14:paraId="1B911670">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bidi="ar-SA"/>
        </w:rPr>
        <w:t>5、</w:t>
      </w:r>
      <w:r>
        <w:rPr>
          <w:rFonts w:hint="eastAsia" w:ascii="仿宋" w:hAnsi="仿宋" w:eastAsia="仿宋" w:cs="仿宋"/>
          <w:color w:val="auto"/>
          <w:sz w:val="24"/>
          <w:szCs w:val="24"/>
          <w:highlight w:val="none"/>
        </w:rPr>
        <w:t>不采取不正当手段诋毁、排挤其他供应商。</w:t>
      </w:r>
    </w:p>
    <w:p w14:paraId="64E294A3">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bidi="ar-SA"/>
        </w:rPr>
        <w:t>6、</w:t>
      </w:r>
      <w:r>
        <w:rPr>
          <w:rFonts w:hint="eastAsia" w:ascii="仿宋" w:hAnsi="仿宋" w:eastAsia="仿宋" w:cs="仿宋"/>
          <w:color w:val="auto"/>
          <w:sz w:val="24"/>
          <w:szCs w:val="24"/>
          <w:highlight w:val="none"/>
        </w:rPr>
        <w:t>不在提供商品和服务时“偷梁换柱、以次充好”损害采购人的合法权益。</w:t>
      </w:r>
    </w:p>
    <w:p w14:paraId="5EAC28F6">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bidi="ar-SA"/>
        </w:rPr>
        <w:t>7、</w:t>
      </w:r>
      <w:r>
        <w:rPr>
          <w:rFonts w:hint="eastAsia" w:ascii="仿宋" w:hAnsi="仿宋" w:eastAsia="仿宋" w:cs="仿宋"/>
          <w:color w:val="auto"/>
          <w:sz w:val="24"/>
          <w:szCs w:val="24"/>
          <w:highlight w:val="none"/>
        </w:rPr>
        <w:t>不与采购人、采购代理机构政府采购评审专家或其它供应商恶意串通，进行质疑和投诉，维护政府采购市场秩序。</w:t>
      </w:r>
    </w:p>
    <w:p w14:paraId="5B7F6A9B">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bidi="ar-SA"/>
        </w:rPr>
        <w:t>8、</w:t>
      </w:r>
      <w:r>
        <w:rPr>
          <w:rFonts w:hint="eastAsia" w:ascii="仿宋" w:hAnsi="仿宋" w:eastAsia="仿宋" w:cs="仿宋"/>
          <w:color w:val="auto"/>
          <w:sz w:val="24"/>
          <w:szCs w:val="24"/>
          <w:highlight w:val="none"/>
        </w:rPr>
        <w:t>尊重和接受政府采购监督管理部门的监督和政府采购代理机构招标采购要求，承担因违约行为给采购人造成的损失。</w:t>
      </w:r>
    </w:p>
    <w:p w14:paraId="301A1F11">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bidi="ar-SA"/>
        </w:rPr>
        <w:t>9、</w:t>
      </w:r>
      <w:r>
        <w:rPr>
          <w:rFonts w:hint="eastAsia" w:ascii="仿宋" w:hAnsi="仿宋" w:eastAsia="仿宋" w:cs="仿宋"/>
          <w:color w:val="auto"/>
          <w:sz w:val="24"/>
          <w:szCs w:val="24"/>
          <w:highlight w:val="none"/>
        </w:rPr>
        <w:t>不发生其他有悖于政府采购公开、公平、公正和诚信原则的行为。</w:t>
      </w:r>
    </w:p>
    <w:p w14:paraId="11119E8C">
      <w:pPr>
        <w:pStyle w:val="15"/>
        <w:keepNext w:val="0"/>
        <w:keepLines w:val="0"/>
        <w:pageBreakBefore w:val="0"/>
        <w:widowControl/>
        <w:kinsoku/>
        <w:wordWrap/>
        <w:overflowPunct/>
        <w:topLinePunct w:val="0"/>
        <w:autoSpaceDE/>
        <w:autoSpaceDN/>
        <w:bidi w:val="0"/>
        <w:adjustRightInd/>
        <w:snapToGrid/>
        <w:spacing w:after="0" w:afterLines="0" w:line="500" w:lineRule="exact"/>
        <w:ind w:left="0" w:leftChars="0"/>
        <w:textAlignment w:val="auto"/>
        <w:rPr>
          <w:rFonts w:hint="eastAsia" w:ascii="仿宋" w:hAnsi="仿宋" w:eastAsia="仿宋" w:cs="仿宋"/>
          <w:color w:val="auto"/>
          <w:sz w:val="24"/>
          <w:szCs w:val="24"/>
          <w:highlight w:val="none"/>
        </w:rPr>
      </w:pPr>
    </w:p>
    <w:p w14:paraId="466D12C0">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承诺单位：</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（盖章）</w:t>
      </w:r>
    </w:p>
    <w:p w14:paraId="069CDF77">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法定代表人/</w:t>
      </w:r>
      <w:r>
        <w:rPr>
          <w:rFonts w:hint="eastAsia" w:ascii="仿宋" w:hAnsi="仿宋" w:eastAsia="仿宋" w:cs="仿宋"/>
          <w:color w:val="auto"/>
          <w:sz w:val="24"/>
          <w:szCs w:val="24"/>
          <w:highlight w:val="none"/>
          <w:lang w:eastAsia="zh-CN"/>
        </w:rPr>
        <w:t>被授权人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（签</w:t>
      </w:r>
      <w:r>
        <w:rPr>
          <w:rFonts w:hint="eastAsia" w:ascii="仿宋" w:hAnsi="仿宋" w:eastAsia="仿宋" w:cs="仿宋"/>
          <w:color w:val="auto"/>
          <w:sz w:val="24"/>
          <w:szCs w:val="24"/>
          <w:highlight w:val="none"/>
          <w:lang w:eastAsia="zh-CN"/>
        </w:rPr>
        <w:t>字</w:t>
      </w:r>
      <w:r>
        <w:rPr>
          <w:rFonts w:hint="eastAsia" w:ascii="仿宋" w:hAnsi="仿宋" w:eastAsia="仿宋" w:cs="仿宋"/>
          <w:color w:val="auto"/>
          <w:sz w:val="24"/>
          <w:szCs w:val="24"/>
          <w:highlight w:val="none"/>
          <w:lang w:val="en-US" w:eastAsia="zh-CN"/>
        </w:rPr>
        <w:t>或盖章</w:t>
      </w:r>
      <w:r>
        <w:rPr>
          <w:rFonts w:hint="eastAsia" w:ascii="仿宋" w:hAnsi="仿宋" w:eastAsia="仿宋" w:cs="仿宋"/>
          <w:color w:val="auto"/>
          <w:sz w:val="24"/>
          <w:szCs w:val="24"/>
          <w:highlight w:val="none"/>
        </w:rPr>
        <w:t>）</w:t>
      </w:r>
    </w:p>
    <w:p w14:paraId="54166397">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  </w:t>
      </w:r>
    </w:p>
    <w:p w14:paraId="48CF6D86">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邮  编：</w:t>
      </w:r>
      <w:r>
        <w:rPr>
          <w:rFonts w:hint="eastAsia" w:ascii="仿宋" w:hAnsi="仿宋" w:eastAsia="仿宋" w:cs="仿宋"/>
          <w:color w:val="auto"/>
          <w:sz w:val="24"/>
          <w:szCs w:val="24"/>
          <w:highlight w:val="none"/>
          <w:u w:val="single"/>
          <w:lang w:val="en-US" w:eastAsia="zh-CN"/>
        </w:rPr>
        <w:t xml:space="preserve">                         </w:t>
      </w:r>
    </w:p>
    <w:p w14:paraId="57F2955B">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 xml:space="preserve">                                                 </w:t>
      </w:r>
    </w:p>
    <w:p w14:paraId="1E80711D">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  月  日</w:t>
      </w:r>
    </w:p>
    <w:p w14:paraId="481F4A81">
      <w:pPr>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br w:type="page"/>
      </w:r>
    </w:p>
    <w:p w14:paraId="5DE3C4D0">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color w:val="auto"/>
          <w:sz w:val="30"/>
          <w:szCs w:val="30"/>
          <w:highlight w:val="none"/>
          <w:lang w:val="zh-CN" w:eastAsia="zh-CN"/>
        </w:rPr>
      </w:pPr>
      <w:r>
        <w:rPr>
          <w:rFonts w:hint="eastAsia" w:ascii="仿宋" w:hAnsi="仿宋" w:eastAsia="仿宋" w:cs="仿宋"/>
          <w:b/>
          <w:bCs/>
          <w:color w:val="auto"/>
          <w:sz w:val="30"/>
          <w:szCs w:val="30"/>
          <w:highlight w:val="none"/>
          <w:lang w:val="en-US" w:eastAsia="zh-CN"/>
        </w:rPr>
        <w:t>5.2</w:t>
      </w:r>
      <w:r>
        <w:rPr>
          <w:rFonts w:hint="eastAsia" w:ascii="仿宋" w:hAnsi="仿宋" w:eastAsia="仿宋" w:cs="仿宋"/>
          <w:b/>
          <w:bCs/>
          <w:color w:val="auto"/>
          <w:sz w:val="30"/>
          <w:szCs w:val="30"/>
          <w:highlight w:val="none"/>
          <w:lang w:val="zh-CN" w:eastAsia="zh-CN"/>
        </w:rPr>
        <w:t xml:space="preserve"> 供应商企业关系关联承诺书</w:t>
      </w:r>
    </w:p>
    <w:p w14:paraId="25971CEC">
      <w:pPr>
        <w:pStyle w:val="15"/>
        <w:rPr>
          <w:rFonts w:hint="eastAsia" w:ascii="仿宋" w:hAnsi="仿宋" w:eastAsia="仿宋" w:cs="仿宋"/>
          <w:color w:val="auto"/>
          <w:highlight w:val="none"/>
          <w:lang w:val="zh-CN" w:eastAsia="zh-CN"/>
        </w:rPr>
      </w:pPr>
    </w:p>
    <w:p w14:paraId="64C4871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1、供应商在本项目投标中，不存在与其它供应商负责人为同一人，有控股、管理等关联关系承诺：</w:t>
      </w:r>
    </w:p>
    <w:p w14:paraId="6D17EF8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1.1管理关系说明：</w:t>
      </w:r>
    </w:p>
    <w:p w14:paraId="60BF89C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我单位管理的具有独立法人的下属单位有</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w:t>
      </w:r>
    </w:p>
    <w:p w14:paraId="07B42BC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我单位的上级管理单位有</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w:t>
      </w:r>
    </w:p>
    <w:p w14:paraId="5D33579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1.2股权关系说明：</w:t>
      </w:r>
    </w:p>
    <w:p w14:paraId="6CCF6AB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我单位控股的单位有</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w:t>
      </w:r>
    </w:p>
    <w:p w14:paraId="742842A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我单位被</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单位控股。</w:t>
      </w:r>
    </w:p>
    <w:p w14:paraId="235D930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u w:val="single"/>
          <w:lang w:val="en-US" w:eastAsia="zh-CN"/>
        </w:rPr>
      </w:pPr>
      <w:r>
        <w:rPr>
          <w:rFonts w:hint="eastAsia" w:ascii="仿宋" w:hAnsi="仿宋" w:eastAsia="仿宋" w:cs="仿宋"/>
          <w:b w:val="0"/>
          <w:bCs w:val="0"/>
          <w:color w:val="auto"/>
          <w:sz w:val="24"/>
          <w:szCs w:val="24"/>
          <w:highlight w:val="none"/>
          <w:lang w:val="en-US" w:eastAsia="zh-CN"/>
        </w:rPr>
        <w:t>1.3单位负责人：</w:t>
      </w:r>
      <w:r>
        <w:rPr>
          <w:rFonts w:hint="eastAsia" w:ascii="仿宋" w:hAnsi="仿宋" w:eastAsia="仿宋" w:cs="仿宋"/>
          <w:b w:val="0"/>
          <w:bCs w:val="0"/>
          <w:color w:val="auto"/>
          <w:sz w:val="24"/>
          <w:szCs w:val="24"/>
          <w:highlight w:val="none"/>
          <w:u w:val="single"/>
          <w:lang w:val="en-US" w:eastAsia="zh-CN"/>
        </w:rPr>
        <w:t xml:space="preserve">                </w:t>
      </w:r>
    </w:p>
    <w:p w14:paraId="2C9E1FB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u w:val="single"/>
          <w:lang w:val="en-US" w:eastAsia="zh-CN"/>
        </w:rPr>
        <w:t xml:space="preserve">      否        </w:t>
      </w:r>
      <w:r>
        <w:rPr>
          <w:rFonts w:hint="eastAsia" w:ascii="仿宋" w:hAnsi="仿宋" w:eastAsia="仿宋" w:cs="仿宋"/>
          <w:b w:val="0"/>
          <w:bCs w:val="0"/>
          <w:color w:val="auto"/>
          <w:sz w:val="24"/>
          <w:szCs w:val="24"/>
          <w:highlight w:val="none"/>
          <w:lang w:val="en-US" w:eastAsia="zh-CN"/>
        </w:rPr>
        <w:t>（是或否，没有填否） 为采购项目提供整体设计、规范编制或者项目管理、监理、检测等服务的供应商。</w:t>
      </w:r>
    </w:p>
    <w:p w14:paraId="4C531D0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u w:val="single"/>
          <w:lang w:val="en-US" w:eastAsia="zh-CN"/>
        </w:rPr>
      </w:pPr>
      <w:r>
        <w:rPr>
          <w:rFonts w:hint="eastAsia" w:ascii="仿宋" w:hAnsi="仿宋" w:eastAsia="仿宋" w:cs="仿宋"/>
          <w:b w:val="0"/>
          <w:bCs w:val="0"/>
          <w:color w:val="auto"/>
          <w:sz w:val="24"/>
          <w:szCs w:val="24"/>
          <w:highlight w:val="none"/>
          <w:lang w:val="en-US" w:eastAsia="zh-CN"/>
        </w:rPr>
        <w:t>3、其他与本项目有关的利害关系说明：</w:t>
      </w:r>
      <w:r>
        <w:rPr>
          <w:rFonts w:hint="eastAsia" w:ascii="仿宋" w:hAnsi="仿宋" w:eastAsia="仿宋" w:cs="仿宋"/>
          <w:b w:val="0"/>
          <w:bCs w:val="0"/>
          <w:color w:val="auto"/>
          <w:sz w:val="24"/>
          <w:szCs w:val="24"/>
          <w:highlight w:val="none"/>
          <w:u w:val="single"/>
          <w:lang w:val="en-US" w:eastAsia="zh-CN"/>
        </w:rPr>
        <w:t xml:space="preserve">                               </w:t>
      </w:r>
    </w:p>
    <w:p w14:paraId="2A6BBFB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我单位承诺以上说明真实有效，无虚假内容或隐瞒。</w:t>
      </w:r>
    </w:p>
    <w:p w14:paraId="5EB8842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 w:firstLineChars="100"/>
        <w:textAlignment w:val="auto"/>
        <w:outlineLvl w:val="9"/>
        <w:rPr>
          <w:rFonts w:hint="eastAsia" w:ascii="仿宋" w:hAnsi="仿宋" w:eastAsia="仿宋" w:cs="仿宋"/>
          <w:b w:val="0"/>
          <w:bCs w:val="0"/>
          <w:color w:val="auto"/>
          <w:sz w:val="24"/>
          <w:szCs w:val="24"/>
          <w:highlight w:val="none"/>
          <w:lang w:val="en-US" w:eastAsia="zh-CN"/>
        </w:rPr>
      </w:pPr>
    </w:p>
    <w:p w14:paraId="256C237C">
      <w:pPr>
        <w:pStyle w:val="15"/>
        <w:rPr>
          <w:rFonts w:hint="eastAsia" w:ascii="仿宋" w:hAnsi="仿宋" w:eastAsia="仿宋" w:cs="仿宋"/>
          <w:color w:val="auto"/>
          <w:highlight w:val="none"/>
          <w:lang w:val="en-US" w:eastAsia="zh-CN"/>
        </w:rPr>
      </w:pPr>
    </w:p>
    <w:p w14:paraId="3594384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0" w:firstLineChars="10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供应商名称</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（盖单位公章）</w:t>
      </w:r>
    </w:p>
    <w:p w14:paraId="4982544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 w:firstLineChars="100"/>
        <w:textAlignment w:val="auto"/>
        <w:outlineLvl w:val="9"/>
        <w:rPr>
          <w:rFonts w:hint="eastAsia" w:ascii="仿宋" w:hAnsi="仿宋" w:eastAsia="仿宋" w:cs="仿宋"/>
          <w:b w:val="0"/>
          <w:bCs w:val="0"/>
          <w:color w:val="auto"/>
          <w:sz w:val="24"/>
          <w:szCs w:val="24"/>
          <w:highlight w:val="none"/>
          <w:lang w:val="en-US" w:eastAsia="zh-CN"/>
        </w:rPr>
      </w:pPr>
    </w:p>
    <w:p w14:paraId="7021924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0" w:firstLineChars="10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法定代表人或被授权人</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（签字或盖章）</w:t>
      </w:r>
    </w:p>
    <w:p w14:paraId="79B5C31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 w:firstLineChars="100"/>
        <w:textAlignment w:val="auto"/>
        <w:outlineLvl w:val="9"/>
        <w:rPr>
          <w:rFonts w:hint="eastAsia" w:ascii="仿宋" w:hAnsi="仿宋" w:eastAsia="仿宋" w:cs="仿宋"/>
          <w:color w:val="auto"/>
          <w:kern w:val="0"/>
          <w:sz w:val="24"/>
          <w:highlight w:val="none"/>
        </w:rPr>
      </w:pPr>
      <w:r>
        <w:rPr>
          <w:rFonts w:hint="eastAsia" w:ascii="仿宋" w:hAnsi="仿宋" w:eastAsia="仿宋" w:cs="仿宋"/>
          <w:b w:val="0"/>
          <w:bCs w:val="0"/>
          <w:color w:val="auto"/>
          <w:sz w:val="24"/>
          <w:szCs w:val="24"/>
          <w:highlight w:val="none"/>
          <w:lang w:val="en-US" w:eastAsia="zh-CN"/>
        </w:rPr>
        <w:t xml:space="preserve">      </w:t>
      </w:r>
    </w:p>
    <w:p w14:paraId="718A498B">
      <w:pPr>
        <w:widowControl/>
        <w:spacing w:line="408" w:lineRule="auto"/>
        <w:ind w:left="273" w:leftChars="114"/>
        <w:jc w:val="right"/>
        <w:rPr>
          <w:rFonts w:hint="eastAsia" w:ascii="仿宋" w:hAnsi="仿宋" w:eastAsia="仿宋" w:cs="仿宋"/>
          <w:color w:val="auto"/>
          <w:kern w:val="0"/>
          <w:sz w:val="24"/>
          <w:highlight w:val="none"/>
        </w:rPr>
      </w:pPr>
    </w:p>
    <w:p w14:paraId="75568F7B">
      <w:pPr>
        <w:ind w:firstLine="3840" w:firstLineChars="16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年</w:t>
      </w:r>
      <w:r>
        <w:rPr>
          <w:rFonts w:hint="eastAsia" w:ascii="仿宋" w:hAnsi="仿宋" w:eastAsia="仿宋" w:cs="仿宋"/>
          <w:color w:val="auto"/>
          <w:kern w:val="0"/>
          <w:sz w:val="24"/>
          <w:highlight w:val="none"/>
          <w:lang w:val="en-US" w:eastAsia="zh-CN"/>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lang w:val="en-US" w:eastAsia="zh-CN"/>
        </w:rPr>
        <w:t xml:space="preserve">    </w:t>
      </w:r>
      <w:r>
        <w:rPr>
          <w:rFonts w:hint="eastAsia" w:ascii="仿宋" w:hAnsi="仿宋" w:eastAsia="仿宋" w:cs="仿宋"/>
          <w:color w:val="auto"/>
          <w:kern w:val="0"/>
          <w:sz w:val="24"/>
          <w:highlight w:val="none"/>
        </w:rPr>
        <w:t>日</w:t>
      </w:r>
    </w:p>
    <w:p w14:paraId="27885025">
      <w:pP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br w:type="page"/>
      </w:r>
    </w:p>
    <w:p w14:paraId="059F3AD5">
      <w:pPr>
        <w:pStyle w:val="3"/>
        <w:keepNext w:val="0"/>
        <w:keepLines w:val="0"/>
        <w:pageBreakBefore w:val="0"/>
        <w:widowControl w:val="0"/>
        <w:numPr>
          <w:ilvl w:val="0"/>
          <w:numId w:val="0"/>
        </w:numPr>
        <w:kinsoku/>
        <w:wordWrap/>
        <w:overflowPunct/>
        <w:topLinePunct w:val="0"/>
        <w:autoSpaceDE/>
        <w:autoSpaceDN/>
        <w:bidi w:val="0"/>
        <w:adjustRightInd/>
        <w:snapToGrid/>
        <w:spacing w:before="168" w:beforeLines="50" w:after="0" w:line="360" w:lineRule="auto"/>
        <w:jc w:val="center"/>
        <w:textAlignment w:val="auto"/>
        <w:outlineLvl w:val="1"/>
        <w:rPr>
          <w:rFonts w:hint="eastAsia" w:ascii="仿宋" w:hAnsi="仿宋" w:eastAsia="仿宋" w:cs="仿宋"/>
          <w:b/>
          <w:bCs/>
          <w:color w:val="auto"/>
          <w:sz w:val="32"/>
          <w:szCs w:val="32"/>
          <w:highlight w:val="none"/>
        </w:rPr>
      </w:pPr>
      <w:bookmarkStart w:id="218" w:name="_Toc7507"/>
      <w:bookmarkStart w:id="219" w:name="_Toc26462"/>
      <w:bookmarkStart w:id="220" w:name="_Toc23130"/>
      <w:bookmarkStart w:id="221" w:name="_Toc26011"/>
      <w:bookmarkStart w:id="222" w:name="_Toc18269"/>
      <w:bookmarkStart w:id="223" w:name="_Toc13941"/>
      <w:r>
        <w:rPr>
          <w:rFonts w:hint="eastAsia" w:ascii="仿宋" w:hAnsi="仿宋" w:eastAsia="仿宋" w:cs="仿宋"/>
          <w:color w:val="auto"/>
          <w:sz w:val="32"/>
          <w:szCs w:val="32"/>
          <w:highlight w:val="none"/>
          <w:lang w:val="en-US" w:eastAsia="zh-CN" w:bidi="ar-SA"/>
        </w:rPr>
        <w:t>第六部分  资格证明文件</w:t>
      </w:r>
      <w:bookmarkEnd w:id="218"/>
      <w:bookmarkEnd w:id="219"/>
      <w:bookmarkEnd w:id="220"/>
      <w:bookmarkEnd w:id="221"/>
      <w:bookmarkEnd w:id="222"/>
      <w:bookmarkEnd w:id="223"/>
    </w:p>
    <w:p w14:paraId="54CCD03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（一）基本资格条件：符合《中华人民共和国政府采购法》第二十二条的规定，并提供以下资料；</w:t>
      </w:r>
    </w:p>
    <w:p w14:paraId="614C162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lang w:eastAsia="zh-CN"/>
        </w:rPr>
        <w:t>提供合格有效的法人或者其他组织的营业执照等证明文件，自然人的身份证明</w:t>
      </w:r>
      <w:r>
        <w:rPr>
          <w:rFonts w:hint="eastAsia" w:ascii="仿宋" w:hAnsi="仿宋" w:eastAsia="仿宋" w:cs="仿宋"/>
          <w:b w:val="0"/>
          <w:bCs w:val="0"/>
          <w:color w:val="auto"/>
          <w:sz w:val="24"/>
          <w:szCs w:val="24"/>
          <w:highlight w:val="none"/>
          <w:lang w:val="en-US" w:eastAsia="zh-CN"/>
        </w:rPr>
        <w:t>；</w:t>
      </w:r>
    </w:p>
    <w:p w14:paraId="584CDDB3">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供应商</w:t>
      </w:r>
      <w:r>
        <w:rPr>
          <w:rFonts w:hint="eastAsia" w:ascii="仿宋" w:hAnsi="仿宋" w:eastAsia="仿宋" w:cs="仿宋"/>
          <w:b w:val="0"/>
          <w:bCs w:val="0"/>
          <w:color w:val="auto"/>
          <w:sz w:val="24"/>
          <w:szCs w:val="24"/>
          <w:highlight w:val="none"/>
        </w:rPr>
        <w:t>是法人或其他组织的应提供营业执照等证明文件，</w:t>
      </w:r>
      <w:r>
        <w:rPr>
          <w:rFonts w:hint="eastAsia" w:ascii="仿宋" w:hAnsi="仿宋" w:eastAsia="仿宋" w:cs="仿宋"/>
          <w:b w:val="0"/>
          <w:bCs w:val="0"/>
          <w:color w:val="auto"/>
          <w:sz w:val="24"/>
          <w:szCs w:val="24"/>
          <w:highlight w:val="none"/>
          <w:lang w:eastAsia="zh-CN"/>
        </w:rPr>
        <w:t>供应商</w:t>
      </w:r>
      <w:r>
        <w:rPr>
          <w:rFonts w:hint="eastAsia" w:ascii="仿宋" w:hAnsi="仿宋" w:eastAsia="仿宋" w:cs="仿宋"/>
          <w:b w:val="0"/>
          <w:bCs w:val="0"/>
          <w:color w:val="auto"/>
          <w:sz w:val="24"/>
          <w:szCs w:val="24"/>
          <w:highlight w:val="none"/>
        </w:rPr>
        <w:t>是自然人的应提供有效的自然人身份证明</w:t>
      </w:r>
      <w:r>
        <w:rPr>
          <w:rFonts w:hint="eastAsia" w:ascii="仿宋" w:hAnsi="仿宋" w:eastAsia="仿宋" w:cs="仿宋"/>
          <w:b w:val="0"/>
          <w:bCs w:val="0"/>
          <w:color w:val="auto"/>
          <w:sz w:val="24"/>
          <w:szCs w:val="24"/>
          <w:highlight w:val="none"/>
          <w:lang w:val="en-US" w:eastAsia="zh-CN"/>
        </w:rPr>
        <w:t>；</w:t>
      </w:r>
    </w:p>
    <w:p w14:paraId="6E87CC1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提供2024或2025年度经审计的已赋码且完整的财务报告（依据财政部、国务院国资委、金融监管总局印发《关于加强审计报告查验工作的通知》(财会(2023〕15号)报告须在注册会计师行业统一监管平台备案并由该平台赋予二维码），包括“四表一注”即《资产负债表》《利润表》《现金流量表》《所有者权益变动表》及其附注、会计师事务所营业执照和2个注册会计师证书（成立时间至提交投标文件截止时间不足一年的可提供成立后任意时段的资产负债表）或财政部门认可的政府采购专业担保机构出具的担保函或在开标日期前三个月内其基本开户银行出具的资信证明（附开户许可证或开户备案证明或基本账户信息）,以上形式的证明资料提供任何一种即可；</w:t>
      </w:r>
    </w:p>
    <w:p w14:paraId="51A85DF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3、提供具有履行合同所必需的设备和专业技术能力的承诺；</w:t>
      </w:r>
    </w:p>
    <w:p w14:paraId="44CD88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4、提供递交投标文件截止之日前一年内任意一个月的依法缴纳税收的完税证明，完税证明应有税务机关或代收机关的公章或业务专用章。依法免税或无须缴纳税收的供应商，应提供相应证明文件；</w:t>
      </w:r>
    </w:p>
    <w:p w14:paraId="0482BDA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5、提供投标截止日前一年内已缴存的至少一个月的社会保障资金缴存单据或社保机构开具的社会保险参保缴费情况证明，依法不需要缴纳社会保障资金的单位应提供相关证明材料；</w:t>
      </w:r>
    </w:p>
    <w:p w14:paraId="682F9C4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6、参加政府采购活动前3年内，在经营活动中没有重大违法记录的书面声明；</w:t>
      </w:r>
    </w:p>
    <w:p w14:paraId="549AA10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（二）落实政府采购政策需满足的资格要求：本项目非专门面向中小企业</w:t>
      </w:r>
      <w:r>
        <w:rPr>
          <w:rFonts w:hint="eastAsia" w:ascii="仿宋" w:hAnsi="仿宋" w:eastAsia="仿宋" w:cs="仿宋"/>
          <w:b w:val="0"/>
          <w:bCs w:val="0"/>
          <w:color w:val="auto"/>
          <w:sz w:val="24"/>
          <w:szCs w:val="24"/>
          <w:highlight w:val="none"/>
          <w:lang w:val="en-US" w:eastAsia="zh-CN"/>
        </w:rPr>
        <w:t>。</w:t>
      </w:r>
    </w:p>
    <w:p w14:paraId="7A13103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（三）特定资格条件：</w:t>
      </w:r>
    </w:p>
    <w:p w14:paraId="09B3512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color w:val="auto"/>
          <w:highlight w:val="none"/>
          <w:lang w:val="en-US" w:eastAsia="zh-CN"/>
        </w:rPr>
        <w:t>1、</w:t>
      </w:r>
      <w:r>
        <w:rPr>
          <w:rFonts w:hint="eastAsia" w:ascii="仿宋" w:hAnsi="仿宋" w:eastAsia="仿宋" w:cs="仿宋"/>
          <w:i w:val="0"/>
          <w:caps w:val="0"/>
          <w:color w:val="auto"/>
          <w:spacing w:val="0"/>
          <w:sz w:val="24"/>
          <w:szCs w:val="24"/>
          <w:highlight w:val="none"/>
          <w:shd w:val="clear" w:color="auto" w:fill="FFFFFF"/>
          <w:lang w:eastAsia="zh-CN"/>
        </w:rPr>
        <w:t>①投标人为经营企业的须提供合法有效的《药品经营许可证》（经营范围须包括中药饮片）并提供所投产品的《药品生产许可证》（其生产范围应包含中药饮片），如为毒性饮片，其药品生产许可证的生产范围和经销商药品经营许可证的经营范围须包括中药饮片（含毒性饮片），如为实施批准文号管理的中药饮片须提供该品种的注册批件；</w:t>
      </w:r>
    </w:p>
    <w:p w14:paraId="3EE7F97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②投标人为生产企业的须具有合法有效的《药品生产许可证》（其生产范围应包含中药饮片）如为毒性饮片，其药品生产许可证中的生产范围须包括中药饮片（含毒性饮片），如为实施批准文号管理的中药饮片须提供该品种的注册批件。</w:t>
      </w:r>
    </w:p>
    <w:p w14:paraId="165E5F45">
      <w:pPr>
        <w:pStyle w:val="15"/>
        <w:keepNext w:val="0"/>
        <w:keepLines w:val="0"/>
        <w:pageBreakBefore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color w:val="auto"/>
          <w:highlight w:val="none"/>
        </w:rPr>
      </w:pPr>
      <w:r>
        <w:rPr>
          <w:rFonts w:hint="eastAsia" w:ascii="仿宋" w:hAnsi="仿宋" w:eastAsia="仿宋" w:cs="仿宋"/>
          <w:i w:val="0"/>
          <w:caps w:val="0"/>
          <w:color w:val="auto"/>
          <w:spacing w:val="0"/>
          <w:sz w:val="24"/>
          <w:szCs w:val="24"/>
          <w:highlight w:val="none"/>
          <w:shd w:val="clear" w:color="auto" w:fill="FFFFFF"/>
          <w:lang w:eastAsia="zh-CN"/>
        </w:rPr>
        <w:t>若投标产品（或其任何组成部分）属于《国家重点保护野生动物名录》或相关法律法规规定的野生动物物种制成的饮片，投标人必须提供该物种对应的、有效的林业主管部门核发的相关行政许可文件。如为实施批准文号管理的中药饮片须提供该品种的注册批件。</w:t>
      </w:r>
    </w:p>
    <w:p w14:paraId="0ACAC235">
      <w:pPr>
        <w:pStyle w:val="15"/>
        <w:keepNext w:val="0"/>
        <w:keepLines w:val="0"/>
        <w:pageBreakBefore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color w:val="auto"/>
          <w:highlight w:val="none"/>
        </w:rPr>
        <w:t>；</w:t>
      </w:r>
    </w:p>
    <w:p w14:paraId="5C12E4DC">
      <w:pPr>
        <w:pStyle w:val="15"/>
        <w:keepNext w:val="0"/>
        <w:keepLines w:val="0"/>
        <w:pageBreakBefore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供应商未被“信用中国”网站（www.creditchina.gov.cn）列入失信被执行人和重大税收违法失信主体，未被中国政府采购网（www.ccgp.gov.cn）列入政府采购严重违法失信行为记录名单</w:t>
      </w:r>
      <w:r>
        <w:rPr>
          <w:rFonts w:hint="eastAsia" w:ascii="仿宋" w:hAnsi="仿宋" w:eastAsia="仿宋" w:cs="仿宋"/>
          <w:color w:val="auto"/>
          <w:highlight w:val="none"/>
          <w:lang w:eastAsia="zh-CN"/>
        </w:rPr>
        <w:t>。</w:t>
      </w:r>
    </w:p>
    <w:p w14:paraId="45FCB306">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33B7E40B">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outlineLvl w:val="9"/>
        <w:rPr>
          <w:rFonts w:hint="eastAsia" w:ascii="仿宋" w:hAnsi="仿宋" w:eastAsia="仿宋" w:cs="仿宋"/>
          <w:b/>
          <w:color w:val="auto"/>
          <w:sz w:val="24"/>
          <w:szCs w:val="24"/>
          <w:highlight w:val="none"/>
          <w:lang w:eastAsia="zh-CN"/>
        </w:rPr>
      </w:pPr>
      <w:bookmarkStart w:id="224" w:name="_Toc12336_WPSOffice_Level1"/>
      <w:bookmarkStart w:id="225" w:name="_Toc25920_WPSOffice_Level1"/>
      <w:bookmarkStart w:id="226" w:name="_Toc27742_WPSOffice_Level1"/>
      <w:r>
        <w:rPr>
          <w:rFonts w:hint="eastAsia" w:ascii="仿宋" w:hAnsi="仿宋" w:eastAsia="仿宋" w:cs="仿宋"/>
          <w:b/>
          <w:color w:val="auto"/>
          <w:kern w:val="2"/>
          <w:sz w:val="24"/>
          <w:szCs w:val="24"/>
          <w:highlight w:val="none"/>
          <w:lang w:val="en-US" w:eastAsia="zh-CN" w:bidi="ar-SA"/>
        </w:rPr>
        <w:t>附件一：</w:t>
      </w:r>
    </w:p>
    <w:p w14:paraId="16CACA24">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outlineLvl w:val="9"/>
        <w:rPr>
          <w:rFonts w:hint="eastAsia" w:ascii="仿宋" w:hAnsi="仿宋" w:eastAsia="仿宋" w:cs="仿宋"/>
          <w:b/>
          <w:bCs/>
          <w:color w:val="auto"/>
          <w:kern w:val="2"/>
          <w:sz w:val="30"/>
          <w:szCs w:val="30"/>
          <w:highlight w:val="none"/>
          <w:lang w:val="en-US" w:eastAsia="zh-CN" w:bidi="ar-SA"/>
        </w:rPr>
      </w:pPr>
      <w:r>
        <w:rPr>
          <w:rFonts w:hint="eastAsia" w:ascii="仿宋" w:hAnsi="仿宋" w:eastAsia="仿宋" w:cs="仿宋"/>
          <w:b/>
          <w:bCs/>
          <w:color w:val="auto"/>
          <w:kern w:val="2"/>
          <w:sz w:val="30"/>
          <w:szCs w:val="30"/>
          <w:highlight w:val="none"/>
          <w:lang w:val="en-US" w:eastAsia="zh-CN" w:bidi="ar-SA"/>
        </w:rPr>
        <w:t>法定代表人身份证明/法定代表人授权书</w:t>
      </w:r>
    </w:p>
    <w:p w14:paraId="1CFEFD44">
      <w:pPr>
        <w:pStyle w:val="15"/>
        <w:keepNext w:val="0"/>
        <w:keepLines w:val="0"/>
        <w:pageBreakBefore w:val="0"/>
        <w:widowControl w:val="0"/>
        <w:kinsoku/>
        <w:wordWrap/>
        <w:overflowPunct/>
        <w:topLinePunct w:val="0"/>
        <w:autoSpaceDE/>
        <w:autoSpaceDN/>
        <w:bidi w:val="0"/>
        <w:adjustRightInd/>
        <w:snapToGrid/>
        <w:spacing w:before="165" w:beforeLines="50"/>
        <w:jc w:val="center"/>
        <w:textAlignment w:val="auto"/>
        <w:outlineLvl w:val="9"/>
        <w:rPr>
          <w:rFonts w:hint="eastAsia" w:ascii="仿宋" w:hAnsi="仿宋" w:eastAsia="仿宋" w:cs="仿宋"/>
          <w:b/>
          <w:bCs/>
          <w:color w:val="auto"/>
          <w:kern w:val="2"/>
          <w:sz w:val="30"/>
          <w:szCs w:val="30"/>
          <w:highlight w:val="none"/>
          <w:lang w:val="en-US" w:eastAsia="zh-CN" w:bidi="ar-SA"/>
        </w:rPr>
      </w:pPr>
      <w:r>
        <w:rPr>
          <w:rFonts w:hint="eastAsia" w:ascii="仿宋" w:hAnsi="仿宋" w:eastAsia="仿宋" w:cs="仿宋"/>
          <w:b/>
          <w:bCs/>
          <w:color w:val="auto"/>
          <w:kern w:val="2"/>
          <w:sz w:val="30"/>
          <w:szCs w:val="30"/>
          <w:highlight w:val="none"/>
          <w:lang w:val="en-US" w:eastAsia="zh-CN" w:bidi="ar-SA"/>
        </w:rPr>
        <w:t>法定代表人身份证明</w:t>
      </w:r>
    </w:p>
    <w:p w14:paraId="64E0C135">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kern w:val="0"/>
          <w:sz w:val="24"/>
          <w:highlight w:val="none"/>
        </w:rPr>
        <w:t>名称：</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w:t>
      </w:r>
    </w:p>
    <w:p w14:paraId="406197A0">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统一社会信用代码：</w:t>
      </w:r>
      <w:r>
        <w:rPr>
          <w:rFonts w:hint="eastAsia" w:ascii="仿宋" w:hAnsi="仿宋" w:eastAsia="仿宋" w:cs="仿宋"/>
          <w:color w:val="auto"/>
          <w:kern w:val="0"/>
          <w:sz w:val="24"/>
          <w:highlight w:val="none"/>
          <w:u w:val="single"/>
        </w:rPr>
        <w:t xml:space="preserve">                </w:t>
      </w:r>
    </w:p>
    <w:p w14:paraId="4BF23E77">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注册地址：</w:t>
      </w:r>
      <w:r>
        <w:rPr>
          <w:rFonts w:hint="eastAsia" w:ascii="仿宋" w:hAnsi="仿宋" w:eastAsia="仿宋" w:cs="仿宋"/>
          <w:color w:val="auto"/>
          <w:kern w:val="0"/>
          <w:sz w:val="24"/>
          <w:highlight w:val="none"/>
          <w:u w:val="single"/>
        </w:rPr>
        <w:t xml:space="preserve">                        </w:t>
      </w:r>
    </w:p>
    <w:p w14:paraId="28339E3E">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成立时间：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年 </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w:t>
      </w:r>
    </w:p>
    <w:p w14:paraId="2643B47E">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经营期限：</w:t>
      </w:r>
      <w:r>
        <w:rPr>
          <w:rFonts w:hint="eastAsia" w:ascii="仿宋" w:hAnsi="仿宋" w:eastAsia="仿宋" w:cs="仿宋"/>
          <w:color w:val="auto"/>
          <w:kern w:val="0"/>
          <w:sz w:val="24"/>
          <w:highlight w:val="none"/>
          <w:u w:val="single"/>
        </w:rPr>
        <w:t xml:space="preserve">                  </w:t>
      </w:r>
    </w:p>
    <w:p w14:paraId="2C88D05C">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姓名：</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性别：</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u w:val="single"/>
          <w:lang w:val="en-US" w:eastAsia="zh-CN"/>
        </w:rPr>
        <w:t xml:space="preserve">   </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年龄：</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u w:val="single"/>
          <w:lang w:val="en-US" w:eastAsia="zh-CN"/>
        </w:rPr>
        <w:t xml:space="preserve">   </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系</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名称）的法定代表人。</w:t>
      </w:r>
    </w:p>
    <w:p w14:paraId="02B61B4D">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特此证明。</w:t>
      </w:r>
    </w:p>
    <w:p w14:paraId="59722708">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szCs w:val="21"/>
          <w:highlight w:val="none"/>
        </w:rPr>
        <w:t>附：法定代表人身份证复印件</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正反面</w:t>
      </w:r>
      <w:r>
        <w:rPr>
          <w:rFonts w:hint="eastAsia" w:ascii="仿宋" w:hAnsi="仿宋" w:eastAsia="仿宋" w:cs="仿宋"/>
          <w:color w:val="auto"/>
          <w:szCs w:val="21"/>
          <w:highlight w:val="none"/>
          <w:lang w:eastAsia="zh-CN"/>
        </w:rPr>
        <w:t>）</w:t>
      </w:r>
    </w:p>
    <w:p w14:paraId="02FDD163">
      <w:pPr>
        <w:snapToGrid w:val="0"/>
        <w:spacing w:line="480" w:lineRule="auto"/>
        <w:rPr>
          <w:rFonts w:hint="eastAsia" w:ascii="仿宋" w:hAnsi="仿宋" w:eastAsia="仿宋" w:cs="仿宋"/>
          <w:color w:val="auto"/>
          <w:szCs w:val="21"/>
          <w:highlight w:val="none"/>
        </w:rPr>
      </w:pPr>
    </w:p>
    <w:p w14:paraId="0A3A602F">
      <w:pPr>
        <w:snapToGrid w:val="0"/>
        <w:rPr>
          <w:rFonts w:hint="eastAsia" w:ascii="仿宋" w:hAnsi="仿宋" w:eastAsia="仿宋" w:cs="仿宋"/>
          <w:color w:val="auto"/>
          <w:szCs w:val="21"/>
          <w:highlight w:val="none"/>
        </w:rPr>
      </w:pPr>
    </w:p>
    <w:p w14:paraId="46C8A307">
      <w:pPr>
        <w:snapToGrid w:val="0"/>
        <w:rPr>
          <w:rFonts w:hint="eastAsia" w:ascii="仿宋" w:hAnsi="仿宋" w:eastAsia="仿宋" w:cs="仿宋"/>
          <w:color w:val="auto"/>
          <w:szCs w:val="21"/>
          <w:highlight w:val="none"/>
        </w:rPr>
      </w:pPr>
    </w:p>
    <w:p w14:paraId="5DE518E6">
      <w:pPr>
        <w:snapToGrid w:val="0"/>
        <w:rPr>
          <w:rFonts w:hint="eastAsia" w:ascii="仿宋" w:hAnsi="仿宋" w:eastAsia="仿宋" w:cs="仿宋"/>
          <w:color w:val="auto"/>
          <w:szCs w:val="21"/>
          <w:highlight w:val="none"/>
        </w:rPr>
      </w:pPr>
    </w:p>
    <w:p w14:paraId="5469472C">
      <w:pPr>
        <w:snapToGrid w:val="0"/>
        <w:rPr>
          <w:rFonts w:hint="eastAsia" w:ascii="仿宋" w:hAnsi="仿宋" w:eastAsia="仿宋" w:cs="仿宋"/>
          <w:color w:val="auto"/>
          <w:szCs w:val="21"/>
          <w:highlight w:val="none"/>
        </w:rPr>
      </w:pPr>
    </w:p>
    <w:p w14:paraId="2AEFEFC1">
      <w:pPr>
        <w:adjustRightInd w:val="0"/>
        <w:snapToGrid w:val="0"/>
        <w:spacing w:line="360" w:lineRule="auto"/>
        <w:rPr>
          <w:rFonts w:hint="eastAsia" w:ascii="仿宋" w:hAnsi="仿宋" w:eastAsia="仿宋" w:cs="仿宋"/>
          <w:color w:val="auto"/>
          <w:sz w:val="24"/>
          <w:highlight w:val="none"/>
        </w:rPr>
      </w:pPr>
    </w:p>
    <w:p w14:paraId="404C599A">
      <w:pPr>
        <w:adjustRightInd w:val="0"/>
        <w:snapToGrid w:val="0"/>
        <w:spacing w:line="360" w:lineRule="auto"/>
        <w:ind w:right="420"/>
        <w:rPr>
          <w:rFonts w:hint="eastAsia" w:ascii="仿宋" w:hAnsi="仿宋" w:eastAsia="仿宋" w:cs="仿宋"/>
          <w:color w:val="auto"/>
          <w:sz w:val="24"/>
          <w:highlight w:val="none"/>
        </w:rPr>
      </w:pPr>
    </w:p>
    <w:p w14:paraId="16E5914D">
      <w:pPr>
        <w:adjustRightInd w:val="0"/>
        <w:snapToGrid w:val="0"/>
        <w:spacing w:line="360" w:lineRule="auto"/>
        <w:ind w:right="420"/>
        <w:rPr>
          <w:rFonts w:hint="eastAsia" w:ascii="仿宋" w:hAnsi="仿宋" w:eastAsia="仿宋" w:cs="仿宋"/>
          <w:color w:val="auto"/>
          <w:sz w:val="24"/>
          <w:highlight w:val="none"/>
        </w:rPr>
      </w:pPr>
    </w:p>
    <w:p w14:paraId="3176C1D6">
      <w:pPr>
        <w:adjustRightInd w:val="0"/>
        <w:snapToGrid w:val="0"/>
        <w:spacing w:line="360" w:lineRule="auto"/>
        <w:ind w:right="420"/>
        <w:rPr>
          <w:rFonts w:hint="eastAsia" w:ascii="仿宋" w:hAnsi="仿宋" w:eastAsia="仿宋" w:cs="仿宋"/>
          <w:color w:val="auto"/>
          <w:sz w:val="24"/>
          <w:highlight w:val="none"/>
        </w:rPr>
      </w:pPr>
    </w:p>
    <w:p w14:paraId="671AD51D">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盖单位公章</w:t>
      </w:r>
      <w:r>
        <w:rPr>
          <w:rFonts w:hint="eastAsia" w:ascii="仿宋" w:hAnsi="仿宋" w:eastAsia="仿宋" w:cs="仿宋"/>
          <w:color w:val="auto"/>
          <w:sz w:val="24"/>
          <w:highlight w:val="none"/>
        </w:rPr>
        <w:t>）</w:t>
      </w:r>
    </w:p>
    <w:p w14:paraId="59335362">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日</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6876228B">
      <w:pPr>
        <w:pStyle w:val="15"/>
        <w:numPr>
          <w:ilvl w:val="0"/>
          <w:numId w:val="0"/>
        </w:numPr>
        <w:ind w:leftChars="200"/>
        <w:rPr>
          <w:rFonts w:hint="eastAsia" w:ascii="仿宋" w:hAnsi="仿宋" w:eastAsia="仿宋" w:cs="仿宋"/>
          <w:color w:val="auto"/>
          <w:highlight w:val="none"/>
        </w:rPr>
      </w:pPr>
    </w:p>
    <w:p w14:paraId="7D0F7F92">
      <w:pPr>
        <w:pStyle w:val="15"/>
        <w:numPr>
          <w:ilvl w:val="0"/>
          <w:numId w:val="0"/>
        </w:numPr>
        <w:jc w:val="left"/>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说明：</w:t>
      </w:r>
      <w:r>
        <w:rPr>
          <w:rFonts w:hint="eastAsia" w:ascii="仿宋" w:hAnsi="仿宋" w:eastAsia="仿宋" w:cs="仿宋"/>
          <w:b/>
          <w:bCs/>
          <w:color w:val="auto"/>
          <w:sz w:val="24"/>
          <w:szCs w:val="24"/>
          <w:highlight w:val="none"/>
          <w:lang w:val="zh-CN" w:eastAsia="zh-CN"/>
        </w:rPr>
        <w:t>仅限法定代表人参加时提供。</w:t>
      </w:r>
    </w:p>
    <w:p w14:paraId="077D317A">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法定代表人授权书</w:t>
      </w:r>
    </w:p>
    <w:p w14:paraId="2F70D6B9">
      <w:pPr>
        <w:spacing w:line="560" w:lineRule="exact"/>
        <w:jc w:val="left"/>
        <w:rPr>
          <w:rFonts w:hint="eastAsia" w:ascii="仿宋" w:hAnsi="仿宋" w:eastAsia="仿宋" w:cs="仿宋"/>
          <w:color w:val="auto"/>
          <w:spacing w:val="4"/>
          <w:szCs w:val="24"/>
          <w:highlight w:val="none"/>
          <w:lang w:eastAsia="zh-CN"/>
        </w:rPr>
      </w:pPr>
      <w:r>
        <w:rPr>
          <w:rFonts w:hint="eastAsia" w:ascii="仿宋" w:hAnsi="仿宋" w:eastAsia="仿宋" w:cs="仿宋"/>
          <w:b/>
          <w:color w:val="auto"/>
          <w:spacing w:val="4"/>
          <w:szCs w:val="24"/>
          <w:highlight w:val="none"/>
        </w:rPr>
        <w:t>致：</w:t>
      </w:r>
      <w:r>
        <w:rPr>
          <w:rFonts w:hint="eastAsia" w:ascii="仿宋" w:hAnsi="仿宋" w:eastAsia="仿宋" w:cs="仿宋"/>
          <w:b/>
          <w:color w:val="auto"/>
          <w:spacing w:val="4"/>
          <w:szCs w:val="24"/>
          <w:highlight w:val="none"/>
          <w:u w:val="single"/>
          <w:lang w:eastAsia="zh-CN"/>
        </w:rPr>
        <w:t>采购人名称</w:t>
      </w:r>
      <w:r>
        <w:rPr>
          <w:rFonts w:hint="eastAsia" w:ascii="仿宋" w:hAnsi="仿宋" w:eastAsia="仿宋" w:cs="仿宋"/>
          <w:b/>
          <w:color w:val="auto"/>
          <w:spacing w:val="4"/>
          <w:szCs w:val="24"/>
          <w:highlight w:val="none"/>
          <w:u w:val="single"/>
          <w:lang w:val="en-US" w:eastAsia="zh-CN"/>
        </w:rPr>
        <w:t>/</w:t>
      </w:r>
      <w:r>
        <w:rPr>
          <w:rFonts w:hint="eastAsia" w:ascii="仿宋" w:hAnsi="仿宋" w:eastAsia="仿宋" w:cs="仿宋"/>
          <w:b/>
          <w:color w:val="auto"/>
          <w:spacing w:val="4"/>
          <w:szCs w:val="24"/>
          <w:highlight w:val="none"/>
          <w:u w:val="single"/>
          <w:lang w:eastAsia="zh-CN"/>
        </w:rPr>
        <w:t>华夏国际项目管理（西安）有限公司</w:t>
      </w:r>
    </w:p>
    <w:p w14:paraId="7E108C06">
      <w:pPr>
        <w:spacing w:line="560" w:lineRule="exact"/>
        <w:ind w:firstLine="496" w:firstLineChars="200"/>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u w:val="single"/>
        </w:rPr>
        <w:t>(</w:t>
      </w:r>
      <w:r>
        <w:rPr>
          <w:rFonts w:hint="eastAsia" w:ascii="仿宋" w:hAnsi="仿宋" w:eastAsia="仿宋" w:cs="仿宋"/>
          <w:color w:val="auto"/>
          <w:spacing w:val="4"/>
          <w:szCs w:val="24"/>
          <w:highlight w:val="none"/>
          <w:u w:val="single"/>
          <w:lang w:eastAsia="zh-CN"/>
        </w:rPr>
        <w:t>供应商</w:t>
      </w:r>
      <w:r>
        <w:rPr>
          <w:rFonts w:hint="eastAsia" w:ascii="仿宋" w:hAnsi="仿宋" w:eastAsia="仿宋" w:cs="仿宋"/>
          <w:color w:val="auto"/>
          <w:spacing w:val="4"/>
          <w:szCs w:val="24"/>
          <w:highlight w:val="none"/>
          <w:u w:val="single"/>
        </w:rPr>
        <w:t>名称)</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rPr>
        <w:t>按中华人民共和国法律于</w:t>
      </w:r>
      <w:r>
        <w:rPr>
          <w:rFonts w:hint="eastAsia" w:ascii="仿宋" w:hAnsi="仿宋" w:eastAsia="仿宋" w:cs="仿宋"/>
          <w:color w:val="auto"/>
          <w:spacing w:val="4"/>
          <w:szCs w:val="24"/>
          <w:highlight w:val="none"/>
          <w:u w:val="none"/>
        </w:rPr>
        <w:t>（</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none"/>
        </w:rPr>
        <w:t>年</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none"/>
        </w:rPr>
        <w:t>月</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none"/>
        </w:rPr>
        <w:t>日 ）</w:t>
      </w:r>
      <w:r>
        <w:rPr>
          <w:rFonts w:hint="eastAsia" w:ascii="仿宋" w:hAnsi="仿宋" w:eastAsia="仿宋" w:cs="仿宋"/>
          <w:color w:val="auto"/>
          <w:spacing w:val="4"/>
          <w:szCs w:val="24"/>
          <w:highlight w:val="none"/>
          <w:u w:val="none"/>
          <w:lang w:val="en-US" w:eastAsia="zh-CN"/>
        </w:rPr>
        <w:t xml:space="preserve">  </w:t>
      </w:r>
      <w:r>
        <w:rPr>
          <w:rFonts w:hint="eastAsia" w:ascii="仿宋" w:hAnsi="仿宋" w:eastAsia="仿宋" w:cs="仿宋"/>
          <w:color w:val="auto"/>
          <w:spacing w:val="4"/>
          <w:szCs w:val="24"/>
          <w:highlight w:val="none"/>
        </w:rPr>
        <w:t>成立。</w:t>
      </w:r>
      <w:r>
        <w:rPr>
          <w:rFonts w:hint="eastAsia" w:ascii="仿宋" w:hAnsi="仿宋" w:eastAsia="仿宋" w:cs="仿宋"/>
          <w:color w:val="auto"/>
          <w:szCs w:val="24"/>
          <w:highlight w:val="none"/>
          <w:u w:val="none"/>
        </w:rPr>
        <w:t>法定代表人</w:t>
      </w:r>
      <w:r>
        <w:rPr>
          <w:rFonts w:hint="eastAsia" w:ascii="仿宋" w:hAnsi="仿宋" w:eastAsia="仿宋" w:cs="仿宋"/>
          <w:color w:val="auto"/>
          <w:szCs w:val="24"/>
          <w:highlight w:val="none"/>
          <w:u w:val="single"/>
          <w:lang w:val="en-US" w:eastAsia="zh-CN"/>
        </w:rPr>
        <w:t xml:space="preserve">  </w:t>
      </w:r>
      <w:r>
        <w:rPr>
          <w:rFonts w:hint="eastAsia" w:ascii="仿宋" w:hAnsi="仿宋" w:eastAsia="仿宋" w:cs="仿宋"/>
          <w:color w:val="auto"/>
          <w:spacing w:val="4"/>
          <w:szCs w:val="24"/>
          <w:highlight w:val="none"/>
          <w:u w:val="single"/>
        </w:rPr>
        <w:t>姓名</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rPr>
        <w:t>特授权</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zCs w:val="24"/>
          <w:highlight w:val="none"/>
          <w:u w:val="single"/>
          <w:lang w:eastAsia="zh-CN"/>
        </w:rPr>
        <w:t>被授权人</w:t>
      </w:r>
      <w:r>
        <w:rPr>
          <w:rFonts w:hint="eastAsia" w:ascii="仿宋" w:hAnsi="仿宋" w:eastAsia="仿宋" w:cs="仿宋"/>
          <w:color w:val="auto"/>
          <w:spacing w:val="4"/>
          <w:szCs w:val="24"/>
          <w:highlight w:val="none"/>
          <w:u w:val="single"/>
        </w:rPr>
        <w:t>姓名</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rPr>
        <w:t>代表我公司全权办理针对本次</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u w:val="single"/>
          <w:lang w:eastAsia="zh-CN"/>
        </w:rPr>
        <w:t>项目名称、</w:t>
      </w:r>
      <w:r>
        <w:rPr>
          <w:rFonts w:hint="eastAsia" w:ascii="仿宋" w:hAnsi="仿宋" w:eastAsia="仿宋" w:cs="仿宋"/>
          <w:color w:val="auto"/>
          <w:spacing w:val="4"/>
          <w:szCs w:val="24"/>
          <w:highlight w:val="none"/>
          <w:u w:val="single"/>
        </w:rPr>
        <w:t>项目编号</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rPr>
        <w:t>投标、谈判、签约等具体工作，并签署全部有关的文件、协议及合同。</w:t>
      </w:r>
    </w:p>
    <w:p w14:paraId="3D3D6E5F">
      <w:pPr>
        <w:spacing w:line="560" w:lineRule="exact"/>
        <w:ind w:firstLine="496" w:firstLineChars="200"/>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rPr>
        <w:t>我公司对</w:t>
      </w:r>
      <w:r>
        <w:rPr>
          <w:rFonts w:hint="eastAsia" w:ascii="仿宋" w:hAnsi="仿宋" w:eastAsia="仿宋" w:cs="仿宋"/>
          <w:color w:val="auto"/>
          <w:szCs w:val="24"/>
          <w:highlight w:val="none"/>
          <w:lang w:eastAsia="zh-CN"/>
        </w:rPr>
        <w:t>被授权人</w:t>
      </w:r>
      <w:r>
        <w:rPr>
          <w:rFonts w:hint="eastAsia" w:ascii="仿宋" w:hAnsi="仿宋" w:eastAsia="仿宋" w:cs="仿宋"/>
          <w:color w:val="auto"/>
          <w:spacing w:val="4"/>
          <w:szCs w:val="24"/>
          <w:highlight w:val="none"/>
        </w:rPr>
        <w:t>的签名负全部责任。</w:t>
      </w:r>
    </w:p>
    <w:p w14:paraId="2400718D">
      <w:pPr>
        <w:spacing w:line="560" w:lineRule="exact"/>
        <w:ind w:right="232" w:rightChars="97" w:firstLine="480" w:firstLineChars="200"/>
        <w:jc w:val="left"/>
        <w:rPr>
          <w:rFonts w:hint="eastAsia" w:ascii="仿宋" w:hAnsi="仿宋" w:eastAsia="仿宋" w:cs="仿宋"/>
          <w:b w:val="0"/>
          <w:bCs w:val="0"/>
          <w:color w:val="auto"/>
          <w:highlight w:val="none"/>
          <w:u w:val="none"/>
          <w:lang w:val="en-US" w:eastAsia="zh-CN"/>
        </w:rPr>
      </w:pPr>
      <w:r>
        <w:rPr>
          <w:rFonts w:hint="eastAsia" w:ascii="仿宋" w:hAnsi="仿宋" w:eastAsia="仿宋" w:cs="仿宋"/>
          <w:b w:val="0"/>
          <w:bCs w:val="0"/>
          <w:color w:val="auto"/>
          <w:szCs w:val="24"/>
          <w:highlight w:val="none"/>
          <w:lang w:eastAsia="zh-CN"/>
        </w:rPr>
        <w:t>本授权有效期与投标有效期一致</w:t>
      </w:r>
      <w:r>
        <w:rPr>
          <w:rFonts w:hint="eastAsia" w:ascii="仿宋" w:hAnsi="仿宋" w:eastAsia="仿宋" w:cs="仿宋"/>
          <w:b w:val="0"/>
          <w:bCs w:val="0"/>
          <w:color w:val="auto"/>
          <w:highlight w:val="none"/>
          <w:u w:val="none"/>
          <w:lang w:val="en-US" w:eastAsia="zh-CN"/>
        </w:rPr>
        <w:t>。</w:t>
      </w:r>
    </w:p>
    <w:tbl>
      <w:tblPr>
        <w:tblStyle w:val="32"/>
        <w:tblW w:w="0" w:type="auto"/>
        <w:tblInd w:w="633" w:type="dxa"/>
        <w:tblLayout w:type="fixed"/>
        <w:tblCellMar>
          <w:top w:w="0" w:type="dxa"/>
          <w:left w:w="108" w:type="dxa"/>
          <w:bottom w:w="0" w:type="dxa"/>
          <w:right w:w="108" w:type="dxa"/>
        </w:tblCellMar>
      </w:tblPr>
      <w:tblGrid>
        <w:gridCol w:w="4200"/>
        <w:gridCol w:w="3990"/>
      </w:tblGrid>
      <w:tr w14:paraId="45BE7F25">
        <w:tblPrEx>
          <w:tblCellMar>
            <w:top w:w="0" w:type="dxa"/>
            <w:left w:w="108" w:type="dxa"/>
            <w:bottom w:w="0" w:type="dxa"/>
            <w:right w:w="108" w:type="dxa"/>
          </w:tblCellMar>
        </w:tblPrEx>
        <w:trPr>
          <w:trHeight w:val="600" w:hRule="atLeast"/>
        </w:trPr>
        <w:tc>
          <w:tcPr>
            <w:tcW w:w="4200" w:type="dxa"/>
            <w:noWrap w:val="0"/>
            <w:vAlign w:val="top"/>
          </w:tcPr>
          <w:p w14:paraId="6CF3A87D">
            <w:pPr>
              <w:spacing w:line="520" w:lineRule="exact"/>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rPr>
              <w:t>被授权人</w:t>
            </w:r>
            <w:r>
              <w:rPr>
                <w:rFonts w:hint="eastAsia" w:ascii="仿宋" w:hAnsi="仿宋" w:eastAsia="仿宋" w:cs="仿宋"/>
                <w:color w:val="auto"/>
                <w:spacing w:val="4"/>
                <w:szCs w:val="24"/>
                <w:highlight w:val="none"/>
                <w:lang w:eastAsia="zh-CN"/>
              </w:rPr>
              <w:t>签字或盖章</w:t>
            </w:r>
            <w:r>
              <w:rPr>
                <w:rFonts w:hint="eastAsia" w:ascii="仿宋" w:hAnsi="仿宋" w:eastAsia="仿宋" w:cs="仿宋"/>
                <w:color w:val="auto"/>
                <w:spacing w:val="4"/>
                <w:szCs w:val="24"/>
                <w:highlight w:val="none"/>
              </w:rPr>
              <w:t>：</w:t>
            </w:r>
          </w:p>
        </w:tc>
        <w:tc>
          <w:tcPr>
            <w:tcW w:w="3990" w:type="dxa"/>
            <w:noWrap w:val="0"/>
            <w:vAlign w:val="top"/>
          </w:tcPr>
          <w:p w14:paraId="3A406787">
            <w:pPr>
              <w:spacing w:line="520" w:lineRule="exact"/>
              <w:jc w:val="left"/>
              <w:rPr>
                <w:rFonts w:hint="eastAsia" w:ascii="仿宋" w:hAnsi="仿宋" w:eastAsia="仿宋" w:cs="仿宋"/>
                <w:color w:val="auto"/>
                <w:spacing w:val="4"/>
                <w:szCs w:val="24"/>
                <w:highlight w:val="none"/>
              </w:rPr>
            </w:pPr>
            <w:r>
              <w:rPr>
                <w:rFonts w:hint="eastAsia" w:ascii="仿宋" w:hAnsi="仿宋" w:eastAsia="仿宋" w:cs="仿宋"/>
                <w:color w:val="auto"/>
                <w:szCs w:val="24"/>
                <w:highlight w:val="none"/>
              </w:rPr>
              <w:t>法定代表</w:t>
            </w:r>
            <w:r>
              <w:rPr>
                <w:rFonts w:hint="eastAsia" w:ascii="仿宋" w:hAnsi="仿宋" w:eastAsia="仿宋" w:cs="仿宋"/>
                <w:color w:val="auto"/>
                <w:szCs w:val="24"/>
                <w:highlight w:val="none"/>
                <w:lang w:eastAsia="zh-CN"/>
              </w:rPr>
              <w:t>人</w:t>
            </w:r>
            <w:r>
              <w:rPr>
                <w:rFonts w:hint="eastAsia" w:ascii="仿宋" w:hAnsi="仿宋" w:eastAsia="仿宋" w:cs="仿宋"/>
                <w:color w:val="auto"/>
                <w:spacing w:val="4"/>
                <w:szCs w:val="24"/>
                <w:highlight w:val="none"/>
                <w:lang w:eastAsia="zh-CN"/>
              </w:rPr>
              <w:t>签字或盖章</w:t>
            </w:r>
            <w:r>
              <w:rPr>
                <w:rFonts w:hint="eastAsia" w:ascii="仿宋" w:hAnsi="仿宋" w:eastAsia="仿宋" w:cs="仿宋"/>
                <w:color w:val="auto"/>
                <w:spacing w:val="4"/>
                <w:szCs w:val="24"/>
                <w:highlight w:val="none"/>
              </w:rPr>
              <w:t>：</w:t>
            </w:r>
          </w:p>
        </w:tc>
      </w:tr>
      <w:tr w14:paraId="091277A3">
        <w:tblPrEx>
          <w:tblCellMar>
            <w:top w:w="0" w:type="dxa"/>
            <w:left w:w="108" w:type="dxa"/>
            <w:bottom w:w="0" w:type="dxa"/>
            <w:right w:w="108" w:type="dxa"/>
          </w:tblCellMar>
        </w:tblPrEx>
        <w:trPr>
          <w:trHeight w:val="600" w:hRule="atLeast"/>
        </w:trPr>
        <w:tc>
          <w:tcPr>
            <w:tcW w:w="4200" w:type="dxa"/>
            <w:noWrap w:val="0"/>
            <w:vAlign w:val="top"/>
          </w:tcPr>
          <w:p w14:paraId="048B28FD">
            <w:pPr>
              <w:spacing w:line="520" w:lineRule="exact"/>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rPr>
              <w:t>职务：</w:t>
            </w:r>
          </w:p>
        </w:tc>
        <w:tc>
          <w:tcPr>
            <w:tcW w:w="3990" w:type="dxa"/>
            <w:noWrap w:val="0"/>
            <w:vAlign w:val="top"/>
          </w:tcPr>
          <w:p w14:paraId="007E0F91">
            <w:pPr>
              <w:spacing w:line="520" w:lineRule="exact"/>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rPr>
              <w:t>职务：</w:t>
            </w:r>
          </w:p>
        </w:tc>
      </w:tr>
    </w:tbl>
    <w:p w14:paraId="3E917074">
      <w:pPr>
        <w:spacing w:before="240" w:line="360" w:lineRule="auto"/>
        <w:ind w:firstLine="960" w:firstLineChars="4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zh-CN"/>
        </w:rPr>
        <w:t>附法定代表人身份证复印件及被授权人身份证复印件</w:t>
      </w:r>
      <w:r>
        <w:rPr>
          <w:rFonts w:hint="eastAsia" w:ascii="仿宋" w:hAnsi="仿宋" w:eastAsia="仿宋" w:cs="仿宋"/>
          <w:color w:val="auto"/>
          <w:szCs w:val="21"/>
          <w:highlight w:val="none"/>
          <w:lang w:val="zh-CN"/>
        </w:rPr>
        <w:t>（正反面）</w:t>
      </w:r>
    </w:p>
    <w:p w14:paraId="4525FB3A">
      <w:pPr>
        <w:spacing w:line="480" w:lineRule="auto"/>
        <w:ind w:left="484" w:leftChars="202" w:right="616" w:rightChars="257"/>
        <w:jc w:val="left"/>
        <w:rPr>
          <w:rFonts w:hint="eastAsia" w:ascii="仿宋" w:hAnsi="仿宋" w:eastAsia="仿宋" w:cs="仿宋"/>
          <w:color w:val="auto"/>
          <w:highlight w:val="none"/>
          <w:lang w:eastAsia="zh-CN"/>
        </w:rPr>
      </w:pPr>
    </w:p>
    <w:p w14:paraId="3D61487B">
      <w:pPr>
        <w:spacing w:line="480" w:lineRule="auto"/>
        <w:ind w:left="484" w:leftChars="202" w:right="616" w:rightChars="257"/>
        <w:jc w:val="left"/>
        <w:rPr>
          <w:rFonts w:hint="eastAsia" w:ascii="仿宋" w:hAnsi="仿宋" w:eastAsia="仿宋" w:cs="仿宋"/>
          <w:color w:val="auto"/>
          <w:highlight w:val="none"/>
          <w:lang w:eastAsia="zh-CN"/>
        </w:rPr>
      </w:pPr>
    </w:p>
    <w:p w14:paraId="320C9726">
      <w:pPr>
        <w:spacing w:line="480" w:lineRule="auto"/>
        <w:ind w:left="484" w:leftChars="202" w:right="616" w:rightChars="257"/>
        <w:jc w:val="left"/>
        <w:rPr>
          <w:rFonts w:hint="eastAsia" w:ascii="仿宋" w:hAnsi="仿宋" w:eastAsia="仿宋" w:cs="仿宋"/>
          <w:color w:val="auto"/>
          <w:highlight w:val="none"/>
          <w:lang w:eastAsia="zh-CN"/>
        </w:rPr>
      </w:pPr>
    </w:p>
    <w:p w14:paraId="667D5496">
      <w:pPr>
        <w:adjustRightInd w:val="0"/>
        <w:snapToGrid w:val="0"/>
        <w:spacing w:line="360" w:lineRule="auto"/>
        <w:ind w:right="420"/>
        <w:rPr>
          <w:rFonts w:hint="eastAsia" w:ascii="仿宋" w:hAnsi="仿宋" w:eastAsia="仿宋" w:cs="仿宋"/>
          <w:color w:val="auto"/>
          <w:sz w:val="24"/>
          <w:highlight w:val="none"/>
        </w:rPr>
      </w:pPr>
    </w:p>
    <w:p w14:paraId="075D8794">
      <w:pPr>
        <w:keepNext w:val="0"/>
        <w:keepLines w:val="0"/>
        <w:pageBreakBefore w:val="0"/>
        <w:widowControl w:val="0"/>
        <w:kinsoku/>
        <w:wordWrap/>
        <w:overflowPunct/>
        <w:topLinePunct w:val="0"/>
        <w:autoSpaceDE/>
        <w:autoSpaceDN/>
        <w:bidi w:val="0"/>
        <w:adjustRightInd w:val="0"/>
        <w:snapToGrid w:val="0"/>
        <w:spacing w:line="720" w:lineRule="auto"/>
        <w:ind w:right="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盖单位公章</w:t>
      </w:r>
      <w:r>
        <w:rPr>
          <w:rFonts w:hint="eastAsia" w:ascii="仿宋" w:hAnsi="仿宋" w:eastAsia="仿宋" w:cs="仿宋"/>
          <w:color w:val="auto"/>
          <w:sz w:val="24"/>
          <w:highlight w:val="none"/>
        </w:rPr>
        <w:t>）</w:t>
      </w:r>
    </w:p>
    <w:p w14:paraId="58EF66FF">
      <w:pPr>
        <w:keepNext w:val="0"/>
        <w:keepLines w:val="0"/>
        <w:pageBreakBefore w:val="0"/>
        <w:widowControl w:val="0"/>
        <w:kinsoku/>
        <w:wordWrap/>
        <w:overflowPunct/>
        <w:topLinePunct w:val="0"/>
        <w:autoSpaceDE/>
        <w:autoSpaceDN/>
        <w:bidi w:val="0"/>
        <w:adjustRightInd w:val="0"/>
        <w:snapToGrid w:val="0"/>
        <w:spacing w:line="720" w:lineRule="auto"/>
        <w:ind w:right="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日</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03976EA0">
      <w:pPr>
        <w:ind w:firstLine="480" w:firstLineChars="200"/>
        <w:rPr>
          <w:rFonts w:hint="eastAsia" w:ascii="仿宋" w:hAnsi="仿宋" w:eastAsia="仿宋" w:cs="仿宋"/>
          <w:b/>
          <w:bCs/>
          <w:color w:val="auto"/>
          <w:highlight w:val="none"/>
          <w:lang w:val="zh-CN"/>
        </w:rPr>
      </w:pPr>
    </w:p>
    <w:p w14:paraId="7EE166E5">
      <w:pPr>
        <w:pStyle w:val="15"/>
        <w:keepNext w:val="0"/>
        <w:keepLines w:val="0"/>
        <w:pageBreakBefore w:val="0"/>
        <w:widowControl/>
        <w:numPr>
          <w:ilvl w:val="0"/>
          <w:numId w:val="0"/>
        </w:numPr>
        <w:kinsoku/>
        <w:wordWrap/>
        <w:overflowPunct/>
        <w:topLinePunct w:val="0"/>
        <w:autoSpaceDE/>
        <w:autoSpaceDN/>
        <w:bidi w:val="0"/>
        <w:adjustRightInd/>
        <w:snapToGrid/>
        <w:ind w:leftChars="0" w:firstLine="480" w:firstLineChars="20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说明：1.法定代表人直接投标时无需提供；2.被授权人投标截止日前一年内已缴存的至少一个月的社会保障资金凭证。</w:t>
      </w:r>
    </w:p>
    <w:p w14:paraId="14D43983">
      <w:pPr>
        <w:spacing w:line="360" w:lineRule="auto"/>
        <w:ind w:firstLine="480"/>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szCs w:val="24"/>
          <w:highlight w:val="none"/>
          <w:lang w:val="en-US" w:eastAsia="zh-CN"/>
        </w:rPr>
        <w:br w:type="page"/>
      </w:r>
    </w:p>
    <w:bookmarkEnd w:id="224"/>
    <w:bookmarkEnd w:id="225"/>
    <w:bookmarkEnd w:id="226"/>
    <w:p w14:paraId="0F601B11">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outlineLvl w:val="9"/>
        <w:rPr>
          <w:rFonts w:hint="eastAsia" w:ascii="仿宋" w:hAnsi="仿宋" w:eastAsia="仿宋" w:cs="仿宋"/>
          <w:b/>
          <w:color w:val="auto"/>
          <w:sz w:val="24"/>
          <w:szCs w:val="24"/>
          <w:highlight w:val="none"/>
          <w:lang w:eastAsia="zh-CN"/>
        </w:rPr>
      </w:pPr>
      <w:r>
        <w:rPr>
          <w:rFonts w:hint="eastAsia" w:ascii="仿宋" w:hAnsi="仿宋" w:eastAsia="仿宋" w:cs="仿宋"/>
          <w:b/>
          <w:color w:val="auto"/>
          <w:kern w:val="2"/>
          <w:sz w:val="24"/>
          <w:szCs w:val="24"/>
          <w:highlight w:val="none"/>
          <w:lang w:val="en-US" w:eastAsia="zh-CN" w:bidi="ar-SA"/>
        </w:rPr>
        <w:t>附件二：</w:t>
      </w:r>
    </w:p>
    <w:p w14:paraId="059D2FE1">
      <w:pPr>
        <w:keepNext w:val="0"/>
        <w:keepLines w:val="0"/>
        <w:pageBreakBefore w:val="0"/>
        <w:widowControl w:val="0"/>
        <w:numPr>
          <w:ilvl w:val="0"/>
          <w:numId w:val="0"/>
        </w:numPr>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具有履行合同所必需的设备和专业技术能力的承诺</w:t>
      </w:r>
    </w:p>
    <w:p w14:paraId="660DCB6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outlineLvl w:val="9"/>
        <w:rPr>
          <w:rFonts w:hint="eastAsia" w:ascii="仿宋" w:hAnsi="仿宋" w:eastAsia="仿宋" w:cs="仿宋"/>
          <w:b w:val="0"/>
          <w:bCs w:val="0"/>
          <w:color w:val="auto"/>
          <w:sz w:val="24"/>
          <w:szCs w:val="24"/>
          <w:highlight w:val="none"/>
          <w:lang w:val="en-US" w:eastAsia="zh-CN"/>
        </w:rPr>
      </w:pPr>
    </w:p>
    <w:p w14:paraId="377D48DB">
      <w:pPr>
        <w:spacing w:line="360" w:lineRule="auto"/>
        <w:rPr>
          <w:rFonts w:hint="eastAsia" w:ascii="仿宋" w:hAnsi="仿宋" w:eastAsia="仿宋" w:cs="仿宋"/>
          <w:color w:val="auto"/>
          <w:spacing w:val="4"/>
          <w:szCs w:val="21"/>
          <w:highlight w:val="none"/>
        </w:rPr>
      </w:pPr>
    </w:p>
    <w:p w14:paraId="311C76AD">
      <w:pPr>
        <w:spacing w:line="360" w:lineRule="auto"/>
        <w:rPr>
          <w:rFonts w:hint="eastAsia" w:ascii="仿宋" w:hAnsi="仿宋" w:eastAsia="仿宋" w:cs="仿宋"/>
          <w:color w:val="auto"/>
          <w:spacing w:val="4"/>
          <w:szCs w:val="21"/>
          <w:highlight w:val="none"/>
          <w:u w:val="single"/>
        </w:rPr>
      </w:pPr>
      <w:r>
        <w:rPr>
          <w:rFonts w:hint="eastAsia" w:ascii="仿宋" w:hAnsi="仿宋" w:eastAsia="仿宋" w:cs="仿宋"/>
          <w:color w:val="auto"/>
          <w:spacing w:val="4"/>
          <w:szCs w:val="21"/>
          <w:highlight w:val="none"/>
        </w:rPr>
        <w:t>致：</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u w:val="single"/>
          <w:lang w:eastAsia="zh-CN"/>
        </w:rPr>
        <w:t>（</w:t>
      </w:r>
      <w:r>
        <w:rPr>
          <w:rFonts w:hint="eastAsia" w:ascii="仿宋" w:hAnsi="仿宋" w:eastAsia="仿宋" w:cs="仿宋"/>
          <w:color w:val="auto"/>
          <w:spacing w:val="4"/>
          <w:szCs w:val="21"/>
          <w:highlight w:val="none"/>
          <w:u w:val="single"/>
          <w:lang w:val="en-US" w:eastAsia="zh-CN"/>
        </w:rPr>
        <w:t>采购人名称）</w:t>
      </w:r>
      <w:r>
        <w:rPr>
          <w:rFonts w:hint="eastAsia" w:ascii="仿宋" w:hAnsi="仿宋" w:eastAsia="仿宋" w:cs="仿宋"/>
          <w:color w:val="auto"/>
          <w:spacing w:val="4"/>
          <w:szCs w:val="21"/>
          <w:highlight w:val="none"/>
          <w:u w:val="single"/>
        </w:rPr>
        <w:t xml:space="preserve">  </w:t>
      </w:r>
    </w:p>
    <w:p w14:paraId="42528E98">
      <w:pPr>
        <w:spacing w:before="312" w:beforeLines="100" w:after="156" w:afterLines="50" w:line="360" w:lineRule="auto"/>
        <w:ind w:firstLine="496" w:firstLineChars="200"/>
        <w:rPr>
          <w:rFonts w:hint="eastAsia" w:ascii="仿宋" w:hAnsi="仿宋" w:eastAsia="仿宋" w:cs="仿宋"/>
          <w:color w:val="auto"/>
          <w:spacing w:val="4"/>
          <w:szCs w:val="21"/>
          <w:highlight w:val="none"/>
        </w:rPr>
      </w:pPr>
      <w:r>
        <w:rPr>
          <w:rFonts w:hint="eastAsia" w:ascii="仿宋" w:hAnsi="仿宋" w:eastAsia="仿宋" w:cs="仿宋"/>
          <w:color w:val="auto"/>
          <w:spacing w:val="4"/>
          <w:szCs w:val="21"/>
          <w:highlight w:val="none"/>
          <w:u w:val="single"/>
          <w:lang w:val="en-US" w:eastAsia="zh-CN"/>
        </w:rPr>
        <w:t xml:space="preserve">    （供应商</w:t>
      </w:r>
      <w:r>
        <w:rPr>
          <w:rFonts w:hint="eastAsia" w:ascii="仿宋" w:hAnsi="仿宋" w:eastAsia="仿宋" w:cs="仿宋"/>
          <w:color w:val="auto"/>
          <w:spacing w:val="4"/>
          <w:szCs w:val="21"/>
          <w:highlight w:val="none"/>
          <w:u w:val="single"/>
        </w:rPr>
        <w:t xml:space="preserve">名称） </w:t>
      </w:r>
      <w:r>
        <w:rPr>
          <w:rFonts w:hint="eastAsia" w:ascii="仿宋" w:hAnsi="仿宋" w:eastAsia="仿宋" w:cs="仿宋"/>
          <w:color w:val="auto"/>
          <w:spacing w:val="4"/>
          <w:szCs w:val="21"/>
          <w:highlight w:val="none"/>
          <w:u w:val="single"/>
          <w:lang w:val="en-US" w:eastAsia="zh-CN"/>
        </w:rPr>
        <w:t xml:space="preserve">  </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rPr>
        <w:t>于</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rPr>
        <w:t>年</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rPr>
        <w:t>月</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rPr>
        <w:t>日在中华人民共和国境内</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u w:val="single"/>
          <w:lang w:val="en-US" w:eastAsia="zh-CN"/>
        </w:rPr>
        <w:t xml:space="preserve">  （</w:t>
      </w:r>
      <w:r>
        <w:rPr>
          <w:rFonts w:hint="eastAsia" w:ascii="仿宋" w:hAnsi="仿宋" w:eastAsia="仿宋" w:cs="仿宋"/>
          <w:color w:val="auto"/>
          <w:spacing w:val="4"/>
          <w:szCs w:val="21"/>
          <w:highlight w:val="none"/>
          <w:u w:val="single"/>
        </w:rPr>
        <w:t>详细注册地址）</w:t>
      </w:r>
      <w:r>
        <w:rPr>
          <w:rFonts w:hint="eastAsia" w:ascii="仿宋" w:hAnsi="仿宋" w:eastAsia="仿宋" w:cs="仿宋"/>
          <w:color w:val="auto"/>
          <w:spacing w:val="4"/>
          <w:szCs w:val="21"/>
          <w:highlight w:val="none"/>
          <w:u w:val="single"/>
          <w:lang w:val="en-US" w:eastAsia="zh-CN"/>
        </w:rPr>
        <w:t xml:space="preserve">    </w:t>
      </w:r>
      <w:r>
        <w:rPr>
          <w:rFonts w:hint="eastAsia" w:ascii="仿宋" w:hAnsi="仿宋" w:eastAsia="仿宋" w:cs="仿宋"/>
          <w:color w:val="auto"/>
          <w:spacing w:val="4"/>
          <w:szCs w:val="21"/>
          <w:highlight w:val="none"/>
        </w:rPr>
        <w:t>合法注册并经营，本公司郑重承诺，具有履行本合同所必需的设备和专业技术能力。</w:t>
      </w:r>
    </w:p>
    <w:p w14:paraId="3341BCE7">
      <w:pPr>
        <w:pStyle w:val="15"/>
        <w:rPr>
          <w:rFonts w:hint="eastAsia" w:ascii="仿宋" w:hAnsi="仿宋" w:eastAsia="仿宋" w:cs="仿宋"/>
          <w:color w:val="auto"/>
          <w:highlight w:val="none"/>
        </w:rPr>
      </w:pPr>
    </w:p>
    <w:p w14:paraId="1FC4C45F">
      <w:pPr>
        <w:rPr>
          <w:rFonts w:hint="eastAsia" w:ascii="仿宋" w:hAnsi="仿宋" w:eastAsia="仿宋" w:cs="仿宋"/>
          <w:color w:val="auto"/>
          <w:highlight w:val="none"/>
        </w:rPr>
      </w:pPr>
    </w:p>
    <w:p w14:paraId="57236445">
      <w:pPr>
        <w:spacing w:line="280" w:lineRule="exact"/>
        <w:ind w:right="616" w:rightChars="257" w:firstLine="2400" w:firstLineChars="1000"/>
        <w:jc w:val="left"/>
        <w:rPr>
          <w:rFonts w:hint="eastAsia" w:ascii="仿宋" w:hAnsi="仿宋" w:eastAsia="仿宋" w:cs="仿宋"/>
          <w:color w:val="auto"/>
          <w:szCs w:val="24"/>
          <w:highlight w:val="none"/>
        </w:rPr>
      </w:pPr>
      <w:r>
        <w:rPr>
          <w:rFonts w:hint="eastAsia" w:ascii="仿宋" w:hAnsi="仿宋" w:eastAsia="仿宋" w:cs="仿宋"/>
          <w:color w:val="auto"/>
          <w:szCs w:val="24"/>
          <w:highlight w:val="none"/>
        </w:rPr>
        <w:t>供应商名称：</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u w:val="single"/>
          <w:lang w:val="en-US" w:eastAsia="zh-CN"/>
        </w:rPr>
        <w:t xml:space="preserve">              </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u w:val="none"/>
        </w:rPr>
        <w:t xml:space="preserve">（加盖单位公章）      </w:t>
      </w:r>
    </w:p>
    <w:p w14:paraId="41004BA0">
      <w:pPr>
        <w:spacing w:line="280" w:lineRule="exact"/>
        <w:ind w:right="616" w:rightChars="257"/>
        <w:jc w:val="left"/>
        <w:rPr>
          <w:rFonts w:hint="eastAsia" w:ascii="仿宋" w:hAnsi="仿宋" w:eastAsia="仿宋" w:cs="仿宋"/>
          <w:color w:val="auto"/>
          <w:szCs w:val="24"/>
          <w:highlight w:val="none"/>
        </w:rPr>
      </w:pPr>
    </w:p>
    <w:p w14:paraId="101F13D0">
      <w:pPr>
        <w:keepNext w:val="0"/>
        <w:keepLines w:val="0"/>
        <w:pageBreakBefore w:val="0"/>
        <w:widowControl w:val="0"/>
        <w:kinsoku/>
        <w:wordWrap/>
        <w:overflowPunct/>
        <w:topLinePunct w:val="0"/>
        <w:autoSpaceDE/>
        <w:autoSpaceDN/>
        <w:bidi w:val="0"/>
        <w:adjustRightInd/>
        <w:snapToGrid/>
        <w:spacing w:line="500" w:lineRule="exact"/>
        <w:ind w:firstLine="2480" w:firstLineChars="1000"/>
        <w:jc w:val="left"/>
        <w:textAlignment w:val="auto"/>
        <w:outlineLvl w:val="9"/>
        <w:rPr>
          <w:rFonts w:hint="eastAsia" w:ascii="仿宋" w:hAnsi="仿宋" w:eastAsia="仿宋" w:cs="仿宋"/>
          <w:color w:val="auto"/>
          <w:spacing w:val="4"/>
          <w:highlight w:val="none"/>
          <w:u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22A7BD28">
      <w:pPr>
        <w:spacing w:line="280" w:lineRule="exact"/>
        <w:ind w:right="616" w:rightChars="257"/>
        <w:jc w:val="left"/>
        <w:rPr>
          <w:rFonts w:hint="eastAsia" w:ascii="仿宋" w:hAnsi="仿宋" w:eastAsia="仿宋" w:cs="仿宋"/>
          <w:color w:val="auto"/>
          <w:szCs w:val="24"/>
          <w:highlight w:val="none"/>
        </w:rPr>
      </w:pPr>
    </w:p>
    <w:p w14:paraId="31954CF9">
      <w:pPr>
        <w:spacing w:line="280" w:lineRule="exact"/>
        <w:ind w:right="616" w:rightChars="257" w:firstLine="2400" w:firstLineChars="1000"/>
        <w:rPr>
          <w:rFonts w:hint="eastAsia" w:ascii="仿宋" w:hAnsi="仿宋" w:eastAsia="仿宋" w:cs="仿宋"/>
          <w:color w:val="auto"/>
          <w:szCs w:val="24"/>
          <w:highlight w:val="none"/>
        </w:rPr>
      </w:pPr>
      <w:r>
        <w:rPr>
          <w:rFonts w:hint="eastAsia" w:ascii="仿宋" w:hAnsi="仿宋" w:eastAsia="仿宋" w:cs="仿宋"/>
          <w:color w:val="auto"/>
          <w:szCs w:val="24"/>
          <w:highlight w:val="none"/>
        </w:rPr>
        <w:t>日    期：</w:t>
      </w:r>
      <w:r>
        <w:rPr>
          <w:rFonts w:hint="eastAsia" w:ascii="仿宋" w:hAnsi="仿宋" w:eastAsia="仿宋" w:cs="仿宋"/>
          <w:color w:val="auto"/>
          <w:spacing w:val="4"/>
          <w:szCs w:val="24"/>
          <w:highlight w:val="none"/>
          <w:lang w:val="en-US" w:eastAsia="zh-CN"/>
        </w:rPr>
        <w:t xml:space="preserve">    年    月   日</w:t>
      </w:r>
    </w:p>
    <w:p w14:paraId="10E8091C">
      <w:pPr>
        <w:rPr>
          <w:rFonts w:hint="eastAsia" w:ascii="仿宋" w:hAnsi="仿宋" w:eastAsia="仿宋" w:cs="仿宋"/>
          <w:b/>
          <w:bCs/>
          <w:color w:val="auto"/>
          <w:sz w:val="32"/>
          <w:szCs w:val="32"/>
          <w:highlight w:val="none"/>
          <w:lang w:eastAsia="zh-CN"/>
        </w:rPr>
      </w:pPr>
    </w:p>
    <w:p w14:paraId="4FFCA52C">
      <w:pPr>
        <w:rPr>
          <w:rFonts w:hint="eastAsia" w:ascii="仿宋" w:hAnsi="仿宋" w:eastAsia="仿宋" w:cs="仿宋"/>
          <w:b/>
          <w:bCs/>
          <w:color w:val="auto"/>
          <w:sz w:val="32"/>
          <w:szCs w:val="32"/>
          <w:highlight w:val="none"/>
          <w:lang w:eastAsia="zh-CN"/>
        </w:rPr>
      </w:pPr>
    </w:p>
    <w:p w14:paraId="6979009D">
      <w:pPr>
        <w:rPr>
          <w:rFonts w:hint="eastAsia" w:ascii="仿宋" w:hAnsi="仿宋" w:eastAsia="仿宋" w:cs="仿宋"/>
          <w:b/>
          <w:bCs/>
          <w:color w:val="auto"/>
          <w:sz w:val="32"/>
          <w:szCs w:val="32"/>
          <w:highlight w:val="none"/>
          <w:lang w:eastAsia="zh-CN"/>
        </w:rPr>
      </w:pPr>
    </w:p>
    <w:p w14:paraId="69F30E86">
      <w:pPr>
        <w:rPr>
          <w:rFonts w:hint="eastAsia" w:ascii="仿宋" w:hAnsi="仿宋" w:eastAsia="仿宋" w:cs="仿宋"/>
          <w:b/>
          <w:bCs/>
          <w:color w:val="auto"/>
          <w:sz w:val="32"/>
          <w:szCs w:val="32"/>
          <w:highlight w:val="none"/>
          <w:lang w:eastAsia="zh-CN"/>
        </w:rPr>
      </w:pPr>
    </w:p>
    <w:p w14:paraId="40757198">
      <w:pPr>
        <w:rPr>
          <w:rFonts w:hint="eastAsia" w:ascii="仿宋" w:hAnsi="仿宋" w:eastAsia="仿宋" w:cs="仿宋"/>
          <w:b/>
          <w:bCs/>
          <w:color w:val="auto"/>
          <w:sz w:val="32"/>
          <w:szCs w:val="32"/>
          <w:highlight w:val="none"/>
          <w:lang w:eastAsia="zh-CN"/>
        </w:rPr>
      </w:pPr>
    </w:p>
    <w:p w14:paraId="70A7CBDB">
      <w:pPr>
        <w:rPr>
          <w:rFonts w:hint="eastAsia" w:ascii="仿宋" w:hAnsi="仿宋" w:eastAsia="仿宋" w:cs="仿宋"/>
          <w:b/>
          <w:bCs/>
          <w:color w:val="auto"/>
          <w:sz w:val="32"/>
          <w:szCs w:val="32"/>
          <w:highlight w:val="none"/>
          <w:lang w:eastAsia="zh-CN"/>
        </w:rPr>
      </w:pPr>
    </w:p>
    <w:p w14:paraId="2A50F584">
      <w:pPr>
        <w:rPr>
          <w:rFonts w:hint="eastAsia" w:ascii="仿宋" w:hAnsi="仿宋" w:eastAsia="仿宋" w:cs="仿宋"/>
          <w:b/>
          <w:bCs/>
          <w:color w:val="auto"/>
          <w:sz w:val="32"/>
          <w:szCs w:val="32"/>
          <w:highlight w:val="none"/>
          <w:lang w:eastAsia="zh-CN"/>
        </w:rPr>
      </w:pPr>
    </w:p>
    <w:p w14:paraId="30C10E9C">
      <w:pPr>
        <w:pStyle w:val="30"/>
        <w:rPr>
          <w:rFonts w:hint="eastAsia" w:ascii="仿宋" w:hAnsi="仿宋" w:eastAsia="仿宋" w:cs="仿宋"/>
          <w:b/>
          <w:bCs/>
          <w:color w:val="auto"/>
          <w:sz w:val="32"/>
          <w:szCs w:val="32"/>
          <w:highlight w:val="none"/>
          <w:lang w:eastAsia="zh-CN"/>
        </w:rPr>
      </w:pPr>
    </w:p>
    <w:p w14:paraId="64BD042A">
      <w:pPr>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b/>
          <w:color w:val="auto"/>
          <w:kern w:val="2"/>
          <w:sz w:val="24"/>
          <w:szCs w:val="24"/>
          <w:highlight w:val="none"/>
          <w:lang w:val="en-US" w:eastAsia="zh-CN" w:bidi="ar-SA"/>
        </w:rPr>
        <w:br w:type="page"/>
      </w:r>
    </w:p>
    <w:p w14:paraId="249944CE">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outlineLvl w:val="9"/>
        <w:rPr>
          <w:rFonts w:hint="eastAsia" w:ascii="仿宋" w:hAnsi="仿宋" w:eastAsia="仿宋" w:cs="仿宋"/>
          <w:b/>
          <w:color w:val="auto"/>
          <w:sz w:val="24"/>
          <w:szCs w:val="24"/>
          <w:highlight w:val="none"/>
          <w:lang w:eastAsia="zh-CN"/>
        </w:rPr>
      </w:pPr>
      <w:r>
        <w:rPr>
          <w:rFonts w:hint="eastAsia" w:ascii="仿宋" w:hAnsi="仿宋" w:eastAsia="仿宋" w:cs="仿宋"/>
          <w:b/>
          <w:color w:val="auto"/>
          <w:kern w:val="2"/>
          <w:sz w:val="24"/>
          <w:szCs w:val="24"/>
          <w:highlight w:val="none"/>
          <w:lang w:val="en-US" w:eastAsia="zh-CN" w:bidi="ar-SA"/>
        </w:rPr>
        <w:t>附件三：</w:t>
      </w:r>
    </w:p>
    <w:p w14:paraId="236B104A">
      <w:pPr>
        <w:rPr>
          <w:rFonts w:hint="eastAsia" w:ascii="仿宋" w:hAnsi="仿宋" w:eastAsia="仿宋" w:cs="仿宋"/>
          <w:b/>
          <w:bCs/>
          <w:color w:val="auto"/>
          <w:sz w:val="32"/>
          <w:szCs w:val="32"/>
          <w:highlight w:val="none"/>
          <w:lang w:eastAsia="zh-CN"/>
        </w:rPr>
      </w:pPr>
    </w:p>
    <w:p w14:paraId="0740CE2E">
      <w:pPr>
        <w:keepNext w:val="0"/>
        <w:keepLines w:val="0"/>
        <w:widowControl/>
        <w:suppressLineNumbers w:val="0"/>
        <w:jc w:val="center"/>
        <w:rPr>
          <w:rFonts w:hint="eastAsia" w:ascii="仿宋" w:hAnsi="仿宋" w:eastAsia="仿宋" w:cs="仿宋"/>
          <w:b/>
          <w:bCs/>
          <w:color w:val="auto"/>
          <w:sz w:val="28"/>
          <w:szCs w:val="28"/>
          <w:highlight w:val="none"/>
          <w:lang w:val="en-US" w:eastAsia="zh-CN"/>
        </w:rPr>
      </w:pPr>
    </w:p>
    <w:p w14:paraId="3003FE89">
      <w:pPr>
        <w:keepNext w:val="0"/>
        <w:keepLines w:val="0"/>
        <w:widowControl/>
        <w:suppressLineNumbers w:val="0"/>
        <w:jc w:val="center"/>
        <w:rPr>
          <w:rFonts w:hint="eastAsia" w:ascii="仿宋" w:hAnsi="仿宋" w:eastAsia="仿宋" w:cs="仿宋"/>
          <w:color w:val="auto"/>
          <w:highlight w:val="none"/>
        </w:rPr>
      </w:pPr>
      <w:r>
        <w:rPr>
          <w:rFonts w:hint="eastAsia" w:ascii="仿宋" w:hAnsi="仿宋" w:eastAsia="仿宋" w:cs="仿宋"/>
          <w:b/>
          <w:bCs/>
          <w:color w:val="auto"/>
          <w:sz w:val="28"/>
          <w:szCs w:val="28"/>
          <w:highlight w:val="none"/>
          <w:lang w:val="en-US" w:eastAsia="zh-CN"/>
        </w:rPr>
        <w:t>参加政府采购活动前3年内，在经营活动中没有重大违法记录的书面声明</w:t>
      </w:r>
    </w:p>
    <w:p w14:paraId="24EA5357">
      <w:pPr>
        <w:keepNext w:val="0"/>
        <w:keepLines w:val="0"/>
        <w:widowControl/>
        <w:suppressLineNumbers w:val="0"/>
        <w:jc w:val="left"/>
        <w:rPr>
          <w:rFonts w:hint="eastAsia" w:ascii="仿宋" w:hAnsi="仿宋" w:eastAsia="仿宋" w:cs="仿宋"/>
          <w:color w:val="auto"/>
          <w:kern w:val="0"/>
          <w:sz w:val="24"/>
          <w:szCs w:val="24"/>
          <w:highlight w:val="none"/>
          <w:lang w:val="en-US" w:eastAsia="zh-CN" w:bidi="ar"/>
        </w:rPr>
      </w:pPr>
    </w:p>
    <w:p w14:paraId="00FF9D33">
      <w:pPr>
        <w:keepNext w:val="0"/>
        <w:keepLines w:val="0"/>
        <w:widowControl/>
        <w:suppressLineNumbers w:val="0"/>
        <w:jc w:val="left"/>
        <w:rPr>
          <w:rFonts w:hint="eastAsia" w:ascii="仿宋" w:hAnsi="仿宋" w:eastAsia="仿宋" w:cs="仿宋"/>
          <w:color w:val="auto"/>
          <w:kern w:val="0"/>
          <w:sz w:val="24"/>
          <w:szCs w:val="24"/>
          <w:highlight w:val="none"/>
          <w:lang w:val="en-US" w:eastAsia="zh-CN" w:bidi="ar"/>
        </w:rPr>
      </w:pPr>
    </w:p>
    <w:p w14:paraId="79CB6DB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highlight w:val="none"/>
          <w:u w:val="single"/>
        </w:rPr>
      </w:pPr>
      <w:r>
        <w:rPr>
          <w:rFonts w:hint="eastAsia" w:ascii="仿宋" w:hAnsi="仿宋" w:eastAsia="仿宋" w:cs="仿宋"/>
          <w:color w:val="auto"/>
          <w:kern w:val="0"/>
          <w:sz w:val="24"/>
          <w:szCs w:val="24"/>
          <w:highlight w:val="none"/>
          <w:lang w:val="en-US" w:eastAsia="zh-CN" w:bidi="ar"/>
        </w:rPr>
        <w:t>（采购人名称）：</w:t>
      </w:r>
      <w:r>
        <w:rPr>
          <w:rFonts w:hint="eastAsia" w:ascii="仿宋" w:hAnsi="仿宋" w:eastAsia="仿宋" w:cs="仿宋"/>
          <w:color w:val="auto"/>
          <w:kern w:val="0"/>
          <w:sz w:val="24"/>
          <w:szCs w:val="24"/>
          <w:highlight w:val="none"/>
          <w:u w:val="single"/>
          <w:lang w:val="en-US" w:eastAsia="zh-CN" w:bidi="ar"/>
        </w:rPr>
        <w:t xml:space="preserve">           </w:t>
      </w:r>
    </w:p>
    <w:p w14:paraId="409E548C">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我方作为</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（项目名称、项目编号）的供应商，在此郑重声明：</w:t>
      </w:r>
    </w:p>
    <w:p w14:paraId="4FD00195">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highlight w:val="none"/>
        </w:rPr>
      </w:pPr>
      <w:r>
        <w:rPr>
          <w:rFonts w:hint="eastAsia" w:ascii="仿宋" w:hAnsi="仿宋" w:eastAsia="仿宋" w:cs="仿宋"/>
          <w:color w:val="auto"/>
          <w:kern w:val="0"/>
          <w:sz w:val="24"/>
          <w:szCs w:val="24"/>
          <w:highlight w:val="none"/>
          <w:lang w:val="en-US" w:eastAsia="zh-CN" w:bidi="ar"/>
        </w:rPr>
        <w:t>在参加本次政府采购活动前3年内的经营活动中</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（填“没有”或“有”）重大违法记录</w:t>
      </w:r>
    </w:p>
    <w:p w14:paraId="2F62A7E8">
      <w:pPr>
        <w:keepNext w:val="0"/>
        <w:keepLines w:val="0"/>
        <w:pageBreakBefore w:val="0"/>
        <w:widowControl/>
        <w:kinsoku/>
        <w:wordWrap/>
        <w:overflowPunct/>
        <w:topLinePunct w:val="0"/>
        <w:autoSpaceDE/>
        <w:autoSpaceDN/>
        <w:bidi w:val="0"/>
        <w:adjustRightInd/>
        <w:snapToGrid/>
        <w:spacing w:line="360" w:lineRule="auto"/>
        <w:ind w:left="0" w:right="0" w:firstLine="504"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如有</w:t>
      </w:r>
      <w:r>
        <w:rPr>
          <w:rFonts w:hint="eastAsia" w:ascii="仿宋" w:hAnsi="仿宋" w:eastAsia="仿宋" w:cs="仿宋"/>
          <w:color w:val="auto"/>
          <w:spacing w:val="4"/>
          <w:sz w:val="24"/>
          <w:szCs w:val="24"/>
          <w:highlight w:val="none"/>
        </w:rPr>
        <w:t>不</w:t>
      </w:r>
      <w:r>
        <w:rPr>
          <w:rFonts w:hint="eastAsia" w:ascii="仿宋" w:hAnsi="仿宋" w:eastAsia="仿宋" w:cs="仿宋"/>
          <w:color w:val="auto"/>
          <w:spacing w:val="3"/>
          <w:sz w:val="24"/>
          <w:szCs w:val="24"/>
          <w:highlight w:val="none"/>
        </w:rPr>
        <w:t>实，我公司将无条件地退出本项目的采购活动，并遵照《中华人民</w:t>
      </w:r>
      <w:r>
        <w:rPr>
          <w:rFonts w:hint="eastAsia" w:ascii="仿宋" w:hAnsi="仿宋" w:eastAsia="仿宋" w:cs="仿宋"/>
          <w:color w:val="auto"/>
          <w:spacing w:val="-1"/>
          <w:sz w:val="24"/>
          <w:szCs w:val="24"/>
          <w:highlight w:val="none"/>
        </w:rPr>
        <w:t>共和国政府采购法》</w:t>
      </w:r>
      <w:r>
        <w:rPr>
          <w:rFonts w:hint="eastAsia" w:ascii="仿宋" w:hAnsi="仿宋" w:eastAsia="仿宋" w:cs="仿宋"/>
          <w:color w:val="auto"/>
          <w:sz w:val="24"/>
          <w:szCs w:val="24"/>
          <w:highlight w:val="none"/>
        </w:rPr>
        <w:t>有关“提供虚假材料的规定”接受处罚。</w:t>
      </w:r>
    </w:p>
    <w:p w14:paraId="7567EC6C">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highlight w:val="none"/>
        </w:rPr>
      </w:pPr>
      <w:r>
        <w:rPr>
          <w:rFonts w:hint="eastAsia" w:ascii="仿宋" w:hAnsi="仿宋" w:eastAsia="仿宋" w:cs="仿宋"/>
          <w:color w:val="auto"/>
          <w:kern w:val="0"/>
          <w:sz w:val="24"/>
          <w:szCs w:val="24"/>
          <w:highlight w:val="none"/>
          <w:lang w:val="en-US" w:eastAsia="zh-CN" w:bidi="ar"/>
        </w:rPr>
        <w:t xml:space="preserve">特此声明。 </w:t>
      </w:r>
    </w:p>
    <w:p w14:paraId="7DB3FBD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4"/>
          <w:highlight w:val="none"/>
          <w:lang w:val="en-US" w:eastAsia="zh-CN" w:bidi="ar"/>
        </w:rPr>
      </w:pPr>
    </w:p>
    <w:p w14:paraId="380EE666">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供应商名称 (公章) ：</w:t>
      </w:r>
      <w:r>
        <w:rPr>
          <w:rFonts w:hint="eastAsia" w:ascii="仿宋" w:hAnsi="仿宋" w:eastAsia="仿宋" w:cs="仿宋"/>
          <w:color w:val="auto"/>
          <w:kern w:val="0"/>
          <w:sz w:val="24"/>
          <w:szCs w:val="24"/>
          <w:highlight w:val="none"/>
          <w:u w:val="single"/>
          <w:lang w:val="en-US" w:eastAsia="zh-CN" w:bidi="ar"/>
        </w:rPr>
        <w:t xml:space="preserve">                  </w:t>
      </w:r>
    </w:p>
    <w:p w14:paraId="2C37601D">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法定代表人或其授权代表(盖章或签字)：</w:t>
      </w:r>
      <w:r>
        <w:rPr>
          <w:rFonts w:hint="eastAsia" w:ascii="仿宋" w:hAnsi="仿宋" w:eastAsia="仿宋" w:cs="仿宋"/>
          <w:color w:val="auto"/>
          <w:kern w:val="0"/>
          <w:sz w:val="24"/>
          <w:szCs w:val="24"/>
          <w:highlight w:val="none"/>
          <w:u w:val="single"/>
          <w:lang w:val="en-US" w:eastAsia="zh-CN" w:bidi="ar"/>
        </w:rPr>
        <w:t xml:space="preserve">          </w:t>
      </w:r>
    </w:p>
    <w:p w14:paraId="46D85E9E">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日期：</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年</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月</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日</w:t>
      </w:r>
    </w:p>
    <w:p w14:paraId="11504E61">
      <w:pPr>
        <w:keepNext w:val="0"/>
        <w:keepLines w:val="0"/>
        <w:pageBreakBefore w:val="0"/>
        <w:widowControl w:val="0"/>
        <w:numPr>
          <w:ilvl w:val="0"/>
          <w:numId w:val="0"/>
        </w:numPr>
        <w:wordWrap/>
        <w:overflowPunct/>
        <w:topLinePunct w:val="0"/>
        <w:bidi w:val="0"/>
        <w:spacing w:line="360" w:lineRule="auto"/>
        <w:jc w:val="both"/>
        <w:rPr>
          <w:rFonts w:hint="eastAsia" w:ascii="仿宋" w:hAnsi="仿宋" w:eastAsia="仿宋" w:cs="仿宋"/>
          <w:color w:val="auto"/>
          <w:spacing w:val="-8"/>
          <w:sz w:val="24"/>
          <w:szCs w:val="24"/>
          <w:highlight w:val="none"/>
        </w:rPr>
      </w:pPr>
    </w:p>
    <w:p w14:paraId="68F9DA7E">
      <w:pPr>
        <w:keepNext w:val="0"/>
        <w:keepLines w:val="0"/>
        <w:pageBreakBefore w:val="0"/>
        <w:widowControl w:val="0"/>
        <w:numPr>
          <w:ilvl w:val="0"/>
          <w:numId w:val="0"/>
        </w:numPr>
        <w:wordWrap/>
        <w:overflowPunct/>
        <w:topLinePunct w:val="0"/>
        <w:bidi w:val="0"/>
        <w:spacing w:line="360" w:lineRule="auto"/>
        <w:jc w:val="both"/>
        <w:rPr>
          <w:rFonts w:hint="eastAsia" w:ascii="仿宋" w:hAnsi="仿宋" w:eastAsia="仿宋" w:cs="仿宋"/>
          <w:color w:val="auto"/>
          <w:spacing w:val="-8"/>
          <w:sz w:val="24"/>
          <w:szCs w:val="24"/>
          <w:highlight w:val="none"/>
        </w:rPr>
      </w:pPr>
    </w:p>
    <w:p w14:paraId="25AE322C">
      <w:pPr>
        <w:rPr>
          <w:rFonts w:hint="eastAsia" w:ascii="仿宋" w:hAnsi="仿宋" w:eastAsia="仿宋" w:cs="仿宋"/>
          <w:color w:val="auto"/>
          <w:spacing w:val="0"/>
          <w:sz w:val="24"/>
          <w:highlight w:val="none"/>
        </w:rPr>
      </w:pPr>
      <w:r>
        <w:rPr>
          <w:rFonts w:hint="eastAsia" w:ascii="仿宋" w:hAnsi="仿宋" w:eastAsia="仿宋" w:cs="仿宋"/>
          <w:color w:val="auto"/>
          <w:spacing w:val="0"/>
          <w:sz w:val="24"/>
          <w:szCs w:val="24"/>
          <w:highlight w:val="none"/>
        </w:rPr>
        <w:t>注：供应商在参加政府采购活动前 3 年内因违法经营被禁止在一定期限内参加政府采购活动，期限届满的，可以参加政府采购活动，但应提供相关证明材料。</w:t>
      </w:r>
    </w:p>
    <w:p w14:paraId="2F992CF0">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34517C6C">
      <w:pPr>
        <w:keepNext w:val="0"/>
        <w:keepLines w:val="0"/>
        <w:pageBreakBefore w:val="0"/>
        <w:widowControl/>
        <w:numPr>
          <w:ilvl w:val="0"/>
          <w:numId w:val="0"/>
        </w:numPr>
        <w:tabs>
          <w:tab w:val="left" w:pos="1755"/>
        </w:tabs>
        <w:kinsoku/>
        <w:wordWrap/>
        <w:overflowPunct/>
        <w:topLinePunct w:val="0"/>
        <w:autoSpaceDE/>
        <w:autoSpaceDN/>
        <w:bidi w:val="0"/>
        <w:adjustRightInd/>
        <w:snapToGrid/>
        <w:spacing w:before="0" w:after="0" w:line="360" w:lineRule="auto"/>
        <w:ind w:firstLine="0" w:firstLineChars="0"/>
        <w:jc w:val="center"/>
        <w:textAlignment w:val="auto"/>
        <w:outlineLvl w:val="1"/>
        <w:rPr>
          <w:rFonts w:hint="eastAsia" w:ascii="仿宋" w:hAnsi="仿宋" w:eastAsia="仿宋" w:cs="仿宋"/>
          <w:b/>
          <w:bCs/>
          <w:color w:val="auto"/>
          <w:sz w:val="28"/>
          <w:szCs w:val="28"/>
          <w:highlight w:val="none"/>
        </w:rPr>
      </w:pPr>
      <w:bookmarkStart w:id="227" w:name="_Toc26342"/>
      <w:bookmarkStart w:id="228" w:name="_Toc21094"/>
      <w:bookmarkStart w:id="229" w:name="_Toc12900"/>
      <w:bookmarkStart w:id="230" w:name="_Toc9520"/>
      <w:bookmarkStart w:id="231" w:name="_Toc7855"/>
      <w:bookmarkStart w:id="232" w:name="_Toc7670_WPSOffice_Level1"/>
      <w:r>
        <w:rPr>
          <w:rFonts w:hint="eastAsia" w:ascii="仿宋" w:hAnsi="仿宋" w:eastAsia="仿宋" w:cs="仿宋"/>
          <w:color w:val="auto"/>
          <w:sz w:val="32"/>
          <w:szCs w:val="32"/>
          <w:highlight w:val="none"/>
          <w:lang w:val="en-US" w:eastAsia="zh-CN" w:bidi="ar-SA"/>
        </w:rPr>
        <w:t>第七部分  其他应说明的事项</w:t>
      </w:r>
      <w:bookmarkEnd w:id="227"/>
      <w:bookmarkEnd w:id="228"/>
      <w:bookmarkEnd w:id="229"/>
      <w:bookmarkEnd w:id="230"/>
      <w:bookmarkEnd w:id="231"/>
      <w:bookmarkEnd w:id="232"/>
    </w:p>
    <w:p w14:paraId="589915D4">
      <w:pPr>
        <w:keepNext w:val="0"/>
        <w:keepLines w:val="0"/>
        <w:pageBreakBefore w:val="0"/>
        <w:widowControl w:val="0"/>
        <w:tabs>
          <w:tab w:val="left" w:pos="1755"/>
        </w:tabs>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color w:val="auto"/>
          <w:sz w:val="28"/>
          <w:szCs w:val="28"/>
          <w:highlight w:val="none"/>
        </w:rPr>
      </w:pPr>
      <w:bookmarkStart w:id="233" w:name="_Toc27714"/>
      <w:r>
        <w:rPr>
          <w:rFonts w:hint="eastAsia" w:ascii="仿宋" w:hAnsi="仿宋" w:eastAsia="仿宋" w:cs="仿宋"/>
          <w:b/>
          <w:bCs/>
          <w:color w:val="auto"/>
          <w:sz w:val="28"/>
          <w:szCs w:val="28"/>
          <w:highlight w:val="none"/>
        </w:rPr>
        <w:t>（一）其他事项</w:t>
      </w:r>
      <w:bookmarkEnd w:id="233"/>
    </w:p>
    <w:p w14:paraId="20918CF8">
      <w:pPr>
        <w:spacing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1、依据招标文件要求，</w:t>
      </w:r>
      <w:r>
        <w:rPr>
          <w:rFonts w:hint="eastAsia" w:ascii="仿宋" w:hAnsi="仿宋" w:eastAsia="仿宋" w:cs="仿宋"/>
          <w:bCs/>
          <w:color w:val="auto"/>
          <w:sz w:val="28"/>
          <w:szCs w:val="28"/>
          <w:highlight w:val="none"/>
          <w:lang w:eastAsia="zh-CN"/>
        </w:rPr>
        <w:t>投标人</w:t>
      </w:r>
      <w:r>
        <w:rPr>
          <w:rFonts w:hint="eastAsia" w:ascii="仿宋" w:hAnsi="仿宋" w:eastAsia="仿宋" w:cs="仿宋"/>
          <w:bCs/>
          <w:color w:val="auto"/>
          <w:sz w:val="28"/>
          <w:szCs w:val="28"/>
          <w:highlight w:val="none"/>
        </w:rPr>
        <w:t>认为有必要说明的其他内容。</w:t>
      </w:r>
    </w:p>
    <w:p w14:paraId="557FABAD">
      <w:pPr>
        <w:spacing w:line="560" w:lineRule="exact"/>
        <w:jc w:val="both"/>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2、其他可以证明投标人实力的文件。</w:t>
      </w:r>
    </w:p>
    <w:p w14:paraId="4E22CA38">
      <w:pPr>
        <w:spacing w:line="560" w:lineRule="exact"/>
        <w:jc w:val="both"/>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3、</w:t>
      </w:r>
      <w:r>
        <w:rPr>
          <w:rFonts w:hint="eastAsia" w:ascii="仿宋" w:hAnsi="仿宋" w:eastAsia="仿宋" w:cs="仿宋"/>
          <w:bCs/>
          <w:sz w:val="28"/>
          <w:szCs w:val="28"/>
        </w:rPr>
        <w:t>基本存款账户开户许可证（基本账户信息）</w:t>
      </w:r>
      <w:r>
        <w:rPr>
          <w:rFonts w:hint="eastAsia" w:ascii="仿宋" w:hAnsi="仿宋" w:eastAsia="仿宋" w:cs="仿宋"/>
          <w:bCs/>
          <w:sz w:val="28"/>
          <w:szCs w:val="28"/>
          <w:lang w:eastAsia="zh-CN"/>
        </w:rPr>
        <w:t>。</w:t>
      </w:r>
    </w:p>
    <w:p w14:paraId="69132C29">
      <w:pPr>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br w:type="page"/>
      </w:r>
    </w:p>
    <w:p w14:paraId="58CBD05C">
      <w:pPr>
        <w:keepNext/>
        <w:keepLines w:val="0"/>
        <w:pageBreakBefore w:val="0"/>
        <w:widowControl w:val="0"/>
        <w:shd w:val="clear"/>
        <w:kinsoku/>
        <w:wordWrap/>
        <w:overflowPunct/>
        <w:topLinePunct w:val="0"/>
        <w:autoSpaceDE/>
        <w:autoSpaceDN/>
        <w:bidi w:val="0"/>
        <w:adjustRightInd/>
        <w:snapToGrid/>
        <w:spacing w:before="168" w:beforeLines="50"/>
        <w:jc w:val="center"/>
        <w:textAlignment w:val="auto"/>
        <w:outlineLvl w:val="9"/>
        <w:rPr>
          <w:rFonts w:hint="eastAsia" w:ascii="仿宋" w:hAnsi="仿宋" w:eastAsia="仿宋" w:cs="仿宋"/>
          <w:b/>
          <w:bCs/>
          <w:color w:val="auto"/>
          <w:sz w:val="28"/>
          <w:szCs w:val="28"/>
          <w:highlight w:val="none"/>
          <w:lang w:val="en-US" w:eastAsia="zh-CN" w:bidi="ar-SA"/>
        </w:rPr>
      </w:pPr>
      <w:bookmarkStart w:id="234" w:name="_Toc8079"/>
      <w:r>
        <w:rPr>
          <w:rFonts w:hint="eastAsia" w:ascii="仿宋" w:hAnsi="仿宋" w:eastAsia="仿宋" w:cs="仿宋"/>
          <w:b/>
          <w:bCs/>
          <w:color w:val="auto"/>
          <w:sz w:val="28"/>
          <w:szCs w:val="28"/>
          <w:highlight w:val="none"/>
          <w:lang w:val="en-US" w:eastAsia="zh-CN" w:bidi="ar-SA"/>
        </w:rPr>
        <w:t>（二）中小企业声明函（货物）</w:t>
      </w:r>
      <w:bookmarkEnd w:id="234"/>
    </w:p>
    <w:p w14:paraId="163FF736">
      <w:pPr>
        <w:pStyle w:val="15"/>
        <w:shd w:val="clear"/>
        <w:ind w:left="0"/>
        <w:rPr>
          <w:rFonts w:hint="eastAsia" w:ascii="仿宋" w:hAnsi="仿宋" w:eastAsia="仿宋" w:cs="仿宋"/>
          <w:b/>
          <w:color w:val="auto"/>
          <w:sz w:val="20"/>
          <w:highlight w:val="none"/>
        </w:rPr>
      </w:pPr>
    </w:p>
    <w:p w14:paraId="58A58229">
      <w:pPr>
        <w:pStyle w:val="15"/>
        <w:keepNext w:val="0"/>
        <w:keepLines w:val="0"/>
        <w:pageBreakBefore w:val="0"/>
        <w:widowControl w:val="0"/>
        <w:shd w:val="clear"/>
        <w:tabs>
          <w:tab w:val="left" w:pos="9120"/>
        </w:tabs>
        <w:kinsoku/>
        <w:wordWrap/>
        <w:overflowPunct/>
        <w:topLinePunct w:val="0"/>
        <w:autoSpaceDE/>
        <w:autoSpaceDN/>
        <w:bidi w:val="0"/>
        <w:adjustRightInd/>
        <w:snapToGrid/>
        <w:spacing w:before="55" w:after="0" w:afterLines="0" w:line="480" w:lineRule="exact"/>
        <w:ind w:right="0" w:rightChars="0" w:firstLine="640"/>
        <w:textAlignment w:val="auto"/>
        <w:outlineLvl w:val="9"/>
        <w:rPr>
          <w:rFonts w:hint="eastAsia" w:ascii="仿宋" w:hAnsi="仿宋" w:eastAsia="仿宋" w:cs="仿宋"/>
          <w:b w:val="0"/>
          <w:bCs w:val="0"/>
          <w:color w:val="auto"/>
          <w:spacing w:val="-2"/>
          <w:sz w:val="24"/>
          <w:szCs w:val="24"/>
          <w:highlight w:val="none"/>
        </w:rPr>
      </w:pPr>
      <w:r>
        <w:rPr>
          <w:rFonts w:hint="eastAsia" w:ascii="仿宋" w:hAnsi="仿宋" w:eastAsia="仿宋" w:cs="仿宋"/>
          <w:b w:val="0"/>
          <w:bCs w:val="0"/>
          <w:color w:val="auto"/>
          <w:spacing w:val="-2"/>
          <w:sz w:val="24"/>
          <w:szCs w:val="24"/>
          <w:highlight w:val="none"/>
        </w:rPr>
        <w:t>本公司</w:t>
      </w:r>
      <w:r>
        <w:rPr>
          <w:rFonts w:hint="eastAsia" w:ascii="仿宋" w:hAnsi="仿宋" w:eastAsia="仿宋" w:cs="仿宋"/>
          <w:b w:val="0"/>
          <w:bCs w:val="0"/>
          <w:color w:val="auto"/>
          <w:sz w:val="24"/>
          <w:szCs w:val="24"/>
          <w:highlight w:val="none"/>
        </w:rPr>
        <w:t>（联合体</w:t>
      </w:r>
      <w:r>
        <w:rPr>
          <w:rFonts w:hint="eastAsia" w:ascii="仿宋" w:hAnsi="仿宋" w:eastAsia="仿宋" w:cs="仿宋"/>
          <w:b w:val="0"/>
          <w:bCs w:val="0"/>
          <w:color w:val="auto"/>
          <w:spacing w:val="-5"/>
          <w:sz w:val="24"/>
          <w:szCs w:val="24"/>
          <w:highlight w:val="none"/>
        </w:rPr>
        <w:t>）</w:t>
      </w:r>
      <w:r>
        <w:rPr>
          <w:rFonts w:hint="eastAsia" w:ascii="仿宋" w:hAnsi="仿宋" w:eastAsia="仿宋" w:cs="仿宋"/>
          <w:b w:val="0"/>
          <w:bCs w:val="0"/>
          <w:color w:val="auto"/>
          <w:spacing w:val="-2"/>
          <w:sz w:val="24"/>
          <w:szCs w:val="24"/>
          <w:highlight w:val="none"/>
        </w:rPr>
        <w:t>郑重声明，根据《政府采购促进中小</w:t>
      </w:r>
      <w:r>
        <w:rPr>
          <w:rFonts w:hint="eastAsia" w:ascii="仿宋" w:hAnsi="仿宋" w:eastAsia="仿宋" w:cs="仿宋"/>
          <w:b w:val="0"/>
          <w:bCs w:val="0"/>
          <w:color w:val="auto"/>
          <w:spacing w:val="-18"/>
          <w:sz w:val="24"/>
          <w:szCs w:val="24"/>
          <w:highlight w:val="none"/>
        </w:rPr>
        <w:t>企业发展管理办法》</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pacing w:val="5"/>
          <w:sz w:val="24"/>
          <w:szCs w:val="24"/>
          <w:highlight w:val="none"/>
        </w:rPr>
        <w:t>财库</w:t>
      </w:r>
      <w:r>
        <w:rPr>
          <w:rFonts w:hint="eastAsia" w:ascii="仿宋" w:hAnsi="仿宋" w:eastAsia="仿宋" w:cs="仿宋"/>
          <w:b w:val="0"/>
          <w:bCs w:val="0"/>
          <w:color w:val="auto"/>
          <w:sz w:val="24"/>
          <w:szCs w:val="24"/>
          <w:highlight w:val="none"/>
        </w:rPr>
        <w:t>﹝2020﹞46</w:t>
      </w:r>
      <w:r>
        <w:rPr>
          <w:rFonts w:hint="eastAsia" w:ascii="仿宋" w:hAnsi="仿宋" w:eastAsia="仿宋" w:cs="仿宋"/>
          <w:b w:val="0"/>
          <w:bCs w:val="0"/>
          <w:color w:val="auto"/>
          <w:spacing w:val="-38"/>
          <w:sz w:val="24"/>
          <w:szCs w:val="24"/>
          <w:highlight w:val="none"/>
        </w:rPr>
        <w:t xml:space="preserve"> 号</w:t>
      </w:r>
      <w:r>
        <w:rPr>
          <w:rFonts w:hint="eastAsia" w:ascii="仿宋" w:hAnsi="仿宋" w:eastAsia="仿宋" w:cs="仿宋"/>
          <w:b w:val="0"/>
          <w:bCs w:val="0"/>
          <w:color w:val="auto"/>
          <w:spacing w:val="5"/>
          <w:sz w:val="24"/>
          <w:szCs w:val="24"/>
          <w:highlight w:val="none"/>
        </w:rPr>
        <w:t>）</w:t>
      </w:r>
      <w:r>
        <w:rPr>
          <w:rFonts w:hint="eastAsia" w:ascii="仿宋" w:hAnsi="仿宋" w:eastAsia="仿宋" w:cs="仿宋"/>
          <w:b w:val="0"/>
          <w:bCs w:val="0"/>
          <w:color w:val="auto"/>
          <w:sz w:val="24"/>
          <w:szCs w:val="24"/>
          <w:highlight w:val="none"/>
        </w:rPr>
        <w:t>的规定，本公司（联合体）</w:t>
      </w:r>
      <w:r>
        <w:rPr>
          <w:rFonts w:hint="eastAsia" w:ascii="仿宋" w:hAnsi="仿宋" w:eastAsia="仿宋" w:cs="仿宋"/>
          <w:b w:val="0"/>
          <w:bCs w:val="0"/>
          <w:color w:val="auto"/>
          <w:spacing w:val="-2"/>
          <w:sz w:val="24"/>
          <w:szCs w:val="24"/>
          <w:highlight w:val="none"/>
        </w:rPr>
        <w:t>参加</w:t>
      </w:r>
      <w:r>
        <w:rPr>
          <w:rFonts w:hint="eastAsia" w:ascii="仿宋" w:hAnsi="仿宋" w:eastAsia="仿宋" w:cs="仿宋"/>
          <w:b w:val="0"/>
          <w:bCs w:val="0"/>
          <w:color w:val="auto"/>
          <w:spacing w:val="-2"/>
          <w:sz w:val="24"/>
          <w:szCs w:val="24"/>
          <w:highlight w:val="none"/>
          <w:u w:val="single"/>
          <w:lang w:val="en-US" w:eastAsia="zh-CN"/>
        </w:rPr>
        <w:t xml:space="preserve">     </w:t>
      </w:r>
      <w:r>
        <w:rPr>
          <w:rFonts w:hint="eastAsia" w:ascii="仿宋" w:hAnsi="仿宋" w:eastAsia="仿宋" w:cs="仿宋"/>
          <w:b w:val="0"/>
          <w:bCs w:val="0"/>
          <w:color w:val="auto"/>
          <w:spacing w:val="-2"/>
          <w:sz w:val="24"/>
          <w:szCs w:val="24"/>
          <w:highlight w:val="none"/>
          <w:u w:val="single"/>
          <w:lang w:val="zh-CN" w:eastAsia="zh-CN"/>
        </w:rPr>
        <w:t>（单位名称）</w:t>
      </w:r>
      <w:r>
        <w:rPr>
          <w:rFonts w:hint="eastAsia" w:ascii="仿宋" w:hAnsi="仿宋" w:eastAsia="仿宋" w:cs="仿宋"/>
          <w:b w:val="0"/>
          <w:bCs w:val="0"/>
          <w:color w:val="auto"/>
          <w:spacing w:val="-2"/>
          <w:sz w:val="24"/>
          <w:szCs w:val="24"/>
          <w:highlight w:val="none"/>
        </w:rPr>
        <w:t>的</w:t>
      </w:r>
      <w:r>
        <w:rPr>
          <w:rFonts w:hint="eastAsia" w:ascii="仿宋" w:hAnsi="仿宋" w:eastAsia="仿宋" w:cs="仿宋"/>
          <w:b w:val="0"/>
          <w:bCs w:val="0"/>
          <w:color w:val="auto"/>
          <w:spacing w:val="-2"/>
          <w:sz w:val="24"/>
          <w:szCs w:val="24"/>
          <w:highlight w:val="none"/>
          <w:u w:val="single"/>
          <w:lang w:val="en-US" w:eastAsia="zh-CN"/>
        </w:rPr>
        <w:t xml:space="preserve">     </w:t>
      </w:r>
      <w:r>
        <w:rPr>
          <w:rFonts w:hint="eastAsia" w:ascii="仿宋" w:hAnsi="仿宋" w:eastAsia="仿宋" w:cs="仿宋"/>
          <w:b w:val="0"/>
          <w:bCs w:val="0"/>
          <w:color w:val="auto"/>
          <w:spacing w:val="-2"/>
          <w:sz w:val="24"/>
          <w:szCs w:val="24"/>
          <w:highlight w:val="none"/>
          <w:u w:val="single"/>
          <w:lang w:val="zh-CN" w:eastAsia="zh-CN"/>
        </w:rPr>
        <w:t>（项目名称）</w:t>
      </w:r>
      <w:r>
        <w:rPr>
          <w:rFonts w:hint="eastAsia" w:ascii="仿宋" w:hAnsi="仿宋" w:eastAsia="仿宋" w:cs="仿宋"/>
          <w:b w:val="0"/>
          <w:bCs w:val="0"/>
          <w:color w:val="auto"/>
          <w:spacing w:val="-2"/>
          <w:sz w:val="24"/>
          <w:szCs w:val="24"/>
          <w:highlight w:val="none"/>
        </w:rPr>
        <w:t>采购活动，提供的货物全部由符合政策要求的中小企业制造。相关企业（含联合体中的中小企业、签订分包意向协议的中小企业） 的具体情况如下：</w:t>
      </w:r>
    </w:p>
    <w:p w14:paraId="5D06FCA6">
      <w:pPr>
        <w:pStyle w:val="15"/>
        <w:keepNext w:val="0"/>
        <w:keepLines w:val="0"/>
        <w:pageBreakBefore w:val="0"/>
        <w:widowControl w:val="0"/>
        <w:numPr>
          <w:ilvl w:val="0"/>
          <w:numId w:val="4"/>
        </w:numPr>
        <w:shd w:val="clear"/>
        <w:kinsoku/>
        <w:wordWrap/>
        <w:overflowPunct/>
        <w:topLinePunct w:val="0"/>
        <w:autoSpaceDE/>
        <w:autoSpaceDN/>
        <w:bidi w:val="0"/>
        <w:adjustRightInd/>
        <w:snapToGrid/>
        <w:spacing w:before="2" w:line="480" w:lineRule="exact"/>
        <w:ind w:left="0" w:firstLine="480" w:firstLineChars="200"/>
        <w:jc w:val="left"/>
        <w:textAlignment w:val="auto"/>
        <w:outlineLvl w:val="9"/>
        <w:rPr>
          <w:rFonts w:hint="eastAsia" w:ascii="仿宋" w:hAnsi="仿宋" w:eastAsia="仿宋" w:cs="仿宋"/>
          <w:b w:val="0"/>
          <w:bCs w:val="0"/>
          <w:color w:val="auto"/>
          <w:kern w:val="2"/>
          <w:sz w:val="24"/>
          <w:szCs w:val="24"/>
          <w:highlight w:val="none"/>
        </w:rPr>
      </w:pP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lang w:val="zh-CN" w:eastAsia="zh-CN"/>
        </w:rPr>
        <w:t>（标的名称）</w:t>
      </w:r>
      <w:r>
        <w:rPr>
          <w:rFonts w:hint="eastAsia" w:ascii="仿宋" w:hAnsi="仿宋" w:eastAsia="仿宋" w:cs="仿宋"/>
          <w:b w:val="0"/>
          <w:bCs w:val="0"/>
          <w:color w:val="auto"/>
          <w:kern w:val="2"/>
          <w:sz w:val="24"/>
          <w:szCs w:val="24"/>
          <w:highlight w:val="none"/>
        </w:rPr>
        <w:t>，属 于</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0"/>
          <w:sz w:val="24"/>
          <w:szCs w:val="24"/>
          <w:highlight w:val="none"/>
          <w:u w:val="single"/>
        </w:rPr>
        <w:t>（采购文件中明确的所属行业）</w:t>
      </w:r>
      <w:r>
        <w:rPr>
          <w:rFonts w:hint="eastAsia" w:ascii="仿宋" w:hAnsi="仿宋" w:eastAsia="仿宋" w:cs="仿宋"/>
          <w:b w:val="0"/>
          <w:bCs w:val="0"/>
          <w:color w:val="auto"/>
          <w:kern w:val="2"/>
          <w:sz w:val="24"/>
          <w:szCs w:val="24"/>
          <w:highlight w:val="none"/>
        </w:rPr>
        <w:t>行业；制造商为</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（企业名称）</w:t>
      </w:r>
      <w:r>
        <w:rPr>
          <w:rFonts w:hint="eastAsia" w:ascii="仿宋" w:hAnsi="仿宋" w:eastAsia="仿宋" w:cs="仿宋"/>
          <w:b w:val="0"/>
          <w:bCs w:val="0"/>
          <w:color w:val="auto"/>
          <w:kern w:val="2"/>
          <w:sz w:val="24"/>
          <w:szCs w:val="24"/>
          <w:highlight w:val="none"/>
        </w:rPr>
        <w:t>，从业人员</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rPr>
        <w:tab/>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rPr>
        <w:t>人，营业收入为</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ab/>
      </w:r>
      <w:r>
        <w:rPr>
          <w:rFonts w:hint="eastAsia" w:ascii="仿宋" w:hAnsi="仿宋" w:eastAsia="仿宋" w:cs="仿宋"/>
          <w:b w:val="0"/>
          <w:bCs w:val="0"/>
          <w:color w:val="auto"/>
          <w:kern w:val="2"/>
          <w:sz w:val="24"/>
          <w:szCs w:val="24"/>
          <w:highlight w:val="none"/>
        </w:rPr>
        <w:t>万元，资产总额为</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rPr>
        <w:t>万元，属于</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（中型企业、小型企业、微型企业）</w:t>
      </w:r>
      <w:r>
        <w:rPr>
          <w:rFonts w:hint="eastAsia" w:ascii="仿宋" w:hAnsi="仿宋" w:eastAsia="仿宋" w:cs="仿宋"/>
          <w:b w:val="0"/>
          <w:bCs w:val="0"/>
          <w:color w:val="auto"/>
          <w:kern w:val="2"/>
          <w:sz w:val="24"/>
          <w:szCs w:val="24"/>
          <w:highlight w:val="none"/>
        </w:rPr>
        <w:t>；</w:t>
      </w:r>
    </w:p>
    <w:p w14:paraId="3B09CE09">
      <w:pPr>
        <w:pStyle w:val="15"/>
        <w:keepNext w:val="0"/>
        <w:keepLines w:val="0"/>
        <w:pageBreakBefore w:val="0"/>
        <w:widowControl w:val="0"/>
        <w:numPr>
          <w:ilvl w:val="0"/>
          <w:numId w:val="4"/>
        </w:numPr>
        <w:shd w:val="clear"/>
        <w:kinsoku/>
        <w:wordWrap/>
        <w:overflowPunct/>
        <w:topLinePunct w:val="0"/>
        <w:autoSpaceDE/>
        <w:autoSpaceDN/>
        <w:bidi w:val="0"/>
        <w:adjustRightInd/>
        <w:snapToGrid/>
        <w:spacing w:before="2" w:line="480" w:lineRule="exact"/>
        <w:ind w:left="0" w:firstLine="480" w:firstLineChars="200"/>
        <w:jc w:val="left"/>
        <w:textAlignment w:val="auto"/>
        <w:outlineLvl w:val="9"/>
        <w:rPr>
          <w:rFonts w:hint="eastAsia" w:ascii="仿宋" w:hAnsi="仿宋" w:eastAsia="仿宋" w:cs="仿宋"/>
          <w:b w:val="0"/>
          <w:bCs w:val="0"/>
          <w:color w:val="auto"/>
          <w:kern w:val="2"/>
          <w:sz w:val="24"/>
          <w:szCs w:val="24"/>
          <w:highlight w:val="none"/>
        </w:rPr>
      </w:pP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lang w:val="zh-CN" w:eastAsia="zh-CN"/>
        </w:rPr>
        <w:t>（标的名称）</w:t>
      </w:r>
      <w:r>
        <w:rPr>
          <w:rFonts w:hint="eastAsia" w:ascii="仿宋" w:hAnsi="仿宋" w:eastAsia="仿宋" w:cs="仿宋"/>
          <w:b w:val="0"/>
          <w:bCs w:val="0"/>
          <w:color w:val="auto"/>
          <w:kern w:val="2"/>
          <w:sz w:val="24"/>
          <w:szCs w:val="24"/>
          <w:highlight w:val="none"/>
        </w:rPr>
        <w:t>，属 于</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0"/>
          <w:sz w:val="24"/>
          <w:szCs w:val="24"/>
          <w:highlight w:val="none"/>
          <w:u w:val="single"/>
        </w:rPr>
        <w:t>（采购文件中明确的所属行业）</w:t>
      </w:r>
      <w:r>
        <w:rPr>
          <w:rFonts w:hint="eastAsia" w:ascii="仿宋" w:hAnsi="仿宋" w:eastAsia="仿宋" w:cs="仿宋"/>
          <w:b w:val="0"/>
          <w:bCs w:val="0"/>
          <w:color w:val="auto"/>
          <w:kern w:val="2"/>
          <w:sz w:val="24"/>
          <w:szCs w:val="24"/>
          <w:highlight w:val="none"/>
        </w:rPr>
        <w:t>行业；制造商为</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（企业名称）</w:t>
      </w:r>
      <w:r>
        <w:rPr>
          <w:rFonts w:hint="eastAsia" w:ascii="仿宋" w:hAnsi="仿宋" w:eastAsia="仿宋" w:cs="仿宋"/>
          <w:b w:val="0"/>
          <w:bCs w:val="0"/>
          <w:color w:val="auto"/>
          <w:kern w:val="2"/>
          <w:sz w:val="24"/>
          <w:szCs w:val="24"/>
          <w:highlight w:val="none"/>
        </w:rPr>
        <w:t>，从业人员</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rPr>
        <w:tab/>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rPr>
        <w:t>人，营业收入为</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ab/>
      </w:r>
      <w:r>
        <w:rPr>
          <w:rFonts w:hint="eastAsia" w:ascii="仿宋" w:hAnsi="仿宋" w:eastAsia="仿宋" w:cs="仿宋"/>
          <w:b w:val="0"/>
          <w:bCs w:val="0"/>
          <w:color w:val="auto"/>
          <w:kern w:val="2"/>
          <w:sz w:val="24"/>
          <w:szCs w:val="24"/>
          <w:highlight w:val="none"/>
        </w:rPr>
        <w:t>万元，资产总额为</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rPr>
        <w:t>万元，属于</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（中型企业、小型企业、微型企业）</w:t>
      </w:r>
      <w:r>
        <w:rPr>
          <w:rFonts w:hint="eastAsia" w:ascii="仿宋" w:hAnsi="仿宋" w:eastAsia="仿宋" w:cs="仿宋"/>
          <w:b w:val="0"/>
          <w:bCs w:val="0"/>
          <w:color w:val="auto"/>
          <w:kern w:val="2"/>
          <w:sz w:val="24"/>
          <w:szCs w:val="24"/>
          <w:highlight w:val="none"/>
        </w:rPr>
        <w:t>；</w:t>
      </w:r>
    </w:p>
    <w:p w14:paraId="4BE4B34A">
      <w:pPr>
        <w:pStyle w:val="15"/>
        <w:keepNext w:val="0"/>
        <w:keepLines w:val="0"/>
        <w:pageBreakBefore w:val="0"/>
        <w:widowControl w:val="0"/>
        <w:numPr>
          <w:ilvl w:val="0"/>
          <w:numId w:val="0"/>
        </w:numPr>
        <w:shd w:val="clear"/>
        <w:kinsoku/>
        <w:wordWrap/>
        <w:overflowPunct/>
        <w:topLinePunct w:val="0"/>
        <w:autoSpaceDE/>
        <w:autoSpaceDN/>
        <w:bidi w:val="0"/>
        <w:adjustRightInd/>
        <w:snapToGrid/>
        <w:spacing w:before="2" w:line="480" w:lineRule="exact"/>
        <w:ind w:left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p>
    <w:p w14:paraId="3ECBA24B">
      <w:pPr>
        <w:pStyle w:val="15"/>
        <w:keepNext w:val="0"/>
        <w:keepLines w:val="0"/>
        <w:pageBreakBefore w:val="0"/>
        <w:widowControl w:val="0"/>
        <w:numPr>
          <w:ilvl w:val="0"/>
          <w:numId w:val="0"/>
        </w:numPr>
        <w:shd w:val="clear"/>
        <w:kinsoku/>
        <w:wordWrap/>
        <w:overflowPunct/>
        <w:topLinePunct w:val="0"/>
        <w:autoSpaceDE/>
        <w:autoSpaceDN/>
        <w:bidi w:val="0"/>
        <w:adjustRightInd/>
        <w:snapToGrid/>
        <w:spacing w:before="2" w:line="480" w:lineRule="exact"/>
        <w:ind w:left="0" w:leftChars="0" w:firstLine="480" w:firstLineChars="200"/>
        <w:jc w:val="left"/>
        <w:textAlignment w:val="auto"/>
        <w:outlineLvl w:val="9"/>
        <w:rPr>
          <w:rFonts w:hint="eastAsia" w:ascii="仿宋" w:hAnsi="仿宋" w:eastAsia="仿宋" w:cs="仿宋"/>
          <w:b w:val="0"/>
          <w:bCs w:val="0"/>
          <w:color w:val="auto"/>
          <w:kern w:val="0"/>
          <w:sz w:val="24"/>
          <w:szCs w:val="24"/>
          <w:highlight w:val="none"/>
          <w:u w:val="none"/>
        </w:rPr>
      </w:pPr>
      <w:r>
        <w:rPr>
          <w:rFonts w:hint="eastAsia" w:ascii="仿宋" w:hAnsi="仿宋" w:eastAsia="仿宋" w:cs="仿宋"/>
          <w:b w:val="0"/>
          <w:bCs w:val="0"/>
          <w:color w:val="auto"/>
          <w:kern w:val="0"/>
          <w:sz w:val="24"/>
          <w:szCs w:val="24"/>
          <w:highlight w:val="none"/>
          <w:u w:val="none"/>
        </w:rPr>
        <w:t>以上企业，不属于大企业的分支机构，不存在控股股东为大企业的情形，也不存在与大企业的负责人为同一人的情形。</w:t>
      </w:r>
    </w:p>
    <w:p w14:paraId="3E820051">
      <w:pPr>
        <w:pStyle w:val="15"/>
        <w:keepNext w:val="0"/>
        <w:keepLines w:val="0"/>
        <w:pageBreakBefore w:val="0"/>
        <w:widowControl w:val="0"/>
        <w:numPr>
          <w:ilvl w:val="0"/>
          <w:numId w:val="0"/>
        </w:numPr>
        <w:shd w:val="clear"/>
        <w:kinsoku/>
        <w:wordWrap/>
        <w:overflowPunct/>
        <w:topLinePunct w:val="0"/>
        <w:autoSpaceDE/>
        <w:autoSpaceDN/>
        <w:bidi w:val="0"/>
        <w:adjustRightInd/>
        <w:snapToGrid/>
        <w:spacing w:before="2" w:line="480" w:lineRule="exact"/>
        <w:ind w:leftChars="200"/>
        <w:jc w:val="left"/>
        <w:textAlignment w:val="auto"/>
        <w:outlineLvl w:val="9"/>
        <w:rPr>
          <w:rFonts w:hint="eastAsia" w:ascii="仿宋" w:hAnsi="仿宋" w:eastAsia="仿宋" w:cs="仿宋"/>
          <w:b w:val="0"/>
          <w:bCs w:val="0"/>
          <w:color w:val="auto"/>
          <w:kern w:val="0"/>
          <w:sz w:val="24"/>
          <w:szCs w:val="24"/>
          <w:highlight w:val="none"/>
          <w:u w:val="none"/>
        </w:rPr>
      </w:pPr>
      <w:r>
        <w:rPr>
          <w:rFonts w:hint="eastAsia" w:ascii="仿宋" w:hAnsi="仿宋" w:eastAsia="仿宋" w:cs="仿宋"/>
          <w:b w:val="0"/>
          <w:bCs w:val="0"/>
          <w:color w:val="auto"/>
          <w:kern w:val="0"/>
          <w:sz w:val="24"/>
          <w:szCs w:val="24"/>
          <w:highlight w:val="none"/>
          <w:u w:val="none"/>
        </w:rPr>
        <w:t>本企业对上述声明内容的真实性负责。如有虚假，将依法承担相应责任。</w:t>
      </w:r>
    </w:p>
    <w:p w14:paraId="300DC56D">
      <w:pPr>
        <w:pStyle w:val="113"/>
        <w:keepNext w:val="0"/>
        <w:keepLines w:val="0"/>
        <w:pageBreakBefore w:val="0"/>
        <w:widowControl w:val="0"/>
        <w:shd w:val="clear"/>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auto"/>
          <w:sz w:val="24"/>
          <w:szCs w:val="24"/>
          <w:highlight w:val="none"/>
        </w:rPr>
      </w:pPr>
    </w:p>
    <w:p w14:paraId="63AB17D4">
      <w:pPr>
        <w:pStyle w:val="113"/>
        <w:keepNext w:val="0"/>
        <w:keepLines w:val="0"/>
        <w:pageBreakBefore w:val="0"/>
        <w:widowControl w:val="0"/>
        <w:shd w:val="clear"/>
        <w:kinsoku/>
        <w:wordWrap/>
        <w:overflowPunct/>
        <w:topLinePunct w:val="0"/>
        <w:autoSpaceDE/>
        <w:autoSpaceDN/>
        <w:bidi w:val="0"/>
        <w:adjustRightInd/>
        <w:snapToGrid/>
        <w:spacing w:line="480" w:lineRule="exact"/>
        <w:ind w:firstLine="4560" w:firstLineChars="1900"/>
        <w:jc w:val="left"/>
        <w:textAlignment w:val="auto"/>
        <w:outlineLvl w:val="9"/>
        <w:rPr>
          <w:rFonts w:hint="eastAsia" w:ascii="仿宋" w:hAnsi="仿宋" w:eastAsia="仿宋" w:cs="仿宋"/>
          <w:b w:val="0"/>
          <w:bCs w:val="0"/>
          <w:color w:val="auto"/>
          <w:kern w:val="0"/>
          <w:sz w:val="24"/>
          <w:szCs w:val="24"/>
          <w:highlight w:val="none"/>
          <w:u w:val="none"/>
          <w:lang w:val="en-US" w:eastAsia="zh-CN" w:bidi="ar-SA"/>
        </w:rPr>
      </w:pPr>
      <w:r>
        <w:rPr>
          <w:rFonts w:hint="eastAsia" w:ascii="仿宋" w:hAnsi="仿宋" w:eastAsia="仿宋" w:cs="仿宋"/>
          <w:b w:val="0"/>
          <w:bCs w:val="0"/>
          <w:color w:val="auto"/>
          <w:kern w:val="0"/>
          <w:sz w:val="24"/>
          <w:szCs w:val="24"/>
          <w:highlight w:val="none"/>
          <w:u w:val="none"/>
          <w:lang w:val="en-US" w:eastAsia="zh-CN" w:bidi="ar-SA"/>
        </w:rPr>
        <w:t>企业名称（盖章）：</w:t>
      </w:r>
    </w:p>
    <w:p w14:paraId="04AE2290">
      <w:pPr>
        <w:pStyle w:val="113"/>
        <w:keepNext w:val="0"/>
        <w:keepLines w:val="0"/>
        <w:pageBreakBefore w:val="0"/>
        <w:widowControl w:val="0"/>
        <w:shd w:val="clear"/>
        <w:kinsoku/>
        <w:wordWrap/>
        <w:overflowPunct/>
        <w:topLinePunct w:val="0"/>
        <w:autoSpaceDE/>
        <w:autoSpaceDN/>
        <w:bidi w:val="0"/>
        <w:adjustRightInd/>
        <w:snapToGrid/>
        <w:spacing w:line="480" w:lineRule="exact"/>
        <w:ind w:firstLine="4560" w:firstLineChars="1900"/>
        <w:jc w:val="left"/>
        <w:textAlignment w:val="auto"/>
        <w:outlineLvl w:val="9"/>
        <w:rPr>
          <w:rFonts w:hint="eastAsia" w:ascii="仿宋" w:hAnsi="仿宋" w:eastAsia="仿宋" w:cs="仿宋"/>
          <w:b w:val="0"/>
          <w:bCs w:val="0"/>
          <w:color w:val="auto"/>
          <w:kern w:val="0"/>
          <w:sz w:val="24"/>
          <w:szCs w:val="24"/>
          <w:highlight w:val="none"/>
          <w:u w:val="none"/>
          <w:lang w:val="en-US" w:eastAsia="zh-CN" w:bidi="ar-SA"/>
        </w:rPr>
      </w:pPr>
      <w:r>
        <w:rPr>
          <w:rFonts w:hint="eastAsia" w:ascii="仿宋" w:hAnsi="仿宋" w:eastAsia="仿宋" w:cs="仿宋"/>
          <w:b w:val="0"/>
          <w:bCs w:val="0"/>
          <w:color w:val="auto"/>
          <w:kern w:val="0"/>
          <w:sz w:val="24"/>
          <w:szCs w:val="24"/>
          <w:highlight w:val="none"/>
          <w:u w:val="none"/>
          <w:lang w:val="en-US" w:eastAsia="zh-CN" w:bidi="ar-SA"/>
        </w:rPr>
        <w:t>日期：</w:t>
      </w:r>
    </w:p>
    <w:p w14:paraId="212C2C81">
      <w:pPr>
        <w:pStyle w:val="113"/>
        <w:keepNext w:val="0"/>
        <w:keepLines w:val="0"/>
        <w:pageBreakBefore w:val="0"/>
        <w:widowControl w:val="0"/>
        <w:shd w:val="clear"/>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auto"/>
          <w:sz w:val="24"/>
          <w:szCs w:val="24"/>
          <w:highlight w:val="none"/>
        </w:rPr>
      </w:pPr>
    </w:p>
    <w:p w14:paraId="13CFB93E">
      <w:pPr>
        <w:pStyle w:val="113"/>
        <w:keepNext w:val="0"/>
        <w:keepLines w:val="0"/>
        <w:pageBreakBefore w:val="0"/>
        <w:widowControl w:val="0"/>
        <w:shd w:val="clear"/>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备注：</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pacing w:val="-8"/>
          <w:sz w:val="21"/>
          <w:szCs w:val="21"/>
          <w:highlight w:val="none"/>
        </w:rPr>
        <w:t>中小企业参加政府采购活动，应当按照</w:t>
      </w:r>
      <w:r>
        <w:rPr>
          <w:rFonts w:hint="eastAsia" w:ascii="仿宋" w:hAnsi="仿宋" w:eastAsia="仿宋" w:cs="仿宋"/>
          <w:color w:val="auto"/>
          <w:spacing w:val="-8"/>
          <w:sz w:val="21"/>
          <w:szCs w:val="21"/>
          <w:highlight w:val="none"/>
          <w:lang w:eastAsia="zh-CN"/>
        </w:rPr>
        <w:t>《政府采购促进中小企业发展管理办法》（财库〔2020〕46号）</w:t>
      </w:r>
      <w:r>
        <w:rPr>
          <w:rFonts w:hint="eastAsia" w:ascii="仿宋" w:hAnsi="仿宋" w:eastAsia="仿宋" w:cs="仿宋"/>
          <w:color w:val="auto"/>
          <w:spacing w:val="-8"/>
          <w:sz w:val="21"/>
          <w:szCs w:val="21"/>
          <w:highlight w:val="none"/>
        </w:rPr>
        <w:t>规定和《中小企业划型标准规定》（工信部联企业〔2011〕300号），如实填写并</w:t>
      </w:r>
      <w:r>
        <w:rPr>
          <w:rFonts w:hint="eastAsia" w:ascii="仿宋" w:hAnsi="仿宋" w:eastAsia="仿宋" w:cs="仿宋"/>
          <w:color w:val="auto"/>
          <w:spacing w:val="-8"/>
          <w:sz w:val="21"/>
          <w:szCs w:val="21"/>
          <w:highlight w:val="none"/>
          <w:lang w:eastAsia="zh-CN"/>
        </w:rPr>
        <w:t>提交本</w:t>
      </w:r>
      <w:r>
        <w:rPr>
          <w:rFonts w:hint="eastAsia" w:ascii="仿宋" w:hAnsi="仿宋" w:eastAsia="仿宋" w:cs="仿宋"/>
          <w:color w:val="auto"/>
          <w:spacing w:val="-8"/>
          <w:sz w:val="21"/>
          <w:szCs w:val="21"/>
          <w:highlight w:val="none"/>
        </w:rPr>
        <w:t>《中小企</w:t>
      </w:r>
      <w:r>
        <w:rPr>
          <w:rFonts w:hint="eastAsia" w:ascii="仿宋" w:hAnsi="仿宋" w:eastAsia="仿宋" w:cs="仿宋"/>
          <w:color w:val="auto"/>
          <w:sz w:val="21"/>
          <w:szCs w:val="21"/>
          <w:highlight w:val="none"/>
        </w:rPr>
        <w:t>业声明函》</w:t>
      </w:r>
      <w:r>
        <w:rPr>
          <w:rFonts w:hint="eastAsia" w:ascii="仿宋" w:hAnsi="仿宋" w:eastAsia="仿宋" w:cs="仿宋"/>
          <w:color w:val="auto"/>
          <w:sz w:val="21"/>
          <w:szCs w:val="21"/>
          <w:highlight w:val="none"/>
          <w:lang w:eastAsia="zh-CN"/>
        </w:rPr>
        <w:t>。</w:t>
      </w:r>
    </w:p>
    <w:p w14:paraId="7B7412CC">
      <w:pPr>
        <w:pStyle w:val="15"/>
        <w:keepNext w:val="0"/>
        <w:keepLines w:val="0"/>
        <w:pageBreakBefore w:val="0"/>
        <w:widowControl/>
        <w:kinsoku/>
        <w:wordWrap/>
        <w:overflowPunct/>
        <w:topLinePunct w:val="0"/>
        <w:autoSpaceDE/>
        <w:autoSpaceDN/>
        <w:bidi w:val="0"/>
        <w:adjustRightInd/>
        <w:snapToGrid/>
        <w:spacing w:after="0" w:afterLines="0" w:line="240" w:lineRule="auto"/>
        <w:ind w:firstLine="420" w:firstLineChars="20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2、从业人员、营业收入、资产总额填报上一年度数据，无上一年度数据的新成立企业可不填报。</w:t>
      </w:r>
    </w:p>
    <w:p w14:paraId="7E7822D4">
      <w:pPr>
        <w:pStyle w:val="15"/>
        <w:keepNext w:val="0"/>
        <w:keepLines w:val="0"/>
        <w:pageBreakBefore w:val="0"/>
        <w:widowControl/>
        <w:kinsoku/>
        <w:wordWrap/>
        <w:overflowPunct/>
        <w:topLinePunct w:val="0"/>
        <w:autoSpaceDE/>
        <w:autoSpaceDN/>
        <w:bidi w:val="0"/>
        <w:adjustRightInd/>
        <w:snapToGrid/>
        <w:spacing w:after="0" w:afterLines="0" w:line="240" w:lineRule="auto"/>
        <w:ind w:firstLine="420" w:firstLineChars="200"/>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3、本项目采购标的所属行业为：</w:t>
      </w:r>
      <w:r>
        <w:rPr>
          <w:rFonts w:hint="eastAsia" w:ascii="仿宋" w:hAnsi="仿宋" w:eastAsia="仿宋" w:cs="仿宋"/>
          <w:b/>
          <w:bCs/>
          <w:color w:val="auto"/>
          <w:kern w:val="0"/>
          <w:sz w:val="21"/>
          <w:szCs w:val="21"/>
          <w:highlight w:val="none"/>
          <w:lang w:val="en-US" w:eastAsia="zh-CN" w:bidi="ar-SA"/>
        </w:rPr>
        <w:t>工业</w:t>
      </w:r>
      <w:r>
        <w:rPr>
          <w:rFonts w:hint="eastAsia" w:ascii="仿宋" w:hAnsi="仿宋" w:eastAsia="仿宋" w:cs="仿宋"/>
          <w:color w:val="auto"/>
          <w:kern w:val="0"/>
          <w:sz w:val="21"/>
          <w:szCs w:val="21"/>
          <w:highlight w:val="none"/>
          <w:lang w:val="en-US" w:eastAsia="zh-CN" w:bidi="ar-SA"/>
        </w:rPr>
        <w:t>，供应商应逐条声明产品的制造商。</w:t>
      </w:r>
    </w:p>
    <w:p w14:paraId="31542269">
      <w:pP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br w:type="page"/>
      </w:r>
    </w:p>
    <w:p w14:paraId="385361AB">
      <w:pPr>
        <w:keepNext w:val="0"/>
        <w:keepLines w:val="0"/>
        <w:pageBreakBefore w:val="0"/>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注：1、</w:t>
      </w:r>
      <w:r>
        <w:rPr>
          <w:rFonts w:hint="eastAsia" w:ascii="仿宋" w:hAnsi="仿宋" w:eastAsia="仿宋" w:cs="仿宋"/>
          <w:b/>
          <w:bCs/>
          <w:color w:val="auto"/>
          <w:sz w:val="24"/>
          <w:szCs w:val="24"/>
          <w:highlight w:val="none"/>
          <w:lang w:val="en-US" w:eastAsia="zh-CN"/>
        </w:rPr>
        <w:t>投标人认为其为小型或微型企业的应提交本声明函</w:t>
      </w:r>
      <w:r>
        <w:rPr>
          <w:rFonts w:hint="eastAsia" w:ascii="仿宋" w:hAnsi="仿宋" w:eastAsia="仿宋" w:cs="仿宋"/>
          <w:b/>
          <w:bCs/>
          <w:color w:val="auto"/>
          <w:sz w:val="24"/>
          <w:szCs w:val="24"/>
          <w:highlight w:val="none"/>
        </w:rPr>
        <w:t>。如有虚假，将依法承担相应责任。根据《中华人民共和国政府采购法》第七十七条及《陕西省政府采购领域供应商违法失信“黑名单”信息共享和联合惩戒实施办法》陕财办采〔2018〕11号 第四条的相关规定： 供应商“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纳入黑名单系统。</w:t>
      </w:r>
    </w:p>
    <w:p w14:paraId="60DCB9CC">
      <w:pPr>
        <w:pStyle w:val="30"/>
        <w:keepNext w:val="0"/>
        <w:keepLines w:val="0"/>
        <w:pageBreakBefore w:val="0"/>
        <w:kinsoku/>
        <w:wordWrap/>
        <w:overflowPunct/>
        <w:topLinePunct w:val="0"/>
        <w:autoSpaceDE/>
        <w:autoSpaceDN/>
        <w:bidi w:val="0"/>
        <w:spacing w:after="0" w:afterLines="0" w:line="360" w:lineRule="auto"/>
        <w:ind w:left="0" w:leftChars="0"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填写前请认真阅读工业和信息化部、国家统计局、国家发展和改革委员会、财政部关于印发中小企业划分标准规定的通知（工信部联企业﹝2011﹞300号）和《关于印发&lt;政府采购促进中小企业发展管理办法&gt;的通知》（财库(2020〕46号）相关规定。</w:t>
      </w:r>
    </w:p>
    <w:p w14:paraId="3DC73F8A">
      <w:pPr>
        <w:keepNext w:val="0"/>
        <w:keepLines w:val="0"/>
        <w:pageBreakBefore w:val="0"/>
        <w:widowControl w:val="0"/>
        <w:tabs>
          <w:tab w:val="left" w:pos="1620"/>
          <w:tab w:val="left" w:pos="1800"/>
        </w:tabs>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 3、从业人员、营业收入，资产总额填报上一年度数据，无上一年度数据的新成立企业可不填报。</w:t>
      </w:r>
    </w:p>
    <w:p w14:paraId="6E14633D">
      <w:pPr>
        <w:pStyle w:val="31"/>
        <w:keepNext w:val="0"/>
        <w:keepLines w:val="0"/>
        <w:pageBreakBefore w:val="0"/>
        <w:kinsoku/>
        <w:wordWrap/>
        <w:overflowPunct/>
        <w:topLinePunct w:val="0"/>
        <w:autoSpaceDE/>
        <w:autoSpaceDN/>
        <w:bidi w:val="0"/>
        <w:spacing w:after="0" w:line="360" w:lineRule="auto"/>
        <w:ind w:left="0" w:leftChars="0"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非</w:t>
      </w:r>
      <w:r>
        <w:rPr>
          <w:rFonts w:hint="eastAsia" w:ascii="仿宋" w:hAnsi="仿宋" w:eastAsia="仿宋" w:cs="仿宋"/>
          <w:b/>
          <w:bCs/>
          <w:color w:val="auto"/>
          <w:sz w:val="24"/>
          <w:szCs w:val="24"/>
          <w:highlight w:val="none"/>
          <w:lang w:eastAsia="zh-CN"/>
        </w:rPr>
        <w:t>小微企业</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eastAsia="zh-CN"/>
        </w:rPr>
        <w:t>投标</w:t>
      </w:r>
      <w:r>
        <w:rPr>
          <w:rFonts w:hint="eastAsia" w:ascii="仿宋" w:hAnsi="仿宋" w:eastAsia="仿宋" w:cs="仿宋"/>
          <w:b/>
          <w:bCs/>
          <w:color w:val="auto"/>
          <w:sz w:val="24"/>
          <w:szCs w:val="24"/>
          <w:highlight w:val="none"/>
        </w:rPr>
        <w:t>文件可不提供此页内容。</w:t>
      </w:r>
    </w:p>
    <w:p w14:paraId="6F0A930A">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r>
    </w:p>
    <w:p w14:paraId="67FEFEC8">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eastAsia="zh-CN"/>
        </w:rPr>
        <w:t>三</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val="zh-CN"/>
        </w:rPr>
        <w:t>残疾人福利性单位声明函（非</w:t>
      </w:r>
      <w:r>
        <w:rPr>
          <w:rFonts w:hint="eastAsia" w:ascii="仿宋" w:hAnsi="仿宋" w:eastAsia="仿宋" w:cs="仿宋"/>
          <w:b/>
          <w:bCs/>
          <w:color w:val="auto"/>
          <w:sz w:val="28"/>
          <w:szCs w:val="28"/>
          <w:highlight w:val="none"/>
        </w:rPr>
        <w:t>残疾人福利企业</w:t>
      </w:r>
      <w:r>
        <w:rPr>
          <w:rFonts w:hint="eastAsia" w:ascii="仿宋" w:hAnsi="仿宋" w:eastAsia="仿宋" w:cs="仿宋"/>
          <w:b/>
          <w:bCs/>
          <w:color w:val="auto"/>
          <w:sz w:val="28"/>
          <w:szCs w:val="28"/>
          <w:highlight w:val="none"/>
          <w:lang w:val="zh-CN"/>
        </w:rPr>
        <w:t>不</w:t>
      </w:r>
      <w:r>
        <w:rPr>
          <w:rFonts w:hint="eastAsia" w:ascii="仿宋" w:hAnsi="仿宋" w:eastAsia="仿宋" w:cs="仿宋"/>
          <w:b/>
          <w:bCs/>
          <w:color w:val="auto"/>
          <w:sz w:val="28"/>
          <w:szCs w:val="28"/>
          <w:highlight w:val="none"/>
        </w:rPr>
        <w:t>填写</w:t>
      </w:r>
      <w:r>
        <w:rPr>
          <w:rFonts w:hint="eastAsia" w:ascii="仿宋" w:hAnsi="仿宋" w:eastAsia="仿宋" w:cs="仿宋"/>
          <w:b/>
          <w:bCs/>
          <w:color w:val="auto"/>
          <w:sz w:val="28"/>
          <w:szCs w:val="28"/>
          <w:highlight w:val="none"/>
          <w:lang w:val="zh-CN"/>
        </w:rPr>
        <w:t>）</w:t>
      </w:r>
    </w:p>
    <w:p w14:paraId="66FFD8E9">
      <w:pPr>
        <w:spacing w:line="360" w:lineRule="auto"/>
        <w:ind w:firstLine="560" w:firstLineChars="200"/>
        <w:jc w:val="left"/>
        <w:rPr>
          <w:rFonts w:hint="eastAsia" w:ascii="仿宋" w:hAnsi="仿宋" w:eastAsia="仿宋" w:cs="仿宋"/>
          <w:b/>
          <w:color w:val="auto"/>
          <w:kern w:val="0"/>
          <w:sz w:val="28"/>
          <w:szCs w:val="28"/>
          <w:highlight w:val="none"/>
          <w:shd w:val="clear" w:color="auto" w:fill="FFFFFF"/>
          <w:lang w:bidi="ar"/>
        </w:rPr>
      </w:pPr>
    </w:p>
    <w:p w14:paraId="3643DE6A">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shd w:val="clear" w:color="auto" w:fill="FFFFFF"/>
          <w:lang w:bidi="ar"/>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w:t>
      </w:r>
      <w:r>
        <w:rPr>
          <w:rFonts w:hint="eastAsia" w:ascii="仿宋" w:hAnsi="仿宋" w:eastAsia="仿宋" w:cs="仿宋"/>
          <w:color w:val="auto"/>
          <w:sz w:val="28"/>
          <w:szCs w:val="28"/>
          <w:highlight w:val="none"/>
        </w:rPr>
        <w:t>单位</w:t>
      </w:r>
      <w:r>
        <w:rPr>
          <w:rFonts w:hint="eastAsia" w:ascii="仿宋" w:hAnsi="仿宋" w:eastAsia="仿宋" w:cs="仿宋"/>
          <w:color w:val="auto"/>
          <w:kern w:val="0"/>
          <w:sz w:val="28"/>
          <w:szCs w:val="28"/>
          <w:highlight w:val="none"/>
          <w:shd w:val="clear" w:color="auto" w:fill="FFFFFF"/>
          <w:lang w:bidi="ar"/>
        </w:rPr>
        <w:t>制造的货物（不包括使用非残疾人福利性单位注册商标的货物）。</w:t>
      </w:r>
    </w:p>
    <w:p w14:paraId="697EC76A">
      <w:pPr>
        <w:spacing w:line="360" w:lineRule="auto"/>
        <w:ind w:firstLine="560" w:firstLineChars="200"/>
        <w:jc w:val="left"/>
        <w:rPr>
          <w:rFonts w:hint="eastAsia" w:ascii="仿宋" w:hAnsi="仿宋" w:eastAsia="仿宋" w:cs="仿宋"/>
          <w:color w:val="auto"/>
          <w:kern w:val="0"/>
          <w:sz w:val="28"/>
          <w:szCs w:val="28"/>
          <w:highlight w:val="none"/>
          <w:shd w:val="clear" w:color="auto" w:fill="FFFFFF"/>
          <w:lang w:bidi="ar"/>
        </w:rPr>
      </w:pPr>
      <w:r>
        <w:rPr>
          <w:rFonts w:hint="eastAsia" w:ascii="仿宋" w:hAnsi="仿宋" w:eastAsia="仿宋" w:cs="仿宋"/>
          <w:color w:val="auto"/>
          <w:kern w:val="0"/>
          <w:sz w:val="28"/>
          <w:szCs w:val="28"/>
          <w:highlight w:val="none"/>
          <w:shd w:val="clear" w:color="auto" w:fill="FFFFFF"/>
          <w:lang w:bidi="ar"/>
        </w:rPr>
        <w:t>本单位对上述声明的真实性负责。如有虚假，将依法承担相应责任。</w:t>
      </w:r>
    </w:p>
    <w:p w14:paraId="7F6D1760">
      <w:pPr>
        <w:pStyle w:val="30"/>
        <w:spacing w:line="360" w:lineRule="auto"/>
        <w:ind w:firstLine="210"/>
        <w:rPr>
          <w:rFonts w:hint="eastAsia" w:ascii="仿宋" w:hAnsi="仿宋" w:eastAsia="仿宋" w:cs="仿宋"/>
          <w:color w:val="auto"/>
          <w:sz w:val="28"/>
          <w:szCs w:val="28"/>
          <w:highlight w:val="none"/>
        </w:rPr>
      </w:pPr>
    </w:p>
    <w:p w14:paraId="248DBA35">
      <w:pPr>
        <w:pStyle w:val="30"/>
        <w:spacing w:line="360" w:lineRule="auto"/>
        <w:ind w:firstLine="210"/>
        <w:rPr>
          <w:rFonts w:hint="eastAsia" w:ascii="仿宋" w:hAnsi="仿宋" w:eastAsia="仿宋" w:cs="仿宋"/>
          <w:color w:val="auto"/>
          <w:sz w:val="28"/>
          <w:szCs w:val="28"/>
          <w:highlight w:val="none"/>
        </w:rPr>
      </w:pPr>
    </w:p>
    <w:p w14:paraId="3F2C69DF">
      <w:pPr>
        <w:spacing w:line="360" w:lineRule="auto"/>
        <w:ind w:firstLine="560" w:firstLineChars="200"/>
        <w:jc w:val="left"/>
        <w:rPr>
          <w:rFonts w:hint="eastAsia" w:ascii="仿宋" w:hAnsi="仿宋" w:eastAsia="仿宋" w:cs="仿宋"/>
          <w:color w:val="auto"/>
          <w:kern w:val="0"/>
          <w:sz w:val="28"/>
          <w:szCs w:val="28"/>
          <w:highlight w:val="none"/>
          <w:shd w:val="clear" w:color="auto" w:fill="FFFFFF"/>
          <w:lang w:bidi="ar"/>
        </w:rPr>
      </w:pPr>
      <w:r>
        <w:rPr>
          <w:rFonts w:hint="eastAsia" w:ascii="仿宋" w:hAnsi="仿宋" w:eastAsia="仿宋" w:cs="仿宋"/>
          <w:color w:val="auto"/>
          <w:kern w:val="0"/>
          <w:sz w:val="28"/>
          <w:szCs w:val="28"/>
          <w:highlight w:val="none"/>
          <w:shd w:val="clear" w:color="auto" w:fill="FFFFFF"/>
          <w:lang w:bidi="ar"/>
        </w:rPr>
        <w:t xml:space="preserve">         </w:t>
      </w:r>
      <w:r>
        <w:rPr>
          <w:rFonts w:hint="eastAsia" w:ascii="仿宋" w:hAnsi="仿宋" w:eastAsia="仿宋" w:cs="仿宋"/>
          <w:color w:val="auto"/>
          <w:kern w:val="0"/>
          <w:sz w:val="28"/>
          <w:szCs w:val="28"/>
          <w:highlight w:val="none"/>
          <w:shd w:val="clear" w:color="auto" w:fill="FFFFFF"/>
          <w:lang w:val="en-US" w:eastAsia="zh-CN" w:bidi="ar"/>
        </w:rPr>
        <w:t xml:space="preserve">                      </w:t>
      </w:r>
      <w:r>
        <w:rPr>
          <w:rFonts w:hint="eastAsia" w:ascii="仿宋" w:hAnsi="仿宋" w:eastAsia="仿宋" w:cs="仿宋"/>
          <w:color w:val="auto"/>
          <w:kern w:val="0"/>
          <w:sz w:val="28"/>
          <w:szCs w:val="28"/>
          <w:highlight w:val="none"/>
          <w:shd w:val="clear" w:color="auto" w:fill="FFFFFF"/>
          <w:lang w:bidi="ar"/>
        </w:rPr>
        <w:t xml:space="preserve"> 单位名称（盖章）：</w:t>
      </w:r>
    </w:p>
    <w:p w14:paraId="5A1AE80C">
      <w:pPr>
        <w:spacing w:line="360" w:lineRule="auto"/>
        <w:ind w:firstLine="4480" w:firstLineChars="1600"/>
        <w:jc w:val="left"/>
        <w:rPr>
          <w:rFonts w:hint="eastAsia" w:ascii="仿宋" w:hAnsi="仿宋" w:eastAsia="仿宋" w:cs="仿宋"/>
          <w:color w:val="auto"/>
          <w:sz w:val="28"/>
          <w:szCs w:val="28"/>
          <w:highlight w:val="none"/>
          <w:u w:val="single"/>
        </w:rPr>
      </w:pPr>
      <w:r>
        <w:rPr>
          <w:rFonts w:hint="eastAsia" w:ascii="仿宋" w:hAnsi="仿宋" w:eastAsia="仿宋" w:cs="仿宋"/>
          <w:color w:val="auto"/>
          <w:kern w:val="0"/>
          <w:sz w:val="28"/>
          <w:szCs w:val="28"/>
          <w:highlight w:val="none"/>
          <w:shd w:val="clear" w:color="auto" w:fill="FFFFFF"/>
          <w:lang w:bidi="ar"/>
        </w:rPr>
        <w:t xml:space="preserve">  </w:t>
      </w:r>
      <w:r>
        <w:rPr>
          <w:rFonts w:hint="eastAsia" w:ascii="仿宋" w:hAnsi="仿宋" w:eastAsia="仿宋" w:cs="仿宋"/>
          <w:color w:val="auto"/>
          <w:kern w:val="0"/>
          <w:sz w:val="28"/>
          <w:szCs w:val="28"/>
          <w:highlight w:val="none"/>
          <w:shd w:val="clear" w:color="auto" w:fill="FFFFFF"/>
          <w:lang w:val="en-US" w:eastAsia="zh-CN" w:bidi="ar"/>
        </w:rPr>
        <w:t xml:space="preserve">  </w:t>
      </w:r>
      <w:r>
        <w:rPr>
          <w:rFonts w:hint="eastAsia" w:ascii="仿宋" w:hAnsi="仿宋" w:eastAsia="仿宋" w:cs="仿宋"/>
          <w:color w:val="auto"/>
          <w:kern w:val="0"/>
          <w:sz w:val="28"/>
          <w:szCs w:val="28"/>
          <w:highlight w:val="none"/>
          <w:shd w:val="clear" w:color="auto" w:fill="FFFFFF"/>
          <w:lang w:bidi="ar"/>
        </w:rPr>
        <w:t xml:space="preserve">日 </w:t>
      </w:r>
      <w:r>
        <w:rPr>
          <w:rFonts w:hint="eastAsia" w:ascii="仿宋" w:hAnsi="仿宋" w:eastAsia="仿宋" w:cs="仿宋"/>
          <w:color w:val="auto"/>
          <w:kern w:val="0"/>
          <w:sz w:val="28"/>
          <w:szCs w:val="28"/>
          <w:highlight w:val="none"/>
          <w:shd w:val="clear" w:color="auto" w:fill="FFFFFF"/>
          <w:lang w:val="en-US" w:eastAsia="zh-CN" w:bidi="ar"/>
        </w:rPr>
        <w:t xml:space="preserve">  </w:t>
      </w:r>
      <w:r>
        <w:rPr>
          <w:rFonts w:hint="eastAsia" w:ascii="仿宋" w:hAnsi="仿宋" w:eastAsia="仿宋" w:cs="仿宋"/>
          <w:color w:val="auto"/>
          <w:kern w:val="0"/>
          <w:sz w:val="28"/>
          <w:szCs w:val="28"/>
          <w:highlight w:val="none"/>
          <w:shd w:val="clear" w:color="auto" w:fill="FFFFFF"/>
          <w:lang w:bidi="ar"/>
        </w:rPr>
        <w:t xml:space="preserve"> 期：</w:t>
      </w:r>
    </w:p>
    <w:p w14:paraId="1420D531">
      <w:pPr>
        <w:tabs>
          <w:tab w:val="left" w:pos="4860"/>
        </w:tabs>
        <w:spacing w:line="360" w:lineRule="auto"/>
        <w:ind w:right="1560" w:firstLine="560" w:firstLineChars="200"/>
        <w:jc w:val="center"/>
        <w:rPr>
          <w:rFonts w:hint="eastAsia" w:ascii="仿宋" w:hAnsi="仿宋" w:eastAsia="仿宋" w:cs="仿宋"/>
          <w:color w:val="auto"/>
          <w:sz w:val="28"/>
          <w:szCs w:val="28"/>
          <w:highlight w:val="none"/>
        </w:rPr>
      </w:pPr>
    </w:p>
    <w:p w14:paraId="2557C61F">
      <w:pPr>
        <w:tabs>
          <w:tab w:val="left" w:pos="1620"/>
          <w:tab w:val="left" w:pos="1800"/>
        </w:tabs>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注：</w:t>
      </w:r>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val="zh-CN"/>
        </w:rPr>
        <w:t>投标人提供的《残疾人福利性单位声明函》必须真实有效。</w:t>
      </w:r>
      <w:r>
        <w:rPr>
          <w:rFonts w:hint="eastAsia" w:ascii="仿宋" w:hAnsi="仿宋" w:eastAsia="仿宋" w:cs="仿宋"/>
          <w:b/>
          <w:bCs/>
          <w:color w:val="auto"/>
          <w:kern w:val="0"/>
          <w:sz w:val="24"/>
          <w:szCs w:val="24"/>
          <w:highlight w:val="none"/>
          <w:shd w:val="clear" w:color="auto" w:fill="FFFFFF"/>
          <w:lang w:bidi="ar"/>
        </w:rPr>
        <w:t>如有虚假，将依法承担相应责任。</w:t>
      </w:r>
      <w:r>
        <w:rPr>
          <w:rFonts w:hint="eastAsia" w:ascii="仿宋" w:hAnsi="仿宋" w:eastAsia="仿宋" w:cs="仿宋"/>
          <w:b/>
          <w:bCs/>
          <w:color w:val="auto"/>
          <w:sz w:val="24"/>
          <w:szCs w:val="24"/>
          <w:highlight w:val="none"/>
        </w:rPr>
        <w:t xml:space="preserve">根据《中华人民共和国政府采购法》第七十七条及《陕西省政府采购领域供应商违法失信“黑名单”信息共享和联合惩戒实施办法》陕财办采〔2018〕11号 第四条的相关规定： </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纳入黑名单系统。</w:t>
      </w:r>
    </w:p>
    <w:p w14:paraId="20C32A8D">
      <w:pPr>
        <w:keepNext w:val="0"/>
        <w:keepLines w:val="0"/>
        <w:pageBreakBefore w:val="0"/>
        <w:widowControl/>
        <w:tabs>
          <w:tab w:val="left" w:pos="1620"/>
          <w:tab w:val="left" w:pos="1800"/>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非残疾人福利性单位，</w:t>
      </w:r>
      <w:r>
        <w:rPr>
          <w:rFonts w:hint="eastAsia" w:ascii="仿宋" w:hAnsi="仿宋" w:eastAsia="仿宋" w:cs="仿宋"/>
          <w:b/>
          <w:bCs/>
          <w:color w:val="auto"/>
          <w:sz w:val="24"/>
          <w:szCs w:val="24"/>
          <w:highlight w:val="none"/>
          <w:lang w:eastAsia="zh-CN"/>
        </w:rPr>
        <w:t>投标</w:t>
      </w:r>
      <w:r>
        <w:rPr>
          <w:rFonts w:hint="eastAsia" w:ascii="仿宋" w:hAnsi="仿宋" w:eastAsia="仿宋" w:cs="仿宋"/>
          <w:b/>
          <w:bCs/>
          <w:color w:val="auto"/>
          <w:sz w:val="24"/>
          <w:szCs w:val="24"/>
          <w:highlight w:val="none"/>
        </w:rPr>
        <w:t>文件可不提供此页内容。</w:t>
      </w:r>
    </w:p>
    <w:p w14:paraId="10CD52D0">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eastAsia="zh-CN"/>
        </w:rPr>
        <w:t>四</w:t>
      </w:r>
      <w:r>
        <w:rPr>
          <w:rFonts w:hint="eastAsia" w:ascii="仿宋" w:hAnsi="仿宋" w:eastAsia="仿宋" w:cs="仿宋"/>
          <w:b/>
          <w:bCs/>
          <w:color w:val="auto"/>
          <w:sz w:val="28"/>
          <w:szCs w:val="28"/>
          <w:highlight w:val="none"/>
        </w:rPr>
        <w:t>）监狱企业证明文件</w:t>
      </w:r>
    </w:p>
    <w:p w14:paraId="1FE5C1D4">
      <w:pPr>
        <w:spacing w:line="360" w:lineRule="auto"/>
        <w:rPr>
          <w:rFonts w:hint="eastAsia" w:ascii="仿宋" w:hAnsi="仿宋" w:eastAsia="仿宋" w:cs="仿宋"/>
          <w:color w:val="auto"/>
          <w:sz w:val="28"/>
          <w:szCs w:val="28"/>
          <w:highlight w:val="none"/>
        </w:rPr>
      </w:pPr>
    </w:p>
    <w:p w14:paraId="631B88C3">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2ED29F5">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监狱企业参加政府采购活动时，应当提供由省级以上监狱管理局、戒毒管理局（含新疆生产建设兵团）出具的属于监狱企业的证明文件。</w:t>
      </w:r>
    </w:p>
    <w:p w14:paraId="0EC6365E">
      <w:pPr>
        <w:pStyle w:val="15"/>
        <w:spacing w:line="360" w:lineRule="auto"/>
        <w:rPr>
          <w:rFonts w:hint="eastAsia" w:ascii="仿宋" w:hAnsi="仿宋" w:eastAsia="仿宋" w:cs="仿宋"/>
          <w:color w:val="auto"/>
          <w:sz w:val="24"/>
          <w:szCs w:val="24"/>
          <w:highlight w:val="none"/>
        </w:rPr>
      </w:pPr>
    </w:p>
    <w:p w14:paraId="05D484E5">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r>
    </w:p>
    <w:p w14:paraId="52945B0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atLeast"/>
        <w:ind w:left="0" w:right="0" w:firstLine="0"/>
        <w:jc w:val="center"/>
        <w:textAlignment w:val="baseline"/>
        <w:outlineLvl w:val="2"/>
        <w:rPr>
          <w:rFonts w:ascii="仿宋" w:hAnsi="仿宋" w:eastAsia="仿宋" w:cs="仿宋"/>
          <w:i w:val="0"/>
          <w:iCs w:val="0"/>
          <w:caps w:val="0"/>
          <w:color w:val="auto"/>
          <w:spacing w:val="0"/>
          <w:sz w:val="36"/>
          <w:szCs w:val="36"/>
        </w:rPr>
      </w:pPr>
      <w:r>
        <w:rPr>
          <w:rFonts w:hint="eastAsia" w:ascii="仿宋" w:hAnsi="仿宋" w:eastAsia="仿宋" w:cs="仿宋"/>
          <w:b/>
          <w:bCs/>
          <w:i w:val="0"/>
          <w:iCs w:val="0"/>
          <w:caps w:val="0"/>
          <w:color w:val="auto"/>
          <w:spacing w:val="0"/>
          <w:sz w:val="32"/>
          <w:szCs w:val="32"/>
          <w:shd w:val="clear" w:color="auto" w:fill="FFFFFF"/>
          <w:vertAlign w:val="baseline"/>
        </w:rPr>
        <w:t>关于符合本国产品标准的声明函</w:t>
      </w:r>
    </w:p>
    <w:p w14:paraId="300B4BB2">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color="auto" w:fill="FFFFFF"/>
          <w:vertAlign w:val="baseline"/>
        </w:rPr>
        <w:t>本公司（单位）郑重声明，根据《国务院办公厅关于在政府采购中实施本国产品标准及相关政策的通知》（国办发〔2025〕34号）的规定，本公司（单位）提供的以下产品属于本国产品。具体情况如下：</w:t>
      </w:r>
    </w:p>
    <w:p w14:paraId="56B1DEF6">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color="auto" w:fill="FFFFFF"/>
          <w:vertAlign w:val="baseline"/>
        </w:rPr>
        <w:t>1.</w:t>
      </w:r>
      <w:r>
        <w:rPr>
          <w:rFonts w:hint="eastAsia" w:ascii="仿宋" w:hAnsi="仿宋" w:eastAsia="仿宋" w:cs="仿宋"/>
          <w:i w:val="0"/>
          <w:iCs w:val="0"/>
          <w:caps w:val="0"/>
          <w:color w:val="auto"/>
          <w:spacing w:val="0"/>
          <w:sz w:val="24"/>
          <w:szCs w:val="24"/>
          <w:u w:val="single"/>
          <w:shd w:val="clear" w:color="auto" w:fill="FFFFFF"/>
          <w:vertAlign w:val="baseline"/>
        </w:rPr>
        <w:t>（产品名称1）1</w:t>
      </w:r>
      <w:r>
        <w:rPr>
          <w:rFonts w:hint="eastAsia" w:ascii="仿宋" w:hAnsi="仿宋" w:eastAsia="仿宋" w:cs="仿宋"/>
          <w:i w:val="0"/>
          <w:iCs w:val="0"/>
          <w:caps w:val="0"/>
          <w:color w:val="auto"/>
          <w:spacing w:val="0"/>
          <w:sz w:val="24"/>
          <w:szCs w:val="24"/>
          <w:shd w:val="clear" w:color="auto" w:fill="FFFFFF"/>
          <w:vertAlign w:val="baseline"/>
        </w:rPr>
        <w:t>，生产厂为</w:t>
      </w:r>
      <w:r>
        <w:rPr>
          <w:rFonts w:hint="eastAsia" w:ascii="仿宋" w:hAnsi="仿宋" w:eastAsia="仿宋" w:cs="仿宋"/>
          <w:i w:val="0"/>
          <w:iCs w:val="0"/>
          <w:caps w:val="0"/>
          <w:color w:val="auto"/>
          <w:spacing w:val="0"/>
          <w:sz w:val="24"/>
          <w:szCs w:val="24"/>
          <w:u w:val="single"/>
          <w:shd w:val="clear" w:color="auto" w:fill="FFFFFF"/>
          <w:vertAlign w:val="baseline"/>
        </w:rPr>
        <w:t>（厂名）2</w:t>
      </w:r>
      <w:r>
        <w:rPr>
          <w:rFonts w:hint="eastAsia" w:ascii="仿宋" w:hAnsi="仿宋" w:eastAsia="仿宋" w:cs="仿宋"/>
          <w:i w:val="0"/>
          <w:iCs w:val="0"/>
          <w:caps w:val="0"/>
          <w:color w:val="auto"/>
          <w:spacing w:val="0"/>
          <w:sz w:val="24"/>
          <w:szCs w:val="24"/>
          <w:shd w:val="clear" w:color="auto" w:fill="FFFFFF"/>
          <w:vertAlign w:val="baseline"/>
        </w:rPr>
        <w:t>，厂址为</w:t>
      </w:r>
      <w:r>
        <w:rPr>
          <w:rFonts w:hint="eastAsia" w:ascii="仿宋" w:hAnsi="仿宋" w:eastAsia="仿宋" w:cs="仿宋"/>
          <w:i w:val="0"/>
          <w:iCs w:val="0"/>
          <w:caps w:val="0"/>
          <w:color w:val="auto"/>
          <w:spacing w:val="0"/>
          <w:sz w:val="24"/>
          <w:szCs w:val="24"/>
          <w:u w:val="single"/>
          <w:shd w:val="clear" w:color="auto" w:fill="FFFFFF"/>
          <w:vertAlign w:val="baseline"/>
        </w:rPr>
        <w:t>（生产厂址）</w:t>
      </w:r>
      <w:r>
        <w:rPr>
          <w:rFonts w:hint="eastAsia" w:ascii="仿宋" w:hAnsi="仿宋" w:eastAsia="仿宋" w:cs="仿宋"/>
          <w:i w:val="0"/>
          <w:iCs w:val="0"/>
          <w:caps w:val="0"/>
          <w:color w:val="auto"/>
          <w:spacing w:val="0"/>
          <w:sz w:val="24"/>
          <w:szCs w:val="24"/>
          <w:shd w:val="clear" w:color="auto" w:fill="FFFFFF"/>
          <w:vertAlign w:val="baseline"/>
        </w:rPr>
        <w:t>。</w:t>
      </w:r>
      <w:r>
        <w:rPr>
          <w:rFonts w:hint="eastAsia" w:ascii="仿宋" w:hAnsi="仿宋" w:eastAsia="仿宋" w:cs="仿宋"/>
          <w:i w:val="0"/>
          <w:iCs w:val="0"/>
          <w:caps w:val="0"/>
          <w:color w:val="auto"/>
          <w:spacing w:val="0"/>
          <w:sz w:val="24"/>
          <w:szCs w:val="24"/>
          <w:u w:val="single"/>
          <w:shd w:val="clear" w:color="auto" w:fill="FFFFFF"/>
          <w:vertAlign w:val="baseline"/>
        </w:rPr>
        <w:t>（产品名称1</w:t>
      </w:r>
      <w:r>
        <w:rPr>
          <w:rFonts w:hint="eastAsia" w:ascii="仿宋" w:hAnsi="仿宋" w:eastAsia="仿宋" w:cs="仿宋"/>
          <w:i w:val="0"/>
          <w:iCs w:val="0"/>
          <w:caps w:val="0"/>
          <w:color w:val="auto"/>
          <w:spacing w:val="0"/>
          <w:sz w:val="24"/>
          <w:szCs w:val="24"/>
          <w:shd w:val="clear" w:color="auto" w:fill="FFFFFF"/>
          <w:vertAlign w:val="baseline"/>
        </w:rPr>
        <w:t>）的中国境内生产的组件成本占比≥</w:t>
      </w:r>
      <w:r>
        <w:rPr>
          <w:rFonts w:hint="eastAsia" w:ascii="仿宋" w:hAnsi="仿宋" w:eastAsia="仿宋" w:cs="仿宋"/>
          <w:i w:val="0"/>
          <w:iCs w:val="0"/>
          <w:caps w:val="0"/>
          <w:color w:val="auto"/>
          <w:spacing w:val="0"/>
          <w:sz w:val="24"/>
          <w:szCs w:val="24"/>
          <w:u w:val="single"/>
          <w:shd w:val="clear" w:color="auto" w:fill="FFFFFF"/>
          <w:vertAlign w:val="baseline"/>
        </w:rPr>
        <w:t>（规定比例）3</w:t>
      </w:r>
      <w:r>
        <w:rPr>
          <w:rFonts w:hint="eastAsia" w:ascii="仿宋" w:hAnsi="仿宋" w:eastAsia="仿宋" w:cs="仿宋"/>
          <w:i w:val="0"/>
          <w:iCs w:val="0"/>
          <w:caps w:val="0"/>
          <w:color w:val="auto"/>
          <w:spacing w:val="0"/>
          <w:sz w:val="24"/>
          <w:szCs w:val="24"/>
          <w:shd w:val="clear" w:color="auto" w:fill="FFFFFF"/>
          <w:vertAlign w:val="baseline"/>
        </w:rPr>
        <w:t>。</w:t>
      </w:r>
      <w:r>
        <w:rPr>
          <w:rFonts w:hint="eastAsia" w:ascii="仿宋" w:hAnsi="仿宋" w:eastAsia="仿宋" w:cs="仿宋"/>
          <w:i w:val="0"/>
          <w:iCs w:val="0"/>
          <w:caps w:val="0"/>
          <w:color w:val="auto"/>
          <w:spacing w:val="0"/>
          <w:sz w:val="24"/>
          <w:szCs w:val="24"/>
          <w:u w:val="single"/>
          <w:shd w:val="clear" w:color="auto" w:fill="FFFFFF"/>
          <w:vertAlign w:val="baseline"/>
        </w:rPr>
        <w:t>（产品名称1）</w:t>
      </w:r>
      <w:r>
        <w:rPr>
          <w:rFonts w:hint="eastAsia" w:ascii="仿宋" w:hAnsi="仿宋" w:eastAsia="仿宋" w:cs="仿宋"/>
          <w:i w:val="0"/>
          <w:iCs w:val="0"/>
          <w:caps w:val="0"/>
          <w:color w:val="auto"/>
          <w:spacing w:val="0"/>
          <w:sz w:val="24"/>
          <w:szCs w:val="24"/>
          <w:shd w:val="clear" w:color="auto" w:fill="FFFFFF"/>
          <w:vertAlign w:val="baseline"/>
        </w:rPr>
        <w:t>的</w:t>
      </w:r>
      <w:r>
        <w:rPr>
          <w:rFonts w:hint="eastAsia" w:ascii="仿宋" w:hAnsi="仿宋" w:eastAsia="仿宋" w:cs="仿宋"/>
          <w:i w:val="0"/>
          <w:iCs w:val="0"/>
          <w:caps w:val="0"/>
          <w:color w:val="auto"/>
          <w:spacing w:val="0"/>
          <w:sz w:val="24"/>
          <w:szCs w:val="24"/>
          <w:u w:val="single"/>
          <w:shd w:val="clear" w:color="auto" w:fill="FFFFFF"/>
          <w:vertAlign w:val="baseline"/>
        </w:rPr>
        <w:t>（关键组件）4</w:t>
      </w:r>
      <w:r>
        <w:rPr>
          <w:rFonts w:hint="eastAsia" w:ascii="仿宋" w:hAnsi="仿宋" w:eastAsia="仿宋" w:cs="仿宋"/>
          <w:i w:val="0"/>
          <w:iCs w:val="0"/>
          <w:caps w:val="0"/>
          <w:color w:val="auto"/>
          <w:spacing w:val="0"/>
          <w:sz w:val="24"/>
          <w:szCs w:val="24"/>
          <w:shd w:val="clear" w:color="auto" w:fill="FFFFFF"/>
          <w:vertAlign w:val="baseline"/>
        </w:rPr>
        <w:t>在中国境内生产。</w:t>
      </w:r>
      <w:r>
        <w:rPr>
          <w:rFonts w:hint="eastAsia" w:ascii="仿宋" w:hAnsi="仿宋" w:eastAsia="仿宋" w:cs="仿宋"/>
          <w:i w:val="0"/>
          <w:iCs w:val="0"/>
          <w:caps w:val="0"/>
          <w:color w:val="auto"/>
          <w:spacing w:val="0"/>
          <w:sz w:val="24"/>
          <w:szCs w:val="24"/>
          <w:u w:val="single"/>
          <w:shd w:val="clear" w:color="auto" w:fill="FFFFFF"/>
          <w:vertAlign w:val="baseline"/>
        </w:rPr>
        <w:t>（产品名称1）</w:t>
      </w:r>
      <w:r>
        <w:rPr>
          <w:rFonts w:hint="eastAsia" w:ascii="仿宋" w:hAnsi="仿宋" w:eastAsia="仿宋" w:cs="仿宋"/>
          <w:i w:val="0"/>
          <w:iCs w:val="0"/>
          <w:caps w:val="0"/>
          <w:color w:val="auto"/>
          <w:spacing w:val="0"/>
          <w:sz w:val="24"/>
          <w:szCs w:val="24"/>
          <w:shd w:val="clear" w:color="auto" w:fill="FFFFFF"/>
          <w:vertAlign w:val="baseline"/>
        </w:rPr>
        <w:t>的</w:t>
      </w:r>
      <w:r>
        <w:rPr>
          <w:rFonts w:hint="eastAsia" w:ascii="仿宋" w:hAnsi="仿宋" w:eastAsia="仿宋" w:cs="仿宋"/>
          <w:i w:val="0"/>
          <w:iCs w:val="0"/>
          <w:caps w:val="0"/>
          <w:color w:val="auto"/>
          <w:spacing w:val="0"/>
          <w:sz w:val="24"/>
          <w:szCs w:val="24"/>
          <w:u w:val="single"/>
          <w:shd w:val="clear" w:color="auto" w:fill="FFFFFF"/>
          <w:vertAlign w:val="baseline"/>
        </w:rPr>
        <w:t>（关键工序）5</w:t>
      </w:r>
      <w:r>
        <w:rPr>
          <w:rFonts w:hint="eastAsia" w:ascii="仿宋" w:hAnsi="仿宋" w:eastAsia="仿宋" w:cs="仿宋"/>
          <w:i w:val="0"/>
          <w:iCs w:val="0"/>
          <w:caps w:val="0"/>
          <w:color w:val="auto"/>
          <w:spacing w:val="0"/>
          <w:sz w:val="24"/>
          <w:szCs w:val="24"/>
          <w:shd w:val="clear" w:color="auto" w:fill="FFFFFF"/>
          <w:vertAlign w:val="baseline"/>
        </w:rPr>
        <w:t>在中国境内完成。</w:t>
      </w:r>
    </w:p>
    <w:p w14:paraId="5FB13E8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color="auto" w:fill="FFFFFF"/>
          <w:vertAlign w:val="baseline"/>
        </w:rPr>
        <w:t>2.</w:t>
      </w:r>
      <w:r>
        <w:rPr>
          <w:rFonts w:hint="eastAsia" w:ascii="仿宋" w:hAnsi="仿宋" w:eastAsia="仿宋" w:cs="仿宋"/>
          <w:i w:val="0"/>
          <w:iCs w:val="0"/>
          <w:caps w:val="0"/>
          <w:color w:val="auto"/>
          <w:spacing w:val="0"/>
          <w:sz w:val="24"/>
          <w:szCs w:val="24"/>
          <w:u w:val="single"/>
          <w:shd w:val="clear" w:color="auto" w:fill="FFFFFF"/>
          <w:vertAlign w:val="baseline"/>
        </w:rPr>
        <w:t>（产品名称2）</w:t>
      </w:r>
      <w:r>
        <w:rPr>
          <w:rFonts w:hint="eastAsia" w:ascii="仿宋" w:hAnsi="仿宋" w:eastAsia="仿宋" w:cs="仿宋"/>
          <w:i w:val="0"/>
          <w:iCs w:val="0"/>
          <w:caps w:val="0"/>
          <w:color w:val="auto"/>
          <w:spacing w:val="0"/>
          <w:sz w:val="24"/>
          <w:szCs w:val="24"/>
          <w:shd w:val="clear" w:color="auto" w:fill="FFFFFF"/>
          <w:vertAlign w:val="baseline"/>
        </w:rPr>
        <w:t>，生产厂为</w:t>
      </w:r>
      <w:r>
        <w:rPr>
          <w:rFonts w:hint="eastAsia" w:ascii="仿宋" w:hAnsi="仿宋" w:eastAsia="仿宋" w:cs="仿宋"/>
          <w:i w:val="0"/>
          <w:iCs w:val="0"/>
          <w:caps w:val="0"/>
          <w:color w:val="auto"/>
          <w:spacing w:val="0"/>
          <w:sz w:val="24"/>
          <w:szCs w:val="24"/>
          <w:u w:val="single"/>
          <w:shd w:val="clear" w:color="auto" w:fill="FFFFFF"/>
          <w:vertAlign w:val="baseline"/>
        </w:rPr>
        <w:t>（厂名）</w:t>
      </w:r>
      <w:r>
        <w:rPr>
          <w:rFonts w:hint="eastAsia" w:ascii="仿宋" w:hAnsi="仿宋" w:eastAsia="仿宋" w:cs="仿宋"/>
          <w:i w:val="0"/>
          <w:iCs w:val="0"/>
          <w:caps w:val="0"/>
          <w:color w:val="auto"/>
          <w:spacing w:val="0"/>
          <w:sz w:val="24"/>
          <w:szCs w:val="24"/>
          <w:shd w:val="clear" w:color="auto" w:fill="FFFFFF"/>
          <w:vertAlign w:val="baseline"/>
        </w:rPr>
        <w:t>，厂址为</w:t>
      </w:r>
      <w:r>
        <w:rPr>
          <w:rFonts w:hint="eastAsia" w:ascii="仿宋" w:hAnsi="仿宋" w:eastAsia="仿宋" w:cs="仿宋"/>
          <w:i w:val="0"/>
          <w:iCs w:val="0"/>
          <w:caps w:val="0"/>
          <w:color w:val="auto"/>
          <w:spacing w:val="0"/>
          <w:sz w:val="24"/>
          <w:szCs w:val="24"/>
          <w:u w:val="single"/>
          <w:shd w:val="clear" w:color="auto" w:fill="FFFFFF"/>
          <w:vertAlign w:val="baseline"/>
        </w:rPr>
        <w:t>（生产厂址）</w:t>
      </w:r>
      <w:r>
        <w:rPr>
          <w:rFonts w:hint="eastAsia" w:ascii="仿宋" w:hAnsi="仿宋" w:eastAsia="仿宋" w:cs="仿宋"/>
          <w:i w:val="0"/>
          <w:iCs w:val="0"/>
          <w:caps w:val="0"/>
          <w:color w:val="auto"/>
          <w:spacing w:val="0"/>
          <w:sz w:val="24"/>
          <w:szCs w:val="24"/>
          <w:shd w:val="clear" w:color="auto" w:fill="FFFFFF"/>
          <w:vertAlign w:val="baseline"/>
        </w:rPr>
        <w:t>。</w:t>
      </w:r>
      <w:r>
        <w:rPr>
          <w:rFonts w:hint="eastAsia" w:ascii="仿宋" w:hAnsi="仿宋" w:eastAsia="仿宋" w:cs="仿宋"/>
          <w:i w:val="0"/>
          <w:iCs w:val="0"/>
          <w:caps w:val="0"/>
          <w:color w:val="auto"/>
          <w:spacing w:val="0"/>
          <w:sz w:val="24"/>
          <w:szCs w:val="24"/>
          <w:u w:val="single"/>
          <w:shd w:val="clear" w:color="auto" w:fill="FFFFFF"/>
          <w:vertAlign w:val="baseline"/>
        </w:rPr>
        <w:t>（产品名称2）</w:t>
      </w:r>
      <w:r>
        <w:rPr>
          <w:rFonts w:hint="eastAsia" w:ascii="仿宋" w:hAnsi="仿宋" w:eastAsia="仿宋" w:cs="仿宋"/>
          <w:i w:val="0"/>
          <w:iCs w:val="0"/>
          <w:caps w:val="0"/>
          <w:color w:val="auto"/>
          <w:spacing w:val="0"/>
          <w:sz w:val="24"/>
          <w:szCs w:val="24"/>
          <w:shd w:val="clear" w:color="auto" w:fill="FFFFFF"/>
          <w:vertAlign w:val="baseline"/>
        </w:rPr>
        <w:t>的中国境内生产的组件成本占比≥</w:t>
      </w:r>
      <w:r>
        <w:rPr>
          <w:rFonts w:hint="eastAsia" w:ascii="仿宋" w:hAnsi="仿宋" w:eastAsia="仿宋" w:cs="仿宋"/>
          <w:i w:val="0"/>
          <w:iCs w:val="0"/>
          <w:caps w:val="0"/>
          <w:color w:val="auto"/>
          <w:spacing w:val="0"/>
          <w:sz w:val="24"/>
          <w:szCs w:val="24"/>
          <w:u w:val="single"/>
          <w:shd w:val="clear" w:color="auto" w:fill="FFFFFF"/>
          <w:vertAlign w:val="baseline"/>
        </w:rPr>
        <w:t>（规定比例）</w:t>
      </w:r>
      <w:r>
        <w:rPr>
          <w:rFonts w:hint="eastAsia" w:ascii="仿宋" w:hAnsi="仿宋" w:eastAsia="仿宋" w:cs="仿宋"/>
          <w:i w:val="0"/>
          <w:iCs w:val="0"/>
          <w:caps w:val="0"/>
          <w:color w:val="auto"/>
          <w:spacing w:val="0"/>
          <w:sz w:val="24"/>
          <w:szCs w:val="24"/>
          <w:shd w:val="clear" w:color="auto" w:fill="FFFFFF"/>
          <w:vertAlign w:val="baseline"/>
        </w:rPr>
        <w:t>。</w:t>
      </w:r>
      <w:r>
        <w:rPr>
          <w:rFonts w:hint="eastAsia" w:ascii="仿宋" w:hAnsi="仿宋" w:eastAsia="仿宋" w:cs="仿宋"/>
          <w:i w:val="0"/>
          <w:iCs w:val="0"/>
          <w:caps w:val="0"/>
          <w:color w:val="auto"/>
          <w:spacing w:val="0"/>
          <w:sz w:val="24"/>
          <w:szCs w:val="24"/>
          <w:u w:val="single"/>
          <w:shd w:val="clear" w:color="auto" w:fill="FFFFFF"/>
          <w:vertAlign w:val="baseline"/>
        </w:rPr>
        <w:t>（产品名称2）</w:t>
      </w:r>
      <w:r>
        <w:rPr>
          <w:rFonts w:hint="eastAsia" w:ascii="仿宋" w:hAnsi="仿宋" w:eastAsia="仿宋" w:cs="仿宋"/>
          <w:i w:val="0"/>
          <w:iCs w:val="0"/>
          <w:caps w:val="0"/>
          <w:color w:val="auto"/>
          <w:spacing w:val="0"/>
          <w:sz w:val="24"/>
          <w:szCs w:val="24"/>
          <w:shd w:val="clear" w:color="auto" w:fill="FFFFFF"/>
          <w:vertAlign w:val="baseline"/>
        </w:rPr>
        <w:t>的</w:t>
      </w:r>
      <w:r>
        <w:rPr>
          <w:rFonts w:hint="eastAsia" w:ascii="仿宋" w:hAnsi="仿宋" w:eastAsia="仿宋" w:cs="仿宋"/>
          <w:i w:val="0"/>
          <w:iCs w:val="0"/>
          <w:caps w:val="0"/>
          <w:color w:val="auto"/>
          <w:spacing w:val="0"/>
          <w:sz w:val="24"/>
          <w:szCs w:val="24"/>
          <w:u w:val="single"/>
          <w:shd w:val="clear" w:color="auto" w:fill="FFFFFF"/>
          <w:vertAlign w:val="baseline"/>
        </w:rPr>
        <w:t>（关键组件</w:t>
      </w:r>
      <w:r>
        <w:rPr>
          <w:rFonts w:hint="eastAsia" w:ascii="仿宋" w:hAnsi="仿宋" w:eastAsia="仿宋" w:cs="仿宋"/>
          <w:i w:val="0"/>
          <w:iCs w:val="0"/>
          <w:caps w:val="0"/>
          <w:color w:val="auto"/>
          <w:spacing w:val="0"/>
          <w:sz w:val="24"/>
          <w:szCs w:val="24"/>
          <w:shd w:val="clear" w:color="auto" w:fill="FFFFFF"/>
          <w:vertAlign w:val="baseline"/>
        </w:rPr>
        <w:t>）在中国境内生产。</w:t>
      </w:r>
      <w:r>
        <w:rPr>
          <w:rFonts w:hint="eastAsia" w:ascii="仿宋" w:hAnsi="仿宋" w:eastAsia="仿宋" w:cs="仿宋"/>
          <w:i w:val="0"/>
          <w:iCs w:val="0"/>
          <w:caps w:val="0"/>
          <w:color w:val="auto"/>
          <w:spacing w:val="0"/>
          <w:sz w:val="24"/>
          <w:szCs w:val="24"/>
          <w:u w:val="single"/>
          <w:shd w:val="clear" w:color="auto" w:fill="FFFFFF"/>
          <w:vertAlign w:val="baseline"/>
        </w:rPr>
        <w:t>（产品名称2）</w:t>
      </w:r>
      <w:r>
        <w:rPr>
          <w:rFonts w:hint="eastAsia" w:ascii="仿宋" w:hAnsi="仿宋" w:eastAsia="仿宋" w:cs="仿宋"/>
          <w:i w:val="0"/>
          <w:iCs w:val="0"/>
          <w:caps w:val="0"/>
          <w:color w:val="auto"/>
          <w:spacing w:val="0"/>
          <w:sz w:val="24"/>
          <w:szCs w:val="24"/>
          <w:shd w:val="clear" w:color="auto" w:fill="FFFFFF"/>
          <w:vertAlign w:val="baseline"/>
        </w:rPr>
        <w:t>的</w:t>
      </w:r>
      <w:r>
        <w:rPr>
          <w:rFonts w:hint="eastAsia" w:ascii="仿宋" w:hAnsi="仿宋" w:eastAsia="仿宋" w:cs="仿宋"/>
          <w:i w:val="0"/>
          <w:iCs w:val="0"/>
          <w:caps w:val="0"/>
          <w:color w:val="auto"/>
          <w:spacing w:val="0"/>
          <w:sz w:val="24"/>
          <w:szCs w:val="24"/>
          <w:u w:val="single"/>
          <w:shd w:val="clear" w:color="auto" w:fill="FFFFFF"/>
          <w:vertAlign w:val="baseline"/>
        </w:rPr>
        <w:t>（关键工序）</w:t>
      </w:r>
      <w:r>
        <w:rPr>
          <w:rFonts w:hint="eastAsia" w:ascii="仿宋" w:hAnsi="仿宋" w:eastAsia="仿宋" w:cs="仿宋"/>
          <w:i w:val="0"/>
          <w:iCs w:val="0"/>
          <w:caps w:val="0"/>
          <w:color w:val="auto"/>
          <w:spacing w:val="0"/>
          <w:sz w:val="24"/>
          <w:szCs w:val="24"/>
          <w:shd w:val="clear" w:color="auto" w:fill="FFFFFF"/>
          <w:vertAlign w:val="baseline"/>
        </w:rPr>
        <w:t>在中国境内完成。</w:t>
      </w:r>
    </w:p>
    <w:p w14:paraId="20CF097E">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color="auto" w:fill="FFFFFF"/>
          <w:vertAlign w:val="baseline"/>
        </w:rPr>
        <w:t>……</w:t>
      </w:r>
    </w:p>
    <w:p w14:paraId="4A78D9EF">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color="auto" w:fill="FFFFFF"/>
          <w:vertAlign w:val="baseline"/>
        </w:rPr>
        <w:t>本公司（单位）对上述声明内容的真实性负责。如有虚假，愿承担相应法律责任。</w:t>
      </w:r>
    </w:p>
    <w:p w14:paraId="076F2D7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仿宋" w:hAnsi="仿宋" w:eastAsia="仿宋" w:cs="仿宋"/>
          <w:i w:val="0"/>
          <w:iCs w:val="0"/>
          <w:caps w:val="0"/>
          <w:color w:val="auto"/>
          <w:spacing w:val="0"/>
          <w:sz w:val="24"/>
          <w:szCs w:val="24"/>
        </w:rPr>
      </w:pPr>
    </w:p>
    <w:p w14:paraId="535A4615">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0"/>
        <w:jc w:val="right"/>
        <w:textAlignment w:val="baseline"/>
        <w:rPr>
          <w:rFonts w:hint="default" w:ascii="仿宋" w:hAnsi="仿宋" w:eastAsia="仿宋" w:cs="仿宋"/>
          <w:i w:val="0"/>
          <w:iCs w:val="0"/>
          <w:caps w:val="0"/>
          <w:color w:val="auto"/>
          <w:spacing w:val="0"/>
          <w:sz w:val="24"/>
          <w:szCs w:val="24"/>
          <w:lang w:val="en-US" w:eastAsia="zh-CN"/>
        </w:rPr>
      </w:pPr>
      <w:r>
        <w:rPr>
          <w:rFonts w:hint="eastAsia" w:ascii="仿宋" w:hAnsi="仿宋" w:eastAsia="仿宋" w:cs="仿宋"/>
          <w:i w:val="0"/>
          <w:iCs w:val="0"/>
          <w:caps w:val="0"/>
          <w:color w:val="auto"/>
          <w:spacing w:val="0"/>
          <w:sz w:val="24"/>
          <w:szCs w:val="24"/>
          <w:shd w:val="clear" w:color="auto" w:fill="FFFFFF"/>
          <w:vertAlign w:val="baseline"/>
        </w:rPr>
        <w:t>公司（单位）名称（盖章）：</w:t>
      </w:r>
      <w:r>
        <w:rPr>
          <w:rFonts w:hint="eastAsia" w:ascii="仿宋" w:hAnsi="仿宋" w:eastAsia="仿宋" w:cs="仿宋"/>
          <w:i w:val="0"/>
          <w:iCs w:val="0"/>
          <w:caps w:val="0"/>
          <w:color w:val="auto"/>
          <w:spacing w:val="0"/>
          <w:sz w:val="24"/>
          <w:szCs w:val="24"/>
          <w:shd w:val="clear" w:color="auto" w:fill="FFFFFF"/>
          <w:vertAlign w:val="baseline"/>
          <w:lang w:val="en-US" w:eastAsia="zh-CN"/>
        </w:rPr>
        <w:t xml:space="preserve">               </w:t>
      </w:r>
    </w:p>
    <w:p w14:paraId="47646F2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jc w:val="right"/>
        <w:textAlignment w:val="baseline"/>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color="auto" w:fill="FFFFFF"/>
          <w:vertAlign w:val="baseline"/>
        </w:rPr>
        <w:t>日期：</w:t>
      </w:r>
      <w:r>
        <w:rPr>
          <w:rFonts w:hint="eastAsia" w:ascii="仿宋" w:hAnsi="仿宋" w:eastAsia="仿宋" w:cs="仿宋"/>
          <w:i w:val="0"/>
          <w:iCs w:val="0"/>
          <w:caps w:val="0"/>
          <w:color w:val="auto"/>
          <w:spacing w:val="0"/>
          <w:sz w:val="24"/>
          <w:szCs w:val="24"/>
          <w:shd w:val="clear" w:color="auto" w:fill="FFFFFF"/>
          <w:vertAlign w:val="baseline"/>
          <w:lang w:val="en-US" w:eastAsia="zh-CN"/>
        </w:rPr>
        <w:t xml:space="preserve">      </w:t>
      </w:r>
      <w:r>
        <w:rPr>
          <w:rFonts w:hint="eastAsia" w:ascii="仿宋" w:hAnsi="仿宋" w:eastAsia="仿宋" w:cs="仿宋"/>
          <w:i w:val="0"/>
          <w:iCs w:val="0"/>
          <w:caps w:val="0"/>
          <w:color w:val="auto"/>
          <w:spacing w:val="0"/>
          <w:sz w:val="24"/>
          <w:szCs w:val="24"/>
          <w:shd w:val="clear" w:color="auto" w:fill="FFFFFF"/>
          <w:vertAlign w:val="baseline"/>
        </w:rPr>
        <w:t>年</w:t>
      </w:r>
      <w:r>
        <w:rPr>
          <w:rFonts w:hint="eastAsia" w:ascii="仿宋" w:hAnsi="仿宋" w:eastAsia="仿宋" w:cs="仿宋"/>
          <w:i w:val="0"/>
          <w:iCs w:val="0"/>
          <w:caps w:val="0"/>
          <w:color w:val="auto"/>
          <w:spacing w:val="0"/>
          <w:sz w:val="24"/>
          <w:szCs w:val="24"/>
          <w:shd w:val="clear" w:color="auto" w:fill="FFFFFF"/>
          <w:vertAlign w:val="baseline"/>
          <w:lang w:val="en-US" w:eastAsia="zh-CN"/>
        </w:rPr>
        <w:t xml:space="preserve">    </w:t>
      </w:r>
      <w:r>
        <w:rPr>
          <w:rFonts w:hint="eastAsia" w:ascii="仿宋" w:hAnsi="仿宋" w:eastAsia="仿宋" w:cs="仿宋"/>
          <w:i w:val="0"/>
          <w:iCs w:val="0"/>
          <w:caps w:val="0"/>
          <w:color w:val="auto"/>
          <w:spacing w:val="0"/>
          <w:sz w:val="24"/>
          <w:szCs w:val="24"/>
          <w:shd w:val="clear" w:color="auto" w:fill="FFFFFF"/>
          <w:vertAlign w:val="baseline"/>
        </w:rPr>
        <w:t>月</w:t>
      </w:r>
      <w:r>
        <w:rPr>
          <w:rFonts w:hint="eastAsia" w:ascii="仿宋" w:hAnsi="仿宋" w:eastAsia="仿宋" w:cs="仿宋"/>
          <w:i w:val="0"/>
          <w:iCs w:val="0"/>
          <w:caps w:val="0"/>
          <w:color w:val="auto"/>
          <w:spacing w:val="0"/>
          <w:sz w:val="24"/>
          <w:szCs w:val="24"/>
          <w:shd w:val="clear" w:color="auto" w:fill="FFFFFF"/>
          <w:vertAlign w:val="baseline"/>
          <w:lang w:val="en-US" w:eastAsia="zh-CN"/>
        </w:rPr>
        <w:t xml:space="preserve">    </w:t>
      </w:r>
      <w:r>
        <w:rPr>
          <w:rFonts w:hint="eastAsia" w:ascii="仿宋" w:hAnsi="仿宋" w:eastAsia="仿宋" w:cs="仿宋"/>
          <w:i w:val="0"/>
          <w:iCs w:val="0"/>
          <w:caps w:val="0"/>
          <w:color w:val="auto"/>
          <w:spacing w:val="0"/>
          <w:sz w:val="24"/>
          <w:szCs w:val="24"/>
          <w:shd w:val="clear" w:color="auto" w:fill="FFFFFF"/>
          <w:vertAlign w:val="baseline"/>
        </w:rPr>
        <w:t>日</w:t>
      </w:r>
    </w:p>
    <w:p w14:paraId="521355D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rPr>
      </w:pPr>
    </w:p>
    <w:p w14:paraId="42422B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1.产品如有型号，请在“产品名称”栏一并填写。</w:t>
      </w:r>
    </w:p>
    <w:p w14:paraId="1DE8FE4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2.生产厂名与厂址应与生产厂营业执照载明的相关信息保持一致。</w:t>
      </w:r>
    </w:p>
    <w:p w14:paraId="1E8AE6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3.该产品的中国境内生产的组件成本占比相关要求实施前，“规定比例”栏可不填，下同。</w:t>
      </w:r>
    </w:p>
    <w:p w14:paraId="403F77B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4.该产品的关键组件要求实施前，“关键组件”栏可不填，下同。</w:t>
      </w:r>
    </w:p>
    <w:p w14:paraId="5EDA6399">
      <w:pPr>
        <w:tabs>
          <w:tab w:val="left" w:pos="1620"/>
          <w:tab w:val="left" w:pos="1800"/>
        </w:tabs>
        <w:spacing w:line="440" w:lineRule="exact"/>
        <w:ind w:right="616" w:rightChars="257"/>
        <w:rPr>
          <w:rFonts w:hint="eastAsia" w:ascii="仿宋" w:hAnsi="仿宋" w:eastAsia="仿宋" w:cs="仿宋"/>
          <w:b/>
          <w:bCs/>
          <w:color w:val="auto"/>
          <w:spacing w:val="6"/>
          <w:kern w:val="0"/>
          <w:sz w:val="30"/>
          <w:szCs w:val="30"/>
          <w:lang w:val="en-US" w:eastAsia="zh-CN"/>
        </w:rPr>
      </w:pPr>
      <w:r>
        <w:rPr>
          <w:rFonts w:hint="eastAsia" w:ascii="仿宋" w:hAnsi="仿宋" w:eastAsia="仿宋" w:cs="仿宋"/>
          <w:color w:val="auto"/>
          <w:sz w:val="21"/>
          <w:szCs w:val="21"/>
        </w:rPr>
        <w:t>5.该产品的关键工序要求实施前，“关键工序”栏可不填，下同。</w:t>
      </w:r>
    </w:p>
    <w:p w14:paraId="0407C3C9">
      <w:pPr>
        <w:tabs>
          <w:tab w:val="left" w:pos="1620"/>
          <w:tab w:val="left" w:pos="1800"/>
        </w:tabs>
        <w:spacing w:line="440" w:lineRule="exact"/>
        <w:ind w:right="616" w:rightChars="257"/>
        <w:rPr>
          <w:rFonts w:hint="eastAsia" w:ascii="仿宋" w:hAnsi="仿宋" w:eastAsia="仿宋" w:cs="仿宋"/>
          <w:b/>
          <w:bCs/>
          <w:color w:val="auto"/>
          <w:spacing w:val="6"/>
          <w:kern w:val="0"/>
          <w:sz w:val="30"/>
          <w:szCs w:val="30"/>
          <w:lang w:val="en-US" w:eastAsia="zh-CN"/>
        </w:rPr>
      </w:pPr>
    </w:p>
    <w:p w14:paraId="73AD7BFD">
      <w:pPr>
        <w:tabs>
          <w:tab w:val="left" w:pos="1620"/>
          <w:tab w:val="left" w:pos="1800"/>
        </w:tabs>
        <w:spacing w:line="440" w:lineRule="exact"/>
        <w:ind w:right="616" w:rightChars="257"/>
        <w:rPr>
          <w:rFonts w:hint="eastAsia" w:ascii="仿宋" w:hAnsi="仿宋" w:eastAsia="仿宋" w:cs="仿宋"/>
          <w:b/>
          <w:bCs/>
          <w:color w:val="auto"/>
          <w:spacing w:val="6"/>
          <w:kern w:val="0"/>
          <w:sz w:val="30"/>
          <w:szCs w:val="30"/>
          <w:lang w:val="en-US" w:eastAsia="zh-CN"/>
        </w:rPr>
      </w:pPr>
    </w:p>
    <w:p w14:paraId="047FEDE2">
      <w:pPr>
        <w:tabs>
          <w:tab w:val="left" w:pos="1620"/>
          <w:tab w:val="left" w:pos="1800"/>
        </w:tabs>
        <w:spacing w:line="440" w:lineRule="exact"/>
        <w:ind w:right="616" w:rightChars="257"/>
        <w:rPr>
          <w:rFonts w:hint="eastAsia" w:ascii="仿宋" w:hAnsi="仿宋" w:eastAsia="仿宋" w:cs="仿宋"/>
          <w:b/>
          <w:bCs/>
          <w:color w:val="auto"/>
          <w:spacing w:val="6"/>
          <w:kern w:val="0"/>
          <w:sz w:val="30"/>
          <w:szCs w:val="30"/>
          <w:lang w:val="en-US" w:eastAsia="zh-CN"/>
        </w:rPr>
      </w:pPr>
      <w:r>
        <w:rPr>
          <w:rFonts w:hint="eastAsia" w:ascii="仿宋" w:hAnsi="仿宋" w:eastAsia="仿宋" w:cs="仿宋"/>
          <w:b/>
          <w:bCs/>
          <w:color w:val="auto"/>
          <w:spacing w:val="6"/>
          <w:kern w:val="0"/>
          <w:sz w:val="30"/>
          <w:szCs w:val="30"/>
          <w:lang w:val="en-US" w:eastAsia="zh-CN"/>
        </w:rPr>
        <w:br w:type="page"/>
      </w:r>
    </w:p>
    <w:p w14:paraId="2215A91E">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0"/>
        <w:jc w:val="center"/>
        <w:textAlignment w:val="baseline"/>
        <w:rPr>
          <w:rFonts w:ascii="仿宋" w:hAnsi="仿宋" w:eastAsia="仿宋" w:cs="仿宋"/>
          <w:i w:val="0"/>
          <w:iCs w:val="0"/>
          <w:caps w:val="0"/>
          <w:color w:val="auto"/>
          <w:spacing w:val="0"/>
          <w:sz w:val="36"/>
          <w:szCs w:val="36"/>
        </w:rPr>
      </w:pPr>
      <w:r>
        <w:rPr>
          <w:rFonts w:hint="eastAsia" w:ascii="仿宋" w:hAnsi="仿宋" w:eastAsia="仿宋" w:cs="仿宋"/>
          <w:i w:val="0"/>
          <w:iCs w:val="0"/>
          <w:caps w:val="0"/>
          <w:color w:val="auto"/>
          <w:spacing w:val="0"/>
          <w:sz w:val="36"/>
          <w:szCs w:val="36"/>
          <w:shd w:val="clear" w:color="auto" w:fill="FFFFFF"/>
          <w:vertAlign w:val="baseline"/>
        </w:rPr>
        <w:t>中国境内生产的组件成本核算基本规则</w:t>
      </w:r>
    </w:p>
    <w:p w14:paraId="48C91544">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color="auto" w:fill="FFFFFF"/>
          <w:vertAlign w:val="baseline"/>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140CCD14">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color="auto" w:fill="FFFFFF"/>
          <w:vertAlign w:val="baseline"/>
        </w:rPr>
        <w:t>一、产品的一级组件是指直接组成产品的组件。产品的二级组件是指直接组成产品一级组件的组件。一级组件不可分解的，视同二级组件。</w:t>
      </w:r>
    </w:p>
    <w:p w14:paraId="6C88521C">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仿宋" w:hAnsi="仿宋" w:eastAsia="仿宋" w:cs="仿宋"/>
          <w:i w:val="0"/>
          <w:iCs w:val="0"/>
          <w:caps w:val="0"/>
          <w:color w:val="auto"/>
          <w:spacing w:val="0"/>
          <w:sz w:val="24"/>
          <w:szCs w:val="24"/>
          <w:shd w:val="clear" w:color="auto" w:fill="FFFFFF"/>
          <w:vertAlign w:val="baseline"/>
        </w:rPr>
      </w:pPr>
      <w:r>
        <w:rPr>
          <w:rFonts w:hint="eastAsia" w:ascii="仿宋" w:hAnsi="仿宋" w:eastAsia="仿宋" w:cs="仿宋"/>
          <w:i w:val="0"/>
          <w:iCs w:val="0"/>
          <w:caps w:val="0"/>
          <w:color w:val="auto"/>
          <w:spacing w:val="0"/>
          <w:sz w:val="24"/>
          <w:szCs w:val="24"/>
          <w:shd w:val="clear" w:color="auto" w:fill="FFFFFF"/>
          <w:vertAlign w:val="baseline"/>
        </w:rPr>
        <w:t>二、二级组件在中国境内生产的，其全部成本计入中国境内生产的组件成本；二级组件不在中国境内生产的，其成本不计入中国境内生产的组件成本。</w:t>
      </w:r>
    </w:p>
    <w:p w14:paraId="683A8565">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仿宋" w:hAnsi="仿宋" w:eastAsia="仿宋" w:cs="仿宋"/>
          <w:i w:val="0"/>
          <w:iCs w:val="0"/>
          <w:caps w:val="0"/>
          <w:color w:val="auto"/>
          <w:spacing w:val="0"/>
          <w:sz w:val="24"/>
          <w:szCs w:val="24"/>
          <w:shd w:val="clear" w:color="auto" w:fill="FFFFFF"/>
          <w:vertAlign w:val="baseline"/>
        </w:rPr>
      </w:pPr>
      <w:r>
        <w:rPr>
          <w:rFonts w:hint="eastAsia" w:ascii="仿宋" w:hAnsi="仿宋" w:eastAsia="仿宋" w:cs="仿宋"/>
          <w:i w:val="0"/>
          <w:iCs w:val="0"/>
          <w:caps w:val="0"/>
          <w:color w:val="auto"/>
          <w:spacing w:val="0"/>
          <w:sz w:val="24"/>
          <w:szCs w:val="24"/>
          <w:shd w:val="clear" w:color="auto" w:fill="FFFFFF"/>
          <w:vertAlign w:val="baseline"/>
        </w:rPr>
        <w:t>三、产品总成本和组件成本以相关会计核算数据、采购合同、进货记录等为基础进行计算。</w:t>
      </w:r>
    </w:p>
    <w:p w14:paraId="038E06CD">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b/>
          <w:bCs/>
          <w:color w:val="auto"/>
        </w:rPr>
      </w:pPr>
      <w:r>
        <w:rPr>
          <w:rFonts w:hint="eastAsia" w:ascii="仿宋" w:hAnsi="仿宋" w:eastAsia="仿宋" w:cs="仿宋"/>
          <w:i w:val="0"/>
          <w:iCs w:val="0"/>
          <w:caps w:val="0"/>
          <w:color w:val="auto"/>
          <w:spacing w:val="0"/>
          <w:sz w:val="24"/>
          <w:szCs w:val="24"/>
          <w:shd w:val="clear" w:color="auto" w:fill="FFFFFF"/>
          <w:vertAlign w:val="baseline"/>
        </w:rPr>
        <w:t>四、需要对成本核算规则予以进一步明确的其他有关事项，由财政部会同有关部门另行规定。</w:t>
      </w:r>
    </w:p>
    <w:sectPr>
      <w:footerReference r:id="rId9" w:type="default"/>
      <w:footerReference r:id="rId10" w:type="even"/>
      <w:pgSz w:w="11906" w:h="16838"/>
      <w:pgMar w:top="1417" w:right="1417" w:bottom="1417" w:left="1417" w:header="851" w:footer="992" w:gutter="0"/>
      <w:pgBorders>
        <w:top w:val="none" w:sz="0" w:space="0"/>
        <w:left w:val="none" w:sz="0" w:space="0"/>
        <w:bottom w:val="none" w:sz="0" w:space="0"/>
        <w:right w:val="none" w:sz="0" w:space="0"/>
      </w:pgBorders>
      <w:pgNumType w:fmt="decimal"/>
      <w:cols w:space="425" w:num="1"/>
      <w:docGrid w:type="linesAndChars" w:linePitch="42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AGYXIQ+Frutiger-Cn">
    <w:altName w:val="宋体"/>
    <w:panose1 w:val="00000000000000000000"/>
    <w:charset w:val="86"/>
    <w:family w:val="swiss"/>
    <w:pitch w:val="default"/>
    <w:sig w:usb0="00000000" w:usb1="00000000" w:usb2="00000010" w:usb3="00000000" w:csb0="00040000" w:csb1="00000000"/>
  </w:font>
  <w:font w:name="Tahoma">
    <w:panose1 w:val="020B0604030504040204"/>
    <w:charset w:val="00"/>
    <w:family w:val="auto"/>
    <w:pitch w:val="default"/>
    <w:sig w:usb0="E1002EFF" w:usb1="C000605B" w:usb2="00000029" w:usb3="00000000" w:csb0="200101FF" w:csb1="20280000"/>
  </w:font>
  <w:font w:name="KSOF8080F95D">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29F3B">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34CFA">
    <w:pPr>
      <w:pStyle w:val="2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0BC21">
    <w:pPr>
      <w:pStyle w:val="2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B539B9">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5B539B9">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09FCF">
    <w:pPr>
      <w:pStyle w:val="2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8200E1">
                          <w:pPr>
                            <w:pStyle w:val="2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08200E1">
                    <w:pPr>
                      <w:pStyle w:val="2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254C7">
    <w:pPr>
      <w:pStyle w:val="2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096467">
                          <w:pPr>
                            <w:pStyle w:val="21"/>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A096467">
                    <w:pPr>
                      <w:pStyle w:val="21"/>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76F19">
    <w:pPr>
      <w:pStyle w:val="2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C00512">
                          <w:pPr>
                            <w:pStyle w:val="21"/>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DC00512">
                    <w:pPr>
                      <w:pStyle w:val="21"/>
                    </w:pPr>
                    <w:r>
                      <w:fldChar w:fldCharType="begin"/>
                    </w:r>
                    <w:r>
                      <w:instrText xml:space="preserve"> PAGE  \* MERGEFORMAT </w:instrText>
                    </w:r>
                    <w:r>
                      <w:fldChar w:fldCharType="separate"/>
                    </w:r>
                    <w:r>
                      <w:t>16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DDBAB">
    <w:pPr>
      <w:pStyle w:val="2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7B9CB">
    <w:pPr>
      <w:pStyle w:val="2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44EB76"/>
    <w:multiLevelType w:val="singleLevel"/>
    <w:tmpl w:val="3E44EB76"/>
    <w:lvl w:ilvl="0" w:tentative="0">
      <w:start w:val="1"/>
      <w:numFmt w:val="chineseCounting"/>
      <w:suff w:val="nothing"/>
      <w:lvlText w:val="%1、"/>
      <w:lvlJc w:val="left"/>
      <w:rPr>
        <w:rFonts w:hint="eastAsia"/>
      </w:rPr>
    </w:lvl>
  </w:abstractNum>
  <w:abstractNum w:abstractNumId="1">
    <w:nsid w:val="5B0CE37E"/>
    <w:multiLevelType w:val="singleLevel"/>
    <w:tmpl w:val="5B0CE37E"/>
    <w:lvl w:ilvl="0" w:tentative="0">
      <w:start w:val="1"/>
      <w:numFmt w:val="decimal"/>
      <w:suff w:val="nothing"/>
      <w:lvlText w:val="%1、"/>
      <w:lvlJc w:val="left"/>
    </w:lvl>
  </w:abstractNum>
  <w:abstractNum w:abstractNumId="2">
    <w:nsid w:val="6D4132C2"/>
    <w:multiLevelType w:val="multilevel"/>
    <w:tmpl w:val="6D4132C2"/>
    <w:lvl w:ilvl="0" w:tentative="0">
      <w:start w:val="1"/>
      <w:numFmt w:val="none"/>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none"/>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14:cntxtalts w14:val="0"/>
      </w:rPr>
    </w:lvl>
    <w:lvl w:ilvl="2" w:tentative="0">
      <w:start w:val="1"/>
      <w:numFmt w:val="none"/>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14:cntxtalts w14:val="0"/>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abstractNum w:abstractNumId="3">
    <w:nsid w:val="74FDE4BC"/>
    <w:multiLevelType w:val="singleLevel"/>
    <w:tmpl w:val="74FDE4BC"/>
    <w:lvl w:ilvl="0" w:tentative="0">
      <w:start w:val="6"/>
      <w:numFmt w:val="chineseCounting"/>
      <w:suff w:val="nothing"/>
      <w:lvlText w:val="%1、"/>
      <w:lvlJc w:val="left"/>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RjNjA3YjNkZTkyNDk4OTI5YWU2YmU2MzVkMmI4MTAifQ=="/>
  </w:docVars>
  <w:rsids>
    <w:rsidRoot w:val="00172A27"/>
    <w:rsid w:val="006E5FD5"/>
    <w:rsid w:val="00D229E7"/>
    <w:rsid w:val="02643670"/>
    <w:rsid w:val="02C943E6"/>
    <w:rsid w:val="02F26A6C"/>
    <w:rsid w:val="030F6088"/>
    <w:rsid w:val="034F16E4"/>
    <w:rsid w:val="042277B0"/>
    <w:rsid w:val="046B3792"/>
    <w:rsid w:val="04872EAC"/>
    <w:rsid w:val="04964FCA"/>
    <w:rsid w:val="06E85BB8"/>
    <w:rsid w:val="08170AFE"/>
    <w:rsid w:val="082A54DE"/>
    <w:rsid w:val="083D5445"/>
    <w:rsid w:val="09273A00"/>
    <w:rsid w:val="095215C0"/>
    <w:rsid w:val="097F383C"/>
    <w:rsid w:val="09F63AFE"/>
    <w:rsid w:val="0A7C27E3"/>
    <w:rsid w:val="0B137C4A"/>
    <w:rsid w:val="0BB51797"/>
    <w:rsid w:val="0BF202F5"/>
    <w:rsid w:val="0BFC73C5"/>
    <w:rsid w:val="0CAE6912"/>
    <w:rsid w:val="0CF1140A"/>
    <w:rsid w:val="0CF63D0B"/>
    <w:rsid w:val="0D63590F"/>
    <w:rsid w:val="0E601E8E"/>
    <w:rsid w:val="0E7B4B96"/>
    <w:rsid w:val="0EDE69AB"/>
    <w:rsid w:val="0F104436"/>
    <w:rsid w:val="0F1D1EE0"/>
    <w:rsid w:val="0F485C4A"/>
    <w:rsid w:val="0FDB4C74"/>
    <w:rsid w:val="106F0166"/>
    <w:rsid w:val="10D12BCF"/>
    <w:rsid w:val="11333889"/>
    <w:rsid w:val="11CB5F00"/>
    <w:rsid w:val="13A740BB"/>
    <w:rsid w:val="14545A40"/>
    <w:rsid w:val="14551D69"/>
    <w:rsid w:val="14AD1838"/>
    <w:rsid w:val="164F098D"/>
    <w:rsid w:val="166B7621"/>
    <w:rsid w:val="171A276A"/>
    <w:rsid w:val="174C17D5"/>
    <w:rsid w:val="17E07B9B"/>
    <w:rsid w:val="18D16DA5"/>
    <w:rsid w:val="18D771F0"/>
    <w:rsid w:val="19D044FB"/>
    <w:rsid w:val="1A14255A"/>
    <w:rsid w:val="1A8707A2"/>
    <w:rsid w:val="1C7C553C"/>
    <w:rsid w:val="1D210A3A"/>
    <w:rsid w:val="1D7E4570"/>
    <w:rsid w:val="1DA84CB7"/>
    <w:rsid w:val="1EB61656"/>
    <w:rsid w:val="1F8F5CC0"/>
    <w:rsid w:val="1FB65DB1"/>
    <w:rsid w:val="1FCD00D9"/>
    <w:rsid w:val="20670E5A"/>
    <w:rsid w:val="20E64474"/>
    <w:rsid w:val="20F56C58"/>
    <w:rsid w:val="22C93FF8"/>
    <w:rsid w:val="24965F37"/>
    <w:rsid w:val="250D7AF6"/>
    <w:rsid w:val="25C6625A"/>
    <w:rsid w:val="27BD49DD"/>
    <w:rsid w:val="283A6249"/>
    <w:rsid w:val="28F807DD"/>
    <w:rsid w:val="29121B7F"/>
    <w:rsid w:val="29695C42"/>
    <w:rsid w:val="2976708E"/>
    <w:rsid w:val="2B6A7A50"/>
    <w:rsid w:val="2DF31F7F"/>
    <w:rsid w:val="2EE45D6B"/>
    <w:rsid w:val="2FD923BA"/>
    <w:rsid w:val="31532D34"/>
    <w:rsid w:val="31B97EDC"/>
    <w:rsid w:val="32B06690"/>
    <w:rsid w:val="339D667F"/>
    <w:rsid w:val="33BC20AD"/>
    <w:rsid w:val="34000351"/>
    <w:rsid w:val="34155EFD"/>
    <w:rsid w:val="34F33591"/>
    <w:rsid w:val="3613670F"/>
    <w:rsid w:val="364E0A3A"/>
    <w:rsid w:val="36634B09"/>
    <w:rsid w:val="36EC3A0F"/>
    <w:rsid w:val="37127DB1"/>
    <w:rsid w:val="385807D6"/>
    <w:rsid w:val="39084E64"/>
    <w:rsid w:val="390F26DA"/>
    <w:rsid w:val="394B7113"/>
    <w:rsid w:val="3A33428E"/>
    <w:rsid w:val="3AD35612"/>
    <w:rsid w:val="3B365BA1"/>
    <w:rsid w:val="3B69234B"/>
    <w:rsid w:val="3E7569E0"/>
    <w:rsid w:val="41393CF5"/>
    <w:rsid w:val="42246FC0"/>
    <w:rsid w:val="42D741B5"/>
    <w:rsid w:val="43D6023A"/>
    <w:rsid w:val="451231DA"/>
    <w:rsid w:val="45594965"/>
    <w:rsid w:val="457134DB"/>
    <w:rsid w:val="45771546"/>
    <w:rsid w:val="45E85CE9"/>
    <w:rsid w:val="45FE72BB"/>
    <w:rsid w:val="47332F94"/>
    <w:rsid w:val="47FC7BF7"/>
    <w:rsid w:val="48AD0A60"/>
    <w:rsid w:val="48C540C0"/>
    <w:rsid w:val="4909137F"/>
    <w:rsid w:val="4A0A26D2"/>
    <w:rsid w:val="4A37223A"/>
    <w:rsid w:val="4AA91EEB"/>
    <w:rsid w:val="4AE72A13"/>
    <w:rsid w:val="4B75001F"/>
    <w:rsid w:val="4C2D31E0"/>
    <w:rsid w:val="4C554A52"/>
    <w:rsid w:val="4C6024F9"/>
    <w:rsid w:val="4CA14ABC"/>
    <w:rsid w:val="4CDA5947"/>
    <w:rsid w:val="4D5B6BD5"/>
    <w:rsid w:val="4E8D5680"/>
    <w:rsid w:val="4EEC23A6"/>
    <w:rsid w:val="4F103185"/>
    <w:rsid w:val="4FC37171"/>
    <w:rsid w:val="501A1195"/>
    <w:rsid w:val="508D42B6"/>
    <w:rsid w:val="50901457"/>
    <w:rsid w:val="52660FD1"/>
    <w:rsid w:val="552A1E7A"/>
    <w:rsid w:val="555111B5"/>
    <w:rsid w:val="558175EF"/>
    <w:rsid w:val="55DF3E7A"/>
    <w:rsid w:val="56242D6E"/>
    <w:rsid w:val="562611CF"/>
    <w:rsid w:val="581666E6"/>
    <w:rsid w:val="581955C0"/>
    <w:rsid w:val="583451B2"/>
    <w:rsid w:val="58EB7B73"/>
    <w:rsid w:val="59E00D5A"/>
    <w:rsid w:val="5A4E0416"/>
    <w:rsid w:val="5C6B5668"/>
    <w:rsid w:val="5D581DB9"/>
    <w:rsid w:val="5DB744C7"/>
    <w:rsid w:val="5DFF7FAB"/>
    <w:rsid w:val="5E782F19"/>
    <w:rsid w:val="5EF9660E"/>
    <w:rsid w:val="5F744CAA"/>
    <w:rsid w:val="5FEC48FC"/>
    <w:rsid w:val="602E50F5"/>
    <w:rsid w:val="61D1679A"/>
    <w:rsid w:val="628D3A49"/>
    <w:rsid w:val="628F0A5F"/>
    <w:rsid w:val="62B31701"/>
    <w:rsid w:val="62D64037"/>
    <w:rsid w:val="62E35688"/>
    <w:rsid w:val="63100901"/>
    <w:rsid w:val="6368429F"/>
    <w:rsid w:val="649B069F"/>
    <w:rsid w:val="65FA7647"/>
    <w:rsid w:val="675039C2"/>
    <w:rsid w:val="679B09B6"/>
    <w:rsid w:val="67B728DB"/>
    <w:rsid w:val="6A1050E1"/>
    <w:rsid w:val="6A7A0D56"/>
    <w:rsid w:val="6A8E0A2A"/>
    <w:rsid w:val="6A973041"/>
    <w:rsid w:val="6C2A3B33"/>
    <w:rsid w:val="6CA7368F"/>
    <w:rsid w:val="6CBD4FEC"/>
    <w:rsid w:val="6D4A2FB1"/>
    <w:rsid w:val="6DAF0D17"/>
    <w:rsid w:val="6DB4632D"/>
    <w:rsid w:val="6DE85FD7"/>
    <w:rsid w:val="6F296836"/>
    <w:rsid w:val="71BB412E"/>
    <w:rsid w:val="7282424D"/>
    <w:rsid w:val="72C25091"/>
    <w:rsid w:val="72DB435C"/>
    <w:rsid w:val="73697BBA"/>
    <w:rsid w:val="73FB2E70"/>
    <w:rsid w:val="746F1200"/>
    <w:rsid w:val="749954FF"/>
    <w:rsid w:val="749D72F2"/>
    <w:rsid w:val="75561BAB"/>
    <w:rsid w:val="78C7160B"/>
    <w:rsid w:val="790E2327"/>
    <w:rsid w:val="796524DA"/>
    <w:rsid w:val="7AAF44C3"/>
    <w:rsid w:val="7B973BE4"/>
    <w:rsid w:val="7C43544C"/>
    <w:rsid w:val="7C6C624B"/>
    <w:rsid w:val="7CCF4F32"/>
    <w:rsid w:val="7D221505"/>
    <w:rsid w:val="7D667ACB"/>
    <w:rsid w:val="7D690EE2"/>
    <w:rsid w:val="7E751B09"/>
    <w:rsid w:val="7F8C65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99"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65"/>
    <w:autoRedefine/>
    <w:qFormat/>
    <w:uiPriority w:val="9"/>
    <w:pPr>
      <w:spacing w:line="360" w:lineRule="auto"/>
      <w:jc w:val="center"/>
      <w:outlineLvl w:val="0"/>
    </w:pPr>
    <w:rPr>
      <w:rFonts w:ascii="方正小标宋_GBK" w:hAnsi="仿宋" w:eastAsia="方正小标宋_GBK"/>
      <w:sz w:val="44"/>
      <w:szCs w:val="44"/>
    </w:rPr>
  </w:style>
  <w:style w:type="paragraph" w:styleId="3">
    <w:name w:val="heading 2"/>
    <w:basedOn w:val="1"/>
    <w:next w:val="1"/>
    <w:link w:val="66"/>
    <w:autoRedefine/>
    <w:unhideWhenUsed/>
    <w:qFormat/>
    <w:uiPriority w:val="9"/>
    <w:pPr>
      <w:spacing w:line="560" w:lineRule="exact"/>
      <w:ind w:firstLine="640" w:firstLineChars="200"/>
      <w:jc w:val="both"/>
      <w:outlineLvl w:val="1"/>
    </w:pPr>
    <w:rPr>
      <w:rFonts w:ascii="楷体" w:hAnsi="楷体" w:eastAsia="黑体"/>
      <w:sz w:val="32"/>
      <w:szCs w:val="32"/>
    </w:rPr>
  </w:style>
  <w:style w:type="paragraph" w:styleId="4">
    <w:name w:val="heading 3"/>
    <w:basedOn w:val="1"/>
    <w:next w:val="1"/>
    <w:link w:val="67"/>
    <w:autoRedefine/>
    <w:unhideWhenUsed/>
    <w:qFormat/>
    <w:uiPriority w:val="9"/>
    <w:pPr>
      <w:spacing w:line="560" w:lineRule="exact"/>
      <w:jc w:val="center"/>
      <w:outlineLvl w:val="2"/>
    </w:pPr>
    <w:rPr>
      <w:rFonts w:ascii="方正小标宋_GBK" w:hAnsi="仿宋" w:eastAsia="方正小标宋_GBK"/>
      <w:sz w:val="36"/>
      <w:szCs w:val="36"/>
    </w:rPr>
  </w:style>
  <w:style w:type="paragraph" w:styleId="5">
    <w:name w:val="heading 4"/>
    <w:basedOn w:val="1"/>
    <w:next w:val="1"/>
    <w:link w:val="68"/>
    <w:autoRedefine/>
    <w:semiHidden/>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69"/>
    <w:autoRedefine/>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70"/>
    <w:autoRedefine/>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71"/>
    <w:autoRedefine/>
    <w:semiHidden/>
    <w:unhideWhenUsed/>
    <w:qFormat/>
    <w:uiPriority w:val="9"/>
    <w:pPr>
      <w:numPr>
        <w:ilvl w:val="6"/>
        <w:numId w:val="1"/>
      </w:numPr>
      <w:spacing w:before="240" w:after="60"/>
      <w:outlineLvl w:val="6"/>
    </w:pPr>
  </w:style>
  <w:style w:type="paragraph" w:styleId="9">
    <w:name w:val="heading 8"/>
    <w:basedOn w:val="1"/>
    <w:next w:val="1"/>
    <w:link w:val="72"/>
    <w:autoRedefine/>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73"/>
    <w:autoRedefine/>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35">
    <w:name w:val="Default Paragraph Font"/>
    <w:autoRedefine/>
    <w:semiHidden/>
    <w:unhideWhenUsed/>
    <w:qFormat/>
    <w:uiPriority w:val="1"/>
  </w:style>
  <w:style w:type="table" w:default="1" w:styleId="32">
    <w:name w:val="Normal Table"/>
    <w:autoRedefine/>
    <w:semiHidden/>
    <w:unhideWhenUsed/>
    <w:qFormat/>
    <w:uiPriority w:val="99"/>
    <w:tblPr>
      <w:tblCellMar>
        <w:top w:w="0" w:type="dxa"/>
        <w:left w:w="108" w:type="dxa"/>
        <w:bottom w:w="0" w:type="dxa"/>
        <w:right w:w="108" w:type="dxa"/>
      </w:tblCellMar>
    </w:tblPr>
  </w:style>
  <w:style w:type="paragraph" w:styleId="11">
    <w:name w:val="Normal Indent"/>
    <w:basedOn w:val="1"/>
    <w:autoRedefine/>
    <w:qFormat/>
    <w:uiPriority w:val="0"/>
    <w:pPr>
      <w:spacing w:line="300" w:lineRule="auto"/>
      <w:ind w:firstLine="420" w:firstLineChars="200"/>
    </w:pPr>
    <w:rPr>
      <w:rFonts w:ascii="Times New Roman"/>
      <w:kern w:val="2"/>
      <w:sz w:val="21"/>
      <w:szCs w:val="24"/>
    </w:rPr>
  </w:style>
  <w:style w:type="paragraph" w:styleId="12">
    <w:name w:val="caption"/>
    <w:basedOn w:val="1"/>
    <w:next w:val="1"/>
    <w:autoRedefine/>
    <w:semiHidden/>
    <w:unhideWhenUsed/>
    <w:qFormat/>
    <w:uiPriority w:val="35"/>
    <w:rPr>
      <w:rFonts w:eastAsia="黑体" w:asciiTheme="majorHAnsi" w:hAnsiTheme="majorHAnsi" w:cstheme="majorBidi"/>
      <w:sz w:val="20"/>
      <w:szCs w:val="20"/>
    </w:rPr>
  </w:style>
  <w:style w:type="paragraph" w:styleId="13">
    <w:name w:val="Document Map"/>
    <w:basedOn w:val="1"/>
    <w:link w:val="97"/>
    <w:autoRedefine/>
    <w:semiHidden/>
    <w:unhideWhenUsed/>
    <w:qFormat/>
    <w:uiPriority w:val="99"/>
    <w:pPr>
      <w:spacing w:line="400" w:lineRule="exact"/>
      <w:jc w:val="both"/>
    </w:pPr>
    <w:rPr>
      <w:rFonts w:ascii="宋体" w:hAnsi="Calibri Light" w:eastAsia="宋体" w:cs="Calibri Light"/>
      <w:kern w:val="2"/>
      <w:sz w:val="18"/>
      <w:szCs w:val="18"/>
    </w:rPr>
  </w:style>
  <w:style w:type="paragraph" w:styleId="14">
    <w:name w:val="annotation text"/>
    <w:basedOn w:val="1"/>
    <w:link w:val="89"/>
    <w:autoRedefine/>
    <w:unhideWhenUsed/>
    <w:qFormat/>
    <w:uiPriority w:val="99"/>
    <w:pPr>
      <w:spacing w:line="400" w:lineRule="exact"/>
    </w:pPr>
    <w:rPr>
      <w:rFonts w:ascii="Calibri Light" w:hAnsi="Calibri Light" w:eastAsia="华文仿宋" w:cs="Calibri Light"/>
      <w:kern w:val="2"/>
      <w:sz w:val="28"/>
      <w:szCs w:val="28"/>
    </w:rPr>
  </w:style>
  <w:style w:type="paragraph" w:styleId="15">
    <w:name w:val="Body Text"/>
    <w:basedOn w:val="1"/>
    <w:autoRedefine/>
    <w:qFormat/>
    <w:uiPriority w:val="0"/>
    <w:pPr>
      <w:spacing w:after="120" w:afterLines="0" w:afterAutospacing="0"/>
    </w:pPr>
  </w:style>
  <w:style w:type="paragraph" w:styleId="16">
    <w:name w:val="Body Text Indent"/>
    <w:basedOn w:val="1"/>
    <w:next w:val="1"/>
    <w:autoRedefine/>
    <w:qFormat/>
    <w:uiPriority w:val="0"/>
    <w:pPr>
      <w:widowControl/>
      <w:ind w:firstLine="652" w:firstLineChars="233"/>
    </w:pPr>
    <w:rPr>
      <w:rFonts w:ascii="Times New Roman"/>
      <w:sz w:val="28"/>
    </w:rPr>
  </w:style>
  <w:style w:type="paragraph" w:styleId="17">
    <w:name w:val="Plain Text"/>
    <w:basedOn w:val="1"/>
    <w:autoRedefine/>
    <w:qFormat/>
    <w:uiPriority w:val="0"/>
    <w:rPr>
      <w:rFonts w:hAnsi="Courier New"/>
      <w:kern w:val="2"/>
      <w:sz w:val="21"/>
    </w:rPr>
  </w:style>
  <w:style w:type="paragraph" w:styleId="18">
    <w:name w:val="Date"/>
    <w:basedOn w:val="1"/>
    <w:next w:val="1"/>
    <w:link w:val="62"/>
    <w:autoRedefine/>
    <w:semiHidden/>
    <w:unhideWhenUsed/>
    <w:qFormat/>
    <w:uiPriority w:val="99"/>
    <w:pPr>
      <w:ind w:left="100" w:leftChars="2500"/>
    </w:pPr>
  </w:style>
  <w:style w:type="paragraph" w:styleId="19">
    <w:name w:val="Body Text Indent 2"/>
    <w:basedOn w:val="1"/>
    <w:autoRedefine/>
    <w:qFormat/>
    <w:uiPriority w:val="99"/>
    <w:pPr>
      <w:tabs>
        <w:tab w:val="left" w:pos="5625"/>
      </w:tabs>
      <w:ind w:left="1138" w:leftChars="542"/>
    </w:pPr>
    <w:rPr>
      <w:rFonts w:ascii="Times New Roman"/>
      <w:kern w:val="2"/>
    </w:rPr>
  </w:style>
  <w:style w:type="paragraph" w:styleId="20">
    <w:name w:val="Balloon Text"/>
    <w:basedOn w:val="1"/>
    <w:link w:val="88"/>
    <w:autoRedefine/>
    <w:semiHidden/>
    <w:unhideWhenUsed/>
    <w:qFormat/>
    <w:uiPriority w:val="99"/>
    <w:rPr>
      <w:sz w:val="18"/>
      <w:szCs w:val="18"/>
    </w:rPr>
  </w:style>
  <w:style w:type="paragraph" w:styleId="21">
    <w:name w:val="footer"/>
    <w:basedOn w:val="1"/>
    <w:link w:val="64"/>
    <w:autoRedefine/>
    <w:unhideWhenUsed/>
    <w:qFormat/>
    <w:uiPriority w:val="99"/>
    <w:pPr>
      <w:tabs>
        <w:tab w:val="center" w:pos="4153"/>
        <w:tab w:val="right" w:pos="8306"/>
      </w:tabs>
      <w:snapToGrid w:val="0"/>
      <w:spacing w:line="240" w:lineRule="atLeast"/>
    </w:pPr>
    <w:rPr>
      <w:sz w:val="18"/>
      <w:szCs w:val="18"/>
    </w:rPr>
  </w:style>
  <w:style w:type="paragraph" w:styleId="22">
    <w:name w:val="header"/>
    <w:basedOn w:val="1"/>
    <w:link w:val="63"/>
    <w:autoRedefine/>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23">
    <w:name w:val="toc 1"/>
    <w:basedOn w:val="1"/>
    <w:next w:val="1"/>
    <w:autoRedefine/>
    <w:unhideWhenUsed/>
    <w:qFormat/>
    <w:uiPriority w:val="39"/>
    <w:pPr>
      <w:spacing w:before="100" w:beforeLines="100" w:after="100" w:afterLines="100"/>
    </w:pPr>
    <w:rPr>
      <w:rFonts w:ascii="Calibri" w:hAnsi="Calibri" w:eastAsia="宋体"/>
      <w:kern w:val="32"/>
      <w:sz w:val="32"/>
    </w:rPr>
  </w:style>
  <w:style w:type="paragraph" w:styleId="24">
    <w:name w:val="toc 4"/>
    <w:basedOn w:val="1"/>
    <w:next w:val="1"/>
    <w:autoRedefine/>
    <w:qFormat/>
    <w:uiPriority w:val="0"/>
    <w:pPr>
      <w:ind w:left="630"/>
      <w:jc w:val="left"/>
    </w:pPr>
    <w:rPr>
      <w:sz w:val="18"/>
      <w:szCs w:val="18"/>
    </w:rPr>
  </w:style>
  <w:style w:type="paragraph" w:styleId="25">
    <w:name w:val="Subtitle"/>
    <w:basedOn w:val="1"/>
    <w:next w:val="1"/>
    <w:link w:val="75"/>
    <w:autoRedefine/>
    <w:qFormat/>
    <w:uiPriority w:val="11"/>
    <w:pPr>
      <w:keepNext/>
      <w:spacing w:before="50" w:beforeLines="50" w:after="50" w:afterLines="50"/>
      <w:jc w:val="center"/>
      <w:outlineLvl w:val="1"/>
    </w:pPr>
    <w:rPr>
      <w:rFonts w:ascii="Calibri" w:hAnsi="Calibri" w:eastAsia="黑体" w:cstheme="majorBidi"/>
      <w:sz w:val="32"/>
    </w:rPr>
  </w:style>
  <w:style w:type="paragraph" w:styleId="26">
    <w:name w:val="toc 2"/>
    <w:basedOn w:val="1"/>
    <w:next w:val="1"/>
    <w:autoRedefine/>
    <w:semiHidden/>
    <w:unhideWhenUsed/>
    <w:qFormat/>
    <w:uiPriority w:val="39"/>
    <w:pPr>
      <w:ind w:left="420" w:leftChars="200"/>
    </w:pPr>
  </w:style>
  <w:style w:type="paragraph" w:styleId="27">
    <w:name w:val="Normal (Web)"/>
    <w:basedOn w:val="1"/>
    <w:autoRedefine/>
    <w:qFormat/>
    <w:uiPriority w:val="99"/>
    <w:pPr>
      <w:widowControl/>
      <w:spacing w:before="100" w:beforeLines="0" w:beforeAutospacing="1" w:after="100" w:afterLines="0" w:afterAutospacing="1"/>
      <w:jc w:val="left"/>
    </w:pPr>
    <w:rPr>
      <w:rFonts w:ascii="宋体" w:hAnsi="宋体"/>
      <w:kern w:val="0"/>
      <w:sz w:val="24"/>
      <w:szCs w:val="24"/>
    </w:rPr>
  </w:style>
  <w:style w:type="paragraph" w:styleId="28">
    <w:name w:val="Title"/>
    <w:basedOn w:val="1"/>
    <w:next w:val="1"/>
    <w:link w:val="74"/>
    <w:autoRedefine/>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9">
    <w:name w:val="annotation subject"/>
    <w:basedOn w:val="14"/>
    <w:next w:val="14"/>
    <w:link w:val="96"/>
    <w:autoRedefine/>
    <w:semiHidden/>
    <w:unhideWhenUsed/>
    <w:qFormat/>
    <w:uiPriority w:val="99"/>
    <w:rPr>
      <w:b/>
      <w:bCs/>
    </w:rPr>
  </w:style>
  <w:style w:type="paragraph" w:styleId="30">
    <w:name w:val="Body Text First Indent"/>
    <w:basedOn w:val="15"/>
    <w:next w:val="1"/>
    <w:autoRedefine/>
    <w:qFormat/>
    <w:uiPriority w:val="99"/>
    <w:pPr>
      <w:ind w:firstLine="420" w:firstLineChars="100"/>
    </w:pPr>
  </w:style>
  <w:style w:type="paragraph" w:styleId="31">
    <w:name w:val="Body Text First Indent 2"/>
    <w:basedOn w:val="16"/>
    <w:next w:val="1"/>
    <w:autoRedefine/>
    <w:qFormat/>
    <w:uiPriority w:val="99"/>
    <w:pPr>
      <w:spacing w:after="120"/>
      <w:ind w:left="420" w:leftChars="200" w:right="0" w:rightChars="0" w:firstLine="420" w:firstLineChars="200"/>
    </w:pPr>
    <w:rPr>
      <w:rFonts w:ascii="Times New Roman" w:hAnsi="Times New Roman"/>
      <w:sz w:val="21"/>
      <w:szCs w:val="24"/>
    </w:rPr>
  </w:style>
  <w:style w:type="table" w:styleId="33">
    <w:name w:val="Table Grid"/>
    <w:basedOn w:val="3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4">
    <w:name w:val="Table Elegant"/>
    <w:basedOn w:val="32"/>
    <w:autoRedefine/>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character" w:styleId="36">
    <w:name w:val="Strong"/>
    <w:basedOn w:val="35"/>
    <w:autoRedefine/>
    <w:qFormat/>
    <w:uiPriority w:val="22"/>
    <w:rPr>
      <w:rFonts w:ascii="Times New Roman" w:hAnsi="Times New Roman" w:eastAsia="宋体" w:cs="Times New Roman"/>
      <w:b/>
      <w:bCs/>
    </w:rPr>
  </w:style>
  <w:style w:type="character" w:styleId="37">
    <w:name w:val="page number"/>
    <w:autoRedefine/>
    <w:qFormat/>
    <w:uiPriority w:val="0"/>
    <w:rPr>
      <w:rFonts w:ascii="Times New Roman" w:hAnsi="Times New Roman" w:eastAsia="宋体" w:cs="Times New Roman"/>
    </w:rPr>
  </w:style>
  <w:style w:type="character" w:styleId="38">
    <w:name w:val="FollowedHyperlink"/>
    <w:basedOn w:val="35"/>
    <w:autoRedefine/>
    <w:semiHidden/>
    <w:unhideWhenUsed/>
    <w:qFormat/>
    <w:uiPriority w:val="99"/>
    <w:rPr>
      <w:rFonts w:ascii="Times New Roman" w:hAnsi="Times New Roman" w:eastAsia="宋体" w:cs="Times New Roman"/>
      <w:color w:val="7E1FAD" w:themeColor="followedHyperlink"/>
      <w:u w:val="single"/>
      <w14:textFill>
        <w14:solidFill>
          <w14:schemeClr w14:val="folHlink"/>
        </w14:solidFill>
      </w14:textFill>
    </w:rPr>
  </w:style>
  <w:style w:type="character" w:styleId="39">
    <w:name w:val="Emphasis"/>
    <w:basedOn w:val="35"/>
    <w:autoRedefine/>
    <w:qFormat/>
    <w:uiPriority w:val="20"/>
    <w:rPr>
      <w:rFonts w:eastAsia="宋体" w:cs="Times New Roman" w:asciiTheme="minorHAnsi" w:hAnsiTheme="minorHAnsi"/>
      <w:b/>
      <w:i/>
      <w:iCs/>
    </w:rPr>
  </w:style>
  <w:style w:type="character" w:styleId="40">
    <w:name w:val="Hyperlink"/>
    <w:basedOn w:val="35"/>
    <w:autoRedefine/>
    <w:unhideWhenUsed/>
    <w:qFormat/>
    <w:uiPriority w:val="99"/>
    <w:rPr>
      <w:rFonts w:ascii="Times New Roman" w:hAnsi="Times New Roman" w:eastAsia="宋体" w:cs="Times New Roman"/>
      <w:color w:val="0026E5" w:themeColor="hyperlink"/>
      <w:u w:val="single"/>
      <w14:textFill>
        <w14:solidFill>
          <w14:schemeClr w14:val="hlink"/>
        </w14:solidFill>
      </w14:textFill>
    </w:rPr>
  </w:style>
  <w:style w:type="character" w:styleId="41">
    <w:name w:val="annotation reference"/>
    <w:basedOn w:val="35"/>
    <w:autoRedefine/>
    <w:semiHidden/>
    <w:unhideWhenUsed/>
    <w:qFormat/>
    <w:uiPriority w:val="99"/>
    <w:rPr>
      <w:rFonts w:ascii="Times New Roman" w:hAnsi="Times New Roman" w:eastAsia="宋体" w:cs="Times New Roman"/>
      <w:sz w:val="21"/>
      <w:szCs w:val="21"/>
    </w:rPr>
  </w:style>
  <w:style w:type="paragraph" w:customStyle="1" w:styleId="42">
    <w:name w:val="※封面大标题"/>
    <w:basedOn w:val="1"/>
    <w:next w:val="1"/>
    <w:autoRedefine/>
    <w:qFormat/>
    <w:uiPriority w:val="0"/>
    <w:pPr>
      <w:jc w:val="center"/>
    </w:pPr>
    <w:rPr>
      <w:rFonts w:ascii="华文中宋" w:hAnsi="华文中宋" w:eastAsia="华文中宋"/>
      <w:sz w:val="96"/>
      <w:szCs w:val="96"/>
    </w:rPr>
  </w:style>
  <w:style w:type="paragraph" w:customStyle="1" w:styleId="43">
    <w:name w:val="※封面题颌"/>
    <w:basedOn w:val="1"/>
    <w:next w:val="1"/>
    <w:autoRedefine/>
    <w:qFormat/>
    <w:uiPriority w:val="0"/>
    <w:pPr>
      <w:jc w:val="center"/>
    </w:pPr>
    <w:rPr>
      <w:rFonts w:ascii="Calibri Light" w:hAnsi="Calibri Light" w:eastAsia="华文仿宋"/>
      <w:sz w:val="36"/>
      <w:szCs w:val="36"/>
    </w:rPr>
  </w:style>
  <w:style w:type="paragraph" w:customStyle="1" w:styleId="44">
    <w:name w:val="※封面题眉"/>
    <w:basedOn w:val="1"/>
    <w:next w:val="42"/>
    <w:autoRedefine/>
    <w:qFormat/>
    <w:uiPriority w:val="0"/>
    <w:pPr>
      <w:jc w:val="center"/>
    </w:pPr>
    <w:rPr>
      <w:rFonts w:ascii="华文仿宋" w:hAnsi="华文仿宋" w:eastAsia="华文仿宋"/>
      <w:sz w:val="52"/>
      <w:szCs w:val="28"/>
    </w:rPr>
  </w:style>
  <w:style w:type="paragraph" w:customStyle="1" w:styleId="45">
    <w:name w:val="※封面题须"/>
    <w:basedOn w:val="1"/>
    <w:autoRedefine/>
    <w:qFormat/>
    <w:uiPriority w:val="0"/>
    <w:pPr>
      <w:ind w:left="850" w:leftChars="350" w:right="250" w:rightChars="250" w:hanging="500" w:hangingChars="500"/>
    </w:pPr>
    <w:rPr>
      <w:rFonts w:ascii="Calibri" w:hAnsi="Calibri" w:eastAsia="宋体"/>
      <w:sz w:val="36"/>
      <w:szCs w:val="36"/>
    </w:rPr>
  </w:style>
  <w:style w:type="paragraph" w:customStyle="1" w:styleId="46">
    <w:name w:val="※目录（次）"/>
    <w:basedOn w:val="1"/>
    <w:autoRedefine/>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47">
    <w:name w:val="※目录（主）"/>
    <w:basedOn w:val="1"/>
    <w:autoRedefine/>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48">
    <w:name w:val="※小标题 1"/>
    <w:basedOn w:val="1"/>
    <w:next w:val="1"/>
    <w:autoRedefine/>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49">
    <w:name w:val="※正文"/>
    <w:basedOn w:val="1"/>
    <w:next w:val="1"/>
    <w:autoRedefine/>
    <w:qFormat/>
    <w:uiPriority w:val="0"/>
    <w:pPr>
      <w:wordWrap w:val="0"/>
      <w:spacing w:line="400" w:lineRule="exact"/>
    </w:pPr>
    <w:rPr>
      <w:rFonts w:ascii="Calibri Light" w:hAnsi="Calibri Light" w:eastAsia="华文仿宋"/>
      <w:sz w:val="28"/>
      <w:szCs w:val="28"/>
    </w:rPr>
  </w:style>
  <w:style w:type="paragraph" w:customStyle="1" w:styleId="50">
    <w:name w:val="※小标题 一"/>
    <w:basedOn w:val="49"/>
    <w:next w:val="49"/>
    <w:autoRedefine/>
    <w:qFormat/>
    <w:uiPriority w:val="0"/>
    <w:pPr>
      <w:spacing w:before="120" w:line="240" w:lineRule="auto"/>
      <w:outlineLvl w:val="2"/>
    </w:pPr>
    <w:rPr>
      <w:b/>
      <w:color w:val="18605A" w:themeColor="accent5" w:themeShade="80"/>
      <w:sz w:val="32"/>
    </w:rPr>
  </w:style>
  <w:style w:type="paragraph" w:customStyle="1" w:styleId="51">
    <w:name w:val="※小标题（1）"/>
    <w:basedOn w:val="1"/>
    <w:next w:val="49"/>
    <w:autoRedefine/>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52">
    <w:name w:val="※小标题（一）"/>
    <w:basedOn w:val="1"/>
    <w:next w:val="49"/>
    <w:autoRedefine/>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53">
    <w:name w:val="※页脚（横屏）"/>
    <w:basedOn w:val="1"/>
    <w:autoRedefine/>
    <w:qFormat/>
    <w:uiPriority w:val="0"/>
    <w:pPr>
      <w:tabs>
        <w:tab w:val="center" w:pos="7000"/>
      </w:tabs>
      <w:wordWrap w:val="0"/>
      <w:spacing w:line="240" w:lineRule="atLeast"/>
    </w:pPr>
    <w:rPr>
      <w:rFonts w:ascii="宋体" w:hAnsi="宋体" w:eastAsia="宋体"/>
      <w:sz w:val="18"/>
      <w:szCs w:val="18"/>
    </w:rPr>
  </w:style>
  <w:style w:type="paragraph" w:customStyle="1" w:styleId="54">
    <w:name w:val="※页脚（竖屏）"/>
    <w:basedOn w:val="1"/>
    <w:autoRedefine/>
    <w:qFormat/>
    <w:uiPriority w:val="0"/>
    <w:pPr>
      <w:tabs>
        <w:tab w:val="center" w:pos="4536"/>
      </w:tabs>
      <w:wordWrap w:val="0"/>
      <w:spacing w:line="240" w:lineRule="atLeast"/>
    </w:pPr>
    <w:rPr>
      <w:rFonts w:ascii="宋体" w:hAnsi="宋体" w:eastAsia="宋体"/>
      <w:sz w:val="18"/>
      <w:szCs w:val="18"/>
    </w:rPr>
  </w:style>
  <w:style w:type="paragraph" w:customStyle="1" w:styleId="55">
    <w:name w:val="※页眉"/>
    <w:basedOn w:val="49"/>
    <w:autoRedefine/>
    <w:qFormat/>
    <w:uiPriority w:val="0"/>
    <w:pPr>
      <w:pBdr>
        <w:bottom w:val="single" w:color="auto" w:sz="4" w:space="1"/>
      </w:pBdr>
      <w:spacing w:line="240" w:lineRule="atLeast"/>
      <w:jc w:val="right"/>
    </w:pPr>
    <w:rPr>
      <w:rFonts w:ascii="宋体" w:hAnsi="宋体" w:eastAsia="宋体"/>
      <w:sz w:val="18"/>
    </w:rPr>
  </w:style>
  <w:style w:type="paragraph" w:customStyle="1" w:styleId="56">
    <w:name w:val="※章节标题（第X章）"/>
    <w:basedOn w:val="1"/>
    <w:autoRedefine/>
    <w:qFormat/>
    <w:uiPriority w:val="0"/>
    <w:pPr>
      <w:jc w:val="center"/>
      <w:outlineLvl w:val="0"/>
    </w:pPr>
    <w:rPr>
      <w:rFonts w:ascii="Calibri Light" w:hAnsi="Calibri Light" w:eastAsia="黑体"/>
      <w:sz w:val="36"/>
      <w:szCs w:val="28"/>
    </w:rPr>
  </w:style>
  <w:style w:type="paragraph" w:customStyle="1" w:styleId="57">
    <w:name w:val="※章节标题（第Y部分）"/>
    <w:basedOn w:val="1"/>
    <w:next w:val="1"/>
    <w:autoRedefine/>
    <w:qFormat/>
    <w:uiPriority w:val="0"/>
    <w:pPr>
      <w:jc w:val="center"/>
      <w:outlineLvl w:val="1"/>
    </w:pPr>
    <w:rPr>
      <w:rFonts w:ascii="Calibri Light" w:hAnsi="Calibri Light" w:eastAsia="黑体"/>
      <w:color w:val="1E386B" w:themeColor="accent1" w:themeShade="80"/>
      <w:sz w:val="32"/>
      <w:szCs w:val="36"/>
    </w:rPr>
  </w:style>
  <w:style w:type="paragraph" w:customStyle="1" w:styleId="58">
    <w:name w:val="※章节标题（第Z部分分项）"/>
    <w:basedOn w:val="57"/>
    <w:autoRedefine/>
    <w:qFormat/>
    <w:uiPriority w:val="0"/>
    <w:pPr>
      <w:outlineLvl w:val="2"/>
    </w:pPr>
  </w:style>
  <w:style w:type="paragraph" w:customStyle="1" w:styleId="59">
    <w:name w:val="※正文（落款）"/>
    <w:basedOn w:val="1"/>
    <w:autoRedefine/>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60">
    <w:name w:val="※正文（缩进2）"/>
    <w:basedOn w:val="49"/>
    <w:autoRedefine/>
    <w:qFormat/>
    <w:uiPriority w:val="0"/>
    <w:pPr>
      <w:ind w:firstLine="200" w:firstLineChars="200"/>
    </w:pPr>
  </w:style>
  <w:style w:type="paragraph" w:customStyle="1" w:styleId="61">
    <w:name w:val="※正文（缩进4）"/>
    <w:basedOn w:val="49"/>
    <w:autoRedefine/>
    <w:qFormat/>
    <w:uiPriority w:val="0"/>
    <w:pPr>
      <w:ind w:firstLine="400" w:firstLineChars="400"/>
    </w:pPr>
  </w:style>
  <w:style w:type="character" w:customStyle="1" w:styleId="62">
    <w:name w:val="日期 字符"/>
    <w:basedOn w:val="35"/>
    <w:link w:val="18"/>
    <w:autoRedefine/>
    <w:semiHidden/>
    <w:qFormat/>
    <w:uiPriority w:val="99"/>
    <w:rPr>
      <w:rFonts w:ascii="Times New Roman" w:hAnsi="Times New Roman" w:eastAsia="宋体" w:cs="Times New Roman"/>
    </w:rPr>
  </w:style>
  <w:style w:type="character" w:customStyle="1" w:styleId="63">
    <w:name w:val="页眉 字符"/>
    <w:basedOn w:val="35"/>
    <w:link w:val="22"/>
    <w:autoRedefine/>
    <w:qFormat/>
    <w:uiPriority w:val="0"/>
    <w:rPr>
      <w:rFonts w:ascii="Times New Roman" w:hAnsi="Times New Roman" w:eastAsia="宋体" w:cs="Times New Roman"/>
      <w:sz w:val="18"/>
      <w:szCs w:val="18"/>
    </w:rPr>
  </w:style>
  <w:style w:type="character" w:customStyle="1" w:styleId="64">
    <w:name w:val="页脚 字符"/>
    <w:basedOn w:val="35"/>
    <w:link w:val="21"/>
    <w:autoRedefine/>
    <w:qFormat/>
    <w:uiPriority w:val="99"/>
    <w:rPr>
      <w:rFonts w:ascii="Times New Roman" w:hAnsi="Times New Roman" w:eastAsia="宋体" w:cs="Times New Roman"/>
      <w:sz w:val="18"/>
      <w:szCs w:val="18"/>
    </w:rPr>
  </w:style>
  <w:style w:type="character" w:customStyle="1" w:styleId="65">
    <w:name w:val="标题 1 字符"/>
    <w:basedOn w:val="35"/>
    <w:link w:val="2"/>
    <w:autoRedefine/>
    <w:qFormat/>
    <w:uiPriority w:val="9"/>
    <w:rPr>
      <w:rFonts w:ascii="方正小标宋_GBK" w:hAnsi="仿宋" w:eastAsia="方正小标宋_GBK" w:cs="Times New Roman"/>
      <w:sz w:val="44"/>
      <w:szCs w:val="44"/>
    </w:rPr>
  </w:style>
  <w:style w:type="character" w:customStyle="1" w:styleId="66">
    <w:name w:val="标题 2 字符"/>
    <w:basedOn w:val="35"/>
    <w:link w:val="3"/>
    <w:autoRedefine/>
    <w:qFormat/>
    <w:uiPriority w:val="9"/>
    <w:rPr>
      <w:rFonts w:ascii="楷体" w:hAnsi="楷体" w:eastAsia="黑体" w:cs="Times New Roman"/>
      <w:sz w:val="32"/>
      <w:szCs w:val="32"/>
    </w:rPr>
  </w:style>
  <w:style w:type="character" w:customStyle="1" w:styleId="67">
    <w:name w:val="标题 3 字符"/>
    <w:basedOn w:val="35"/>
    <w:link w:val="4"/>
    <w:autoRedefine/>
    <w:qFormat/>
    <w:uiPriority w:val="9"/>
    <w:rPr>
      <w:rFonts w:ascii="方正小标宋_GBK" w:hAnsi="仿宋" w:eastAsia="方正小标宋_GBK" w:cs="Times New Roman"/>
      <w:sz w:val="36"/>
      <w:szCs w:val="36"/>
    </w:rPr>
  </w:style>
  <w:style w:type="character" w:customStyle="1" w:styleId="68">
    <w:name w:val="标题 4 字符"/>
    <w:basedOn w:val="35"/>
    <w:link w:val="5"/>
    <w:autoRedefine/>
    <w:semiHidden/>
    <w:qFormat/>
    <w:uiPriority w:val="9"/>
    <w:rPr>
      <w:rFonts w:ascii="Times New Roman" w:hAnsi="Times New Roman" w:eastAsia="宋体" w:cstheme="majorBidi"/>
      <w:b/>
      <w:bCs/>
      <w:sz w:val="28"/>
      <w:szCs w:val="28"/>
    </w:rPr>
  </w:style>
  <w:style w:type="character" w:customStyle="1" w:styleId="69">
    <w:name w:val="标题 5 字符"/>
    <w:basedOn w:val="35"/>
    <w:link w:val="6"/>
    <w:autoRedefine/>
    <w:semiHidden/>
    <w:qFormat/>
    <w:uiPriority w:val="9"/>
    <w:rPr>
      <w:rFonts w:ascii="Times New Roman" w:hAnsi="Times New Roman" w:eastAsia="宋体" w:cs="Times New Roman"/>
      <w:b/>
      <w:bCs/>
      <w:i/>
      <w:iCs/>
      <w:sz w:val="26"/>
      <w:szCs w:val="26"/>
    </w:rPr>
  </w:style>
  <w:style w:type="character" w:customStyle="1" w:styleId="70">
    <w:name w:val="标题 6 字符"/>
    <w:basedOn w:val="35"/>
    <w:link w:val="7"/>
    <w:autoRedefine/>
    <w:semiHidden/>
    <w:qFormat/>
    <w:uiPriority w:val="9"/>
    <w:rPr>
      <w:rFonts w:ascii="Times New Roman" w:hAnsi="Times New Roman" w:eastAsia="宋体" w:cstheme="majorBidi"/>
      <w:b/>
      <w:bCs/>
      <w:sz w:val="22"/>
      <w:szCs w:val="22"/>
    </w:rPr>
  </w:style>
  <w:style w:type="character" w:customStyle="1" w:styleId="71">
    <w:name w:val="标题 7 字符"/>
    <w:basedOn w:val="35"/>
    <w:link w:val="8"/>
    <w:autoRedefine/>
    <w:semiHidden/>
    <w:qFormat/>
    <w:uiPriority w:val="9"/>
    <w:rPr>
      <w:rFonts w:ascii="Times New Roman" w:hAnsi="Times New Roman" w:eastAsia="宋体" w:cs="Times New Roman"/>
    </w:rPr>
  </w:style>
  <w:style w:type="character" w:customStyle="1" w:styleId="72">
    <w:name w:val="标题 8 字符"/>
    <w:basedOn w:val="35"/>
    <w:link w:val="9"/>
    <w:autoRedefine/>
    <w:semiHidden/>
    <w:qFormat/>
    <w:uiPriority w:val="9"/>
    <w:rPr>
      <w:rFonts w:ascii="Times New Roman" w:hAnsi="Times New Roman" w:eastAsia="宋体" w:cstheme="majorBidi"/>
      <w:i/>
      <w:iCs/>
    </w:rPr>
  </w:style>
  <w:style w:type="character" w:customStyle="1" w:styleId="73">
    <w:name w:val="标题 9 字符"/>
    <w:basedOn w:val="35"/>
    <w:link w:val="10"/>
    <w:autoRedefine/>
    <w:semiHidden/>
    <w:qFormat/>
    <w:uiPriority w:val="9"/>
    <w:rPr>
      <w:rFonts w:asciiTheme="majorHAnsi" w:hAnsiTheme="majorHAnsi" w:eastAsiaTheme="majorEastAsia" w:cstheme="majorBidi"/>
      <w:sz w:val="22"/>
      <w:szCs w:val="22"/>
    </w:rPr>
  </w:style>
  <w:style w:type="character" w:customStyle="1" w:styleId="74">
    <w:name w:val="标题 字符"/>
    <w:basedOn w:val="35"/>
    <w:link w:val="28"/>
    <w:autoRedefine/>
    <w:qFormat/>
    <w:uiPriority w:val="10"/>
    <w:rPr>
      <w:rFonts w:asciiTheme="majorHAnsi" w:hAnsiTheme="majorHAnsi" w:eastAsiaTheme="majorEastAsia" w:cstheme="majorBidi"/>
      <w:b/>
      <w:bCs/>
      <w:kern w:val="28"/>
      <w:sz w:val="32"/>
      <w:szCs w:val="32"/>
    </w:rPr>
  </w:style>
  <w:style w:type="character" w:customStyle="1" w:styleId="75">
    <w:name w:val="副标题 字符"/>
    <w:basedOn w:val="35"/>
    <w:link w:val="25"/>
    <w:autoRedefine/>
    <w:qFormat/>
    <w:uiPriority w:val="11"/>
    <w:rPr>
      <w:rFonts w:ascii="Calibri" w:hAnsi="Calibri" w:eastAsia="黑体" w:cstheme="majorBidi"/>
      <w:sz w:val="32"/>
    </w:rPr>
  </w:style>
  <w:style w:type="paragraph" w:styleId="76">
    <w:name w:val="No Spacing"/>
    <w:basedOn w:val="1"/>
    <w:autoRedefine/>
    <w:qFormat/>
    <w:uiPriority w:val="1"/>
    <w:rPr>
      <w:szCs w:val="32"/>
    </w:rPr>
  </w:style>
  <w:style w:type="paragraph" w:styleId="77">
    <w:name w:val="List Paragraph"/>
    <w:basedOn w:val="1"/>
    <w:autoRedefine/>
    <w:qFormat/>
    <w:uiPriority w:val="0"/>
    <w:pPr>
      <w:ind w:left="720"/>
      <w:contextualSpacing/>
    </w:pPr>
  </w:style>
  <w:style w:type="paragraph" w:styleId="78">
    <w:name w:val="Quote"/>
    <w:basedOn w:val="1"/>
    <w:next w:val="1"/>
    <w:link w:val="79"/>
    <w:autoRedefine/>
    <w:qFormat/>
    <w:uiPriority w:val="29"/>
    <w:rPr>
      <w:i/>
    </w:rPr>
  </w:style>
  <w:style w:type="character" w:customStyle="1" w:styleId="79">
    <w:name w:val="引用 字符"/>
    <w:basedOn w:val="35"/>
    <w:link w:val="78"/>
    <w:autoRedefine/>
    <w:qFormat/>
    <w:uiPriority w:val="29"/>
    <w:rPr>
      <w:rFonts w:ascii="Times New Roman" w:hAnsi="Times New Roman" w:eastAsia="宋体" w:cs="Times New Roman"/>
      <w:i/>
    </w:rPr>
  </w:style>
  <w:style w:type="paragraph" w:styleId="80">
    <w:name w:val="Intense Quote"/>
    <w:basedOn w:val="1"/>
    <w:next w:val="1"/>
    <w:link w:val="81"/>
    <w:autoRedefine/>
    <w:qFormat/>
    <w:uiPriority w:val="30"/>
    <w:pPr>
      <w:ind w:left="720" w:right="720"/>
    </w:pPr>
    <w:rPr>
      <w:b/>
      <w:i/>
      <w:szCs w:val="22"/>
    </w:rPr>
  </w:style>
  <w:style w:type="character" w:customStyle="1" w:styleId="81">
    <w:name w:val="明显引用 字符"/>
    <w:basedOn w:val="35"/>
    <w:link w:val="80"/>
    <w:autoRedefine/>
    <w:qFormat/>
    <w:uiPriority w:val="30"/>
    <w:rPr>
      <w:rFonts w:ascii="Times New Roman" w:hAnsi="Times New Roman" w:eastAsia="宋体" w:cs="Times New Roman"/>
      <w:b/>
      <w:i/>
      <w:szCs w:val="22"/>
    </w:rPr>
  </w:style>
  <w:style w:type="character" w:customStyle="1" w:styleId="82">
    <w:name w:val="Subtle Emphasis"/>
    <w:autoRedefine/>
    <w:qFormat/>
    <w:uiPriority w:val="19"/>
    <w:rPr>
      <w:rFonts w:ascii="Times New Roman" w:hAnsi="Times New Roman" w:eastAsia="宋体" w:cs="Times New Roman"/>
      <w:i/>
      <w:color w:val="595959" w:themeColor="text1" w:themeTint="A6"/>
      <w14:textFill>
        <w14:solidFill>
          <w14:schemeClr w14:val="tx1">
            <w14:lumMod w14:val="65000"/>
            <w14:lumOff w14:val="35000"/>
          </w14:schemeClr>
        </w14:solidFill>
      </w14:textFill>
    </w:rPr>
  </w:style>
  <w:style w:type="character" w:customStyle="1" w:styleId="83">
    <w:name w:val="Intense Emphasis"/>
    <w:basedOn w:val="35"/>
    <w:autoRedefine/>
    <w:qFormat/>
    <w:uiPriority w:val="21"/>
    <w:rPr>
      <w:rFonts w:ascii="Times New Roman" w:hAnsi="Times New Roman" w:eastAsia="宋体" w:cs="Times New Roman"/>
      <w:b/>
      <w:i/>
      <w:sz w:val="24"/>
      <w:szCs w:val="24"/>
      <w:u w:val="single"/>
    </w:rPr>
  </w:style>
  <w:style w:type="character" w:customStyle="1" w:styleId="84">
    <w:name w:val="Subtle Reference"/>
    <w:basedOn w:val="35"/>
    <w:autoRedefine/>
    <w:qFormat/>
    <w:uiPriority w:val="31"/>
    <w:rPr>
      <w:rFonts w:ascii="Times New Roman" w:hAnsi="Times New Roman" w:eastAsia="宋体" w:cs="Times New Roman"/>
      <w:sz w:val="24"/>
      <w:szCs w:val="24"/>
      <w:u w:val="single"/>
    </w:rPr>
  </w:style>
  <w:style w:type="character" w:customStyle="1" w:styleId="85">
    <w:name w:val="Intense Reference"/>
    <w:basedOn w:val="35"/>
    <w:autoRedefine/>
    <w:qFormat/>
    <w:uiPriority w:val="32"/>
    <w:rPr>
      <w:rFonts w:ascii="Times New Roman" w:hAnsi="Times New Roman" w:eastAsia="宋体" w:cs="Times New Roman"/>
      <w:b/>
      <w:sz w:val="24"/>
      <w:u w:val="single"/>
    </w:rPr>
  </w:style>
  <w:style w:type="character" w:customStyle="1" w:styleId="86">
    <w:name w:val="Book Title"/>
    <w:basedOn w:val="35"/>
    <w:autoRedefine/>
    <w:qFormat/>
    <w:uiPriority w:val="33"/>
    <w:rPr>
      <w:rFonts w:cs="Times New Roman" w:asciiTheme="majorHAnsi" w:hAnsiTheme="majorHAnsi" w:eastAsiaTheme="majorEastAsia"/>
      <w:b/>
      <w:i/>
      <w:sz w:val="24"/>
      <w:szCs w:val="24"/>
    </w:rPr>
  </w:style>
  <w:style w:type="paragraph" w:customStyle="1" w:styleId="87">
    <w:name w:val="TOC Heading"/>
    <w:basedOn w:val="2"/>
    <w:next w:val="1"/>
    <w:autoRedefine/>
    <w:semiHidden/>
    <w:unhideWhenUsed/>
    <w:qFormat/>
    <w:uiPriority w:val="39"/>
    <w:pPr>
      <w:outlineLvl w:val="9"/>
    </w:pPr>
  </w:style>
  <w:style w:type="character" w:customStyle="1" w:styleId="88">
    <w:name w:val="批注框文本 字符"/>
    <w:basedOn w:val="35"/>
    <w:link w:val="20"/>
    <w:autoRedefine/>
    <w:semiHidden/>
    <w:qFormat/>
    <w:uiPriority w:val="99"/>
    <w:rPr>
      <w:rFonts w:ascii="Times New Roman" w:hAnsi="Times New Roman" w:eastAsia="宋体" w:cs="Times New Roman"/>
      <w:sz w:val="18"/>
      <w:szCs w:val="18"/>
    </w:rPr>
  </w:style>
  <w:style w:type="character" w:customStyle="1" w:styleId="89">
    <w:name w:val="批注文字 字符"/>
    <w:basedOn w:val="35"/>
    <w:link w:val="14"/>
    <w:autoRedefine/>
    <w:qFormat/>
    <w:uiPriority w:val="99"/>
    <w:rPr>
      <w:rFonts w:ascii="Calibri Light" w:hAnsi="Calibri Light" w:eastAsia="华文仿宋" w:cs="Calibri Light"/>
      <w:kern w:val="2"/>
      <w:sz w:val="28"/>
      <w:szCs w:val="28"/>
    </w:rPr>
  </w:style>
  <w:style w:type="paragraph" w:customStyle="1" w:styleId="90">
    <w:name w:val="@正文"/>
    <w:basedOn w:val="49"/>
    <w:autoRedefine/>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91">
    <w:name w:val="@一级小标题"/>
    <w:basedOn w:val="1"/>
    <w:next w:val="90"/>
    <w:autoRedefine/>
    <w:qFormat/>
    <w:uiPriority w:val="0"/>
    <w:pPr>
      <w:keepNext/>
      <w:spacing w:before="120" w:after="60"/>
      <w:outlineLvl w:val="2"/>
    </w:pPr>
    <w:rPr>
      <w:rFonts w:ascii="Calibri" w:hAnsi="Calibri" w:eastAsia="黑体"/>
      <w:kern w:val="28"/>
      <w:sz w:val="28"/>
    </w:rPr>
  </w:style>
  <w:style w:type="paragraph" w:customStyle="1" w:styleId="92">
    <w:name w:val="@标题"/>
    <w:basedOn w:val="1"/>
    <w:next w:val="90"/>
    <w:autoRedefine/>
    <w:qFormat/>
    <w:uiPriority w:val="0"/>
    <w:pPr>
      <w:keepNext/>
      <w:spacing w:before="50" w:beforeLines="50" w:after="50" w:afterLines="50"/>
      <w:jc w:val="center"/>
      <w:outlineLvl w:val="1"/>
    </w:pPr>
    <w:rPr>
      <w:rFonts w:ascii="Calibri" w:hAnsi="Calibri" w:eastAsia="黑体"/>
      <w:kern w:val="32"/>
      <w:sz w:val="32"/>
    </w:rPr>
  </w:style>
  <w:style w:type="table" w:customStyle="1" w:styleId="93">
    <w:name w:val="网格型1"/>
    <w:basedOn w:val="32"/>
    <w:autoRedefine/>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4">
    <w:name w:val="页眉 Char1"/>
    <w:basedOn w:val="35"/>
    <w:autoRedefine/>
    <w:semiHidden/>
    <w:qFormat/>
    <w:uiPriority w:val="99"/>
    <w:rPr>
      <w:rFonts w:ascii="Times New Roman" w:hAnsi="Times New Roman" w:eastAsia="宋体" w:cs="Calibri Light"/>
      <w:sz w:val="18"/>
      <w:szCs w:val="18"/>
    </w:rPr>
  </w:style>
  <w:style w:type="character" w:customStyle="1" w:styleId="95">
    <w:name w:val="页脚 Char1"/>
    <w:basedOn w:val="35"/>
    <w:autoRedefine/>
    <w:semiHidden/>
    <w:qFormat/>
    <w:uiPriority w:val="99"/>
    <w:rPr>
      <w:rFonts w:ascii="Times New Roman" w:hAnsi="Times New Roman" w:eastAsia="宋体" w:cs="Calibri Light"/>
      <w:sz w:val="18"/>
      <w:szCs w:val="18"/>
    </w:rPr>
  </w:style>
  <w:style w:type="character" w:customStyle="1" w:styleId="96">
    <w:name w:val="批注主题 字符"/>
    <w:basedOn w:val="89"/>
    <w:link w:val="29"/>
    <w:autoRedefine/>
    <w:semiHidden/>
    <w:qFormat/>
    <w:uiPriority w:val="99"/>
    <w:rPr>
      <w:b/>
      <w:bCs/>
    </w:rPr>
  </w:style>
  <w:style w:type="character" w:customStyle="1" w:styleId="97">
    <w:name w:val="文档结构图 字符"/>
    <w:basedOn w:val="35"/>
    <w:link w:val="13"/>
    <w:autoRedefine/>
    <w:semiHidden/>
    <w:qFormat/>
    <w:uiPriority w:val="99"/>
    <w:rPr>
      <w:rFonts w:ascii="宋体" w:hAnsi="Calibri Light" w:eastAsia="宋体" w:cs="Calibri Light"/>
      <w:kern w:val="2"/>
      <w:sz w:val="18"/>
      <w:szCs w:val="18"/>
    </w:rPr>
  </w:style>
  <w:style w:type="character" w:styleId="98">
    <w:name w:val="Placeholder Text"/>
    <w:basedOn w:val="35"/>
    <w:autoRedefine/>
    <w:semiHidden/>
    <w:qFormat/>
    <w:uiPriority w:val="99"/>
    <w:rPr>
      <w:rFonts w:ascii="Times New Roman" w:hAnsi="Times New Roman" w:eastAsia="宋体" w:cs="Times New Roman"/>
      <w:color w:val="808080"/>
    </w:rPr>
  </w:style>
  <w:style w:type="character" w:customStyle="1" w:styleId="99">
    <w:name w:val="Unresolved Mention"/>
    <w:basedOn w:val="35"/>
    <w:autoRedefine/>
    <w:semiHidden/>
    <w:unhideWhenUsed/>
    <w:qFormat/>
    <w:uiPriority w:val="99"/>
    <w:rPr>
      <w:rFonts w:ascii="Times New Roman" w:hAnsi="Times New Roman" w:eastAsia="宋体" w:cs="Times New Roman"/>
      <w:color w:val="605E5C"/>
      <w:shd w:val="clear" w:color="auto" w:fill="E1DFDD"/>
    </w:rPr>
  </w:style>
  <w:style w:type="paragraph" w:customStyle="1" w:styleId="100">
    <w:name w:val="样式1"/>
    <w:basedOn w:val="4"/>
    <w:link w:val="102"/>
    <w:autoRedefine/>
    <w:qFormat/>
    <w:uiPriority w:val="0"/>
    <w:pPr>
      <w:jc w:val="left"/>
    </w:pPr>
    <w:rPr>
      <w:rFonts w:eastAsia="楷体"/>
      <w:sz w:val="32"/>
    </w:rPr>
  </w:style>
  <w:style w:type="paragraph" w:customStyle="1" w:styleId="101">
    <w:name w:val="样式2"/>
    <w:basedOn w:val="92"/>
    <w:link w:val="104"/>
    <w:autoRedefine/>
    <w:qFormat/>
    <w:uiPriority w:val="0"/>
    <w:pPr>
      <w:spacing w:line="560" w:lineRule="exact"/>
      <w:ind w:firstLine="643" w:firstLineChars="200"/>
      <w:jc w:val="both"/>
    </w:pPr>
    <w:rPr>
      <w:rFonts w:ascii="仿宋_GB2312" w:hAnsi="仿宋" w:eastAsia="仿宋_GB2312"/>
      <w:b/>
      <w:bCs/>
      <w:szCs w:val="32"/>
    </w:rPr>
  </w:style>
  <w:style w:type="character" w:customStyle="1" w:styleId="102">
    <w:name w:val="样式1 字符"/>
    <w:basedOn w:val="66"/>
    <w:link w:val="100"/>
    <w:autoRedefine/>
    <w:qFormat/>
    <w:uiPriority w:val="0"/>
    <w:rPr>
      <w:rFonts w:eastAsia="楷体"/>
      <w:sz w:val="32"/>
    </w:rPr>
  </w:style>
  <w:style w:type="paragraph" w:customStyle="1" w:styleId="103">
    <w:name w:val="样式3"/>
    <w:basedOn w:val="1"/>
    <w:link w:val="105"/>
    <w:autoRedefine/>
    <w:qFormat/>
    <w:uiPriority w:val="0"/>
    <w:pPr>
      <w:spacing w:line="560" w:lineRule="exact"/>
      <w:jc w:val="center"/>
    </w:pPr>
    <w:rPr>
      <w:rFonts w:ascii="方正小标宋_GBK" w:hAnsi="仿宋" w:eastAsia="方正小标宋_GBK"/>
      <w:sz w:val="36"/>
      <w:szCs w:val="36"/>
    </w:rPr>
  </w:style>
  <w:style w:type="character" w:customStyle="1" w:styleId="104">
    <w:name w:val="样式2 字符"/>
    <w:basedOn w:val="35"/>
    <w:link w:val="101"/>
    <w:autoRedefine/>
    <w:qFormat/>
    <w:uiPriority w:val="0"/>
    <w:rPr>
      <w:rFonts w:ascii="仿宋_GB2312" w:hAnsi="仿宋" w:eastAsia="仿宋_GB2312" w:cs="Times New Roman"/>
      <w:b/>
      <w:bCs/>
      <w:szCs w:val="32"/>
    </w:rPr>
  </w:style>
  <w:style w:type="character" w:customStyle="1" w:styleId="105">
    <w:name w:val="样式3 字符"/>
    <w:basedOn w:val="35"/>
    <w:link w:val="103"/>
    <w:autoRedefine/>
    <w:qFormat/>
    <w:uiPriority w:val="0"/>
    <w:rPr>
      <w:rFonts w:ascii="方正小标宋_GBK" w:hAnsi="仿宋" w:eastAsia="方正小标宋_GBK" w:cs="Times New Roman"/>
      <w:sz w:val="36"/>
      <w:szCs w:val="36"/>
    </w:rPr>
  </w:style>
  <w:style w:type="paragraph" w:customStyle="1" w:styleId="106">
    <w:name w:val="WPSOffice手动目录 1"/>
    <w:autoRedefine/>
    <w:qFormat/>
    <w:uiPriority w:val="0"/>
    <w:pPr>
      <w:ind w:leftChars="0"/>
    </w:pPr>
    <w:rPr>
      <w:rFonts w:cs="Times New Roman" w:asciiTheme="minorHAnsi" w:hAnsiTheme="minorHAnsi" w:eastAsiaTheme="minorEastAsia"/>
      <w:sz w:val="20"/>
      <w:szCs w:val="20"/>
    </w:rPr>
  </w:style>
  <w:style w:type="paragraph" w:customStyle="1" w:styleId="107">
    <w:name w:val="WPSOffice手动目录 2"/>
    <w:autoRedefine/>
    <w:qFormat/>
    <w:uiPriority w:val="0"/>
    <w:pPr>
      <w:ind w:leftChars="200"/>
    </w:pPr>
    <w:rPr>
      <w:rFonts w:cs="Times New Roman" w:asciiTheme="minorHAnsi" w:hAnsiTheme="minorHAnsi" w:eastAsiaTheme="minorEastAsia"/>
      <w:sz w:val="20"/>
      <w:szCs w:val="20"/>
    </w:rPr>
  </w:style>
  <w:style w:type="paragraph" w:customStyle="1" w:styleId="10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09">
    <w:name w:val="Plain Text"/>
    <w:basedOn w:val="1"/>
    <w:autoRedefine/>
    <w:qFormat/>
    <w:uiPriority w:val="0"/>
    <w:pPr>
      <w:spacing w:line="324" w:lineRule="auto"/>
    </w:pPr>
    <w:rPr>
      <w:rFonts w:ascii="宋体" w:hAnsi="Courier New" w:cs="Courier New"/>
      <w:szCs w:val="21"/>
    </w:rPr>
  </w:style>
  <w:style w:type="paragraph" w:customStyle="1" w:styleId="110">
    <w:name w:val="样式 WG标题3 + 行距: 固定值 18 磅"/>
    <w:basedOn w:val="1"/>
    <w:autoRedefine/>
    <w:qFormat/>
    <w:uiPriority w:val="0"/>
    <w:pPr>
      <w:autoSpaceDE w:val="0"/>
      <w:autoSpaceDN w:val="0"/>
      <w:adjustRightInd w:val="0"/>
      <w:spacing w:line="360" w:lineRule="exact"/>
      <w:ind w:firstLine="200" w:firstLineChars="200"/>
      <w:textAlignment w:val="baseline"/>
      <w:outlineLvl w:val="2"/>
    </w:pPr>
    <w:rPr>
      <w:rFonts w:cs="宋体"/>
      <w:b/>
      <w:bCs/>
      <w:color w:val="000000"/>
      <w:kern w:val="20"/>
      <w:sz w:val="24"/>
    </w:rPr>
  </w:style>
  <w:style w:type="paragraph" w:customStyle="1" w:styleId="111">
    <w:name w:val="表格文字中"/>
    <w:basedOn w:val="1"/>
    <w:autoRedefine/>
    <w:qFormat/>
    <w:uiPriority w:val="0"/>
    <w:pPr>
      <w:adjustRightInd w:val="0"/>
      <w:snapToGrid w:val="0"/>
      <w:ind w:left="22" w:leftChars="8"/>
      <w:jc w:val="center"/>
    </w:pPr>
    <w:rPr>
      <w:kern w:val="0"/>
      <w:szCs w:val="24"/>
    </w:rPr>
  </w:style>
  <w:style w:type="paragraph" w:customStyle="1" w:styleId="112">
    <w:name w:val="表注1"/>
    <w:basedOn w:val="1"/>
    <w:autoRedefine/>
    <w:qFormat/>
    <w:uiPriority w:val="0"/>
    <w:pPr>
      <w:adjustRightInd w:val="0"/>
      <w:snapToGrid w:val="0"/>
      <w:spacing w:beforeLines="50" w:line="300" w:lineRule="auto"/>
      <w:ind w:left="350" w:hanging="350" w:hangingChars="350"/>
    </w:pPr>
    <w:rPr>
      <w:rFonts w:eastAsia="仿宋_GB2312"/>
      <w:bCs/>
      <w:color w:val="000000"/>
      <w:szCs w:val="24"/>
    </w:rPr>
  </w:style>
  <w:style w:type="paragraph" w:customStyle="1" w:styleId="113">
    <w:name w:val="正文缩进1"/>
    <w:basedOn w:val="1"/>
    <w:autoRedefine/>
    <w:qFormat/>
    <w:uiPriority w:val="0"/>
    <w:pPr>
      <w:ind w:firstLine="420" w:firstLineChars="200"/>
    </w:pPr>
  </w:style>
  <w:style w:type="paragraph" w:customStyle="1" w:styleId="114">
    <w:name w:val="Default"/>
    <w:autoRedefine/>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character" w:customStyle="1" w:styleId="115">
    <w:name w:val="font21"/>
    <w:basedOn w:val="35"/>
    <w:autoRedefine/>
    <w:qFormat/>
    <w:uiPriority w:val="0"/>
    <w:rPr>
      <w:rFonts w:hint="eastAsia" w:ascii="宋体" w:hAnsi="宋体" w:eastAsia="宋体" w:cs="宋体"/>
      <w:color w:val="000000"/>
      <w:sz w:val="18"/>
      <w:szCs w:val="18"/>
      <w:u w:val="none"/>
    </w:rPr>
  </w:style>
  <w:style w:type="character" w:customStyle="1" w:styleId="116">
    <w:name w:val="font131"/>
    <w:basedOn w:val="35"/>
    <w:autoRedefine/>
    <w:qFormat/>
    <w:uiPriority w:val="0"/>
    <w:rPr>
      <w:rFonts w:hint="eastAsia" w:ascii="宋体" w:hAnsi="宋体" w:eastAsia="宋体" w:cs="宋体"/>
      <w:color w:val="000000"/>
      <w:sz w:val="18"/>
      <w:szCs w:val="18"/>
      <w:u w:val="none"/>
    </w:rPr>
  </w:style>
  <w:style w:type="character" w:customStyle="1" w:styleId="117">
    <w:name w:val="font141"/>
    <w:basedOn w:val="35"/>
    <w:autoRedefine/>
    <w:qFormat/>
    <w:uiPriority w:val="0"/>
    <w:rPr>
      <w:rFonts w:hint="eastAsia" w:ascii="宋体" w:hAnsi="宋体" w:eastAsia="宋体" w:cs="宋体"/>
      <w:color w:val="000000"/>
      <w:sz w:val="18"/>
      <w:szCs w:val="18"/>
      <w:u w:val="none"/>
    </w:rPr>
  </w:style>
  <w:style w:type="character" w:customStyle="1" w:styleId="118">
    <w:name w:val="font61"/>
    <w:basedOn w:val="35"/>
    <w:autoRedefine/>
    <w:qFormat/>
    <w:uiPriority w:val="0"/>
    <w:rPr>
      <w:rFonts w:hint="default" w:ascii="Times New Roman" w:hAnsi="Times New Roman" w:eastAsia="宋体" w:cs="Times New Roman"/>
      <w:color w:val="000000"/>
      <w:sz w:val="20"/>
      <w:szCs w:val="20"/>
      <w:u w:val="none"/>
    </w:rPr>
  </w:style>
  <w:style w:type="character" w:customStyle="1" w:styleId="119">
    <w:name w:val="font91"/>
    <w:basedOn w:val="35"/>
    <w:autoRedefine/>
    <w:qFormat/>
    <w:uiPriority w:val="0"/>
    <w:rPr>
      <w:rFonts w:hint="eastAsia" w:ascii="宋体" w:hAnsi="宋体" w:eastAsia="宋体" w:cs="宋体"/>
      <w:color w:val="000000"/>
      <w:sz w:val="20"/>
      <w:szCs w:val="20"/>
      <w:u w:val="none"/>
    </w:rPr>
  </w:style>
  <w:style w:type="character" w:customStyle="1" w:styleId="120">
    <w:name w:val="font71"/>
    <w:basedOn w:val="35"/>
    <w:autoRedefine/>
    <w:qFormat/>
    <w:uiPriority w:val="0"/>
    <w:rPr>
      <w:rFonts w:hint="eastAsia" w:ascii="宋体" w:hAnsi="宋体" w:eastAsia="宋体" w:cs="宋体"/>
      <w:color w:val="000000"/>
      <w:sz w:val="20"/>
      <w:szCs w:val="20"/>
      <w:u w:val="none"/>
    </w:rPr>
  </w:style>
  <w:style w:type="character" w:customStyle="1" w:styleId="121">
    <w:name w:val="font101"/>
    <w:basedOn w:val="35"/>
    <w:autoRedefine/>
    <w:qFormat/>
    <w:uiPriority w:val="0"/>
    <w:rPr>
      <w:rFonts w:hint="default" w:ascii="Times New Roman" w:hAnsi="Times New Roman" w:eastAsia="宋体" w:cs="Times New Roman"/>
      <w:color w:val="000000"/>
      <w:sz w:val="20"/>
      <w:szCs w:val="20"/>
      <w:u w:val="none"/>
      <w:vertAlign w:val="superscript"/>
    </w:rPr>
  </w:style>
  <w:style w:type="character" w:customStyle="1" w:styleId="122">
    <w:name w:val="font121"/>
    <w:basedOn w:val="35"/>
    <w:autoRedefine/>
    <w:qFormat/>
    <w:uiPriority w:val="0"/>
    <w:rPr>
      <w:rFonts w:hint="eastAsia" w:ascii="宋体" w:hAnsi="宋体" w:eastAsia="宋体" w:cs="宋体"/>
      <w:color w:val="000000"/>
      <w:sz w:val="20"/>
      <w:szCs w:val="20"/>
      <w:u w:val="none"/>
    </w:rPr>
  </w:style>
  <w:style w:type="paragraph" w:customStyle="1" w:styleId="123">
    <w:name w:val="列出段落1"/>
    <w:basedOn w:val="1"/>
    <w:autoRedefine/>
    <w:qFormat/>
    <w:uiPriority w:val="0"/>
    <w:pPr>
      <w:ind w:firstLine="420" w:firstLineChars="200"/>
    </w:pPr>
  </w:style>
  <w:style w:type="paragraph" w:customStyle="1" w:styleId="124">
    <w:name w:val="样式 10 磅"/>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125">
    <w:name w:val="样式 首行缩进:  2 字符"/>
    <w:basedOn w:val="1"/>
    <w:autoRedefine/>
    <w:qFormat/>
    <w:uiPriority w:val="0"/>
    <w:pPr>
      <w:spacing w:line="400" w:lineRule="exact"/>
      <w:ind w:firstLine="200" w:firstLineChars="200"/>
    </w:pPr>
    <w:rPr>
      <w:rFonts w:cs="宋体"/>
    </w:rPr>
  </w:style>
  <w:style w:type="character" w:customStyle="1" w:styleId="126">
    <w:name w:val="NormalCharacter"/>
    <w:autoRedefine/>
    <w:qFormat/>
    <w:uiPriority w:val="0"/>
    <w:rPr>
      <w:rFonts w:hint="eastAsia" w:ascii="宋体" w:hAnsi="Times New Roman" w:eastAsia="宋体" w:cs="Times New Roman"/>
      <w:sz w:val="24"/>
      <w:lang w:val="en-US" w:eastAsia="zh-CN" w:bidi="ar-SA"/>
    </w:rPr>
  </w:style>
  <w:style w:type="paragraph" w:customStyle="1" w:styleId="127">
    <w:name w:val="0-正文"/>
    <w:basedOn w:val="1"/>
    <w:autoRedefine/>
    <w:qFormat/>
    <w:uiPriority w:val="0"/>
    <w:rPr>
      <w:rFonts w:ascii="宋体" w:hAnsi="宋体" w:cs="Times New Roman"/>
      <w:sz w:val="28"/>
    </w:rPr>
  </w:style>
  <w:style w:type="paragraph" w:customStyle="1" w:styleId="128">
    <w:name w:val="列表段落1"/>
    <w:basedOn w:val="1"/>
    <w:autoRedefine/>
    <w:qFormat/>
    <w:uiPriority w:val="34"/>
    <w:pPr>
      <w:ind w:firstLine="420" w:firstLineChars="200"/>
    </w:pPr>
    <w:rPr>
      <w:szCs w:val="20"/>
    </w:rPr>
  </w:style>
  <w:style w:type="paragraph" w:customStyle="1" w:styleId="129">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89</Pages>
  <Words>17589</Words>
  <Characters>19229</Characters>
  <Lines>1035</Lines>
  <Paragraphs>716</Paragraphs>
  <TotalTime>13</TotalTime>
  <ScaleCrop>false</ScaleCrop>
  <LinksUpToDate>false</LinksUpToDate>
  <CharactersWithSpaces>19387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2022-04-07T08:51:00Z</dcterms:created>
  <dc:creator>lenovo</dc:creator>
  <cp:lastModifiedBy>1</cp:lastModifiedBy>
  <cp:lastPrinted>2026-06-10T09:19:00Z</cp:lastPrinted>
  <dcterms:modified xsi:type="dcterms:W3CDTF">2026-08-05T11:16:53Z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95FD6BB240CE43BC9EAEDD296849BCF4_13</vt:lpwstr>
  </property>
  <property fmtid="{D5CDD505-2E9C-101B-9397-08002B2CF9AE}" pid="4" name="KSOTemplateDocerSaveRecord">
    <vt:lpwstr>eyJoZGlkIjoiYWRjNjA3YjNkZTkyNDk4OTI5YWU2YmU2MzVkMmI4MTAiLCJ1c2VySWQiOiI0ODU3MDc4MjgifQ==</vt:lpwstr>
  </property>
</Properties>
</file>