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版本号：LZBA2026-42020260429001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现场工程师专项培养计划项目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LZBA2026-420</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现场工程师专项培养计划项目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LZBA2026-420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现场工程师专项培养计划项目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贯彻落实《国务院办公厅关于深化产教融合的若干意见》和《国务院常务会议部署加快发展现代职业教育》的精神，全面提高人才培养质量。大数据应用学院积极创新人才培养模式，决定遴选、组建成立“现场工程师班”。探索“电子信息类+大数据技术专业群现场工程师”培养的标准和育人模式，联合培养一批具备工匠精神，精操作、懂工艺、会管理、善协作、能创新的现场工程师，服务于新一代信息技术产业。通过校企深度合作，以“工学交替、育训结合、在岗成才”的学徒制理念，通过校企双导师育训交互的方式，打造“小学期工学交替”的育人模式。以行业企业的真实项目为载体，聚焦新一代信息技术领域紧缺数字人才，培养具有“优良的思想品德，精湛的专业技能，符合企业发展需求的Java等软件开发工程师、技术支持工程师。该项目面向大数据技术、计算机应用技术、软件技术专业学生。2024年已通过校企联合考试的招生办法，从 2023 级高职专科新生遴选了一批（约40人）优秀的学生组建成“现场工程师班”。2025年持续实施现场工程师专项培养计划项目（二期），从2024级高职专科新生遴选一批（约40人）优秀的学生组建新一届“现场工程师班”。为了培养满足产业需求的软件开发岗位人才，持续化服务“现场工程师班”，2026年需要持续实施现场工程师专项培养计划项目（三期）。同时，2026年还需再从2025级高职专科新生遴选一批（约40人）优秀的学生组建新一届“现场工程师班”。项目建设完成后，解决陕西省内对于JAVA等软件开发工程师岗位的用工需求，持续突出职业教育类型教育的特点，促进职业教育提质增效，加快落实大国工匠培养，致力改变社会对职业教育的固有认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029-86518862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服务类执行。2、中标单位在领取中标通知书之前，须向代理机构支付招标代理服务费。 招标代理服务费以转账或现金形式缴纳至以下账户： 开户名称：龙寰项目管理咨询有限公司 开户银行：平安银行西安高新路支行 账 号：30201278018505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以合同具体要求为准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联系人：张钰晴、刘婧、张波</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为贯彻落实《国务院办公厅关于深化产教融合的若干意见》和《国务院常务会议部署加快发展现代职业教育》的精神，全面提高人才培养质量。大数据应用学院积极创新人才培养模式，决定遴选、组建成立“现场工程师班”。探索“电子信息类+大数据技术专业群现场工程师”培养的标准和育人模式，联合培养一批具备工匠精神，精操作、懂工艺、会管理、善协作、能创新的现场工程师，服务于新一代信息技术产业。通过校企深度合作，以“工学交替、育训结合、在岗成才”的学徒制理念，通过校企双导师育训交互的方式，打造“小学期工学交替”的育人模式。以行业企业的真实项目为载体，聚焦新一代信息技术领域紧缺数字人才，培养具有“优良的思想品德，精湛的专业技能，符合企业发展需求的Java等软件开发工程师、技术支持工程师。该项目面向大数据技术、计算机应用技术、软件技术专业学生。2024年已通过校企联合考试的招生办法，从 2023 级高职专科新生遴选了一批（约40人）优秀的学生组建成“现场工程师班”。2025年持续实施现场工程师专项培养计划项目（二期），从2024级高职专科新生遴选一批（约40人）优秀的学生组建新一届“现场工程师班”。为了培养满足产业需求的软件开发岗位人才，持续化服务“现场工程师班”，2026年需要持续实施现场工程师专项培养计划项目（三期）。同时，2026年还需再从2025级高职专科新生遴选一批（约40人）优秀的学生组建新一届“现场工程师班”。项目建设完成后，解决陕西省内对于JAVA等软件开发工程师岗位的用工需求，持续突出职业教育类型教育的特点，促进职业教育提质增效，加快落实大国工匠培养，致力改变社会对职业教育的固有认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2,250,000.00</w:t>
      </w:r>
    </w:p>
    <w:p>
      <w:pPr>
        <w:pStyle w:val="null3"/>
      </w:pPr>
      <w:r>
        <w:rPr>
          <w:rFonts w:ascii="仿宋_GB2312" w:hAnsi="仿宋_GB2312" w:cs="仿宋_GB2312" w:eastAsia="仿宋_GB2312"/>
        </w:rPr>
        <w:t>采购包最高限价（元）: 2,250,000.00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现场工程师专项培养计划项目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标的名称：现场工程师专项培养计划项目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需求框架</w:t>
            </w:r>
          </w:p>
          <w:p>
            <w:pPr>
              <w:pStyle w:val="null3"/>
            </w:pPr>
            <w:r>
              <w:rPr>
                <w:rFonts w:ascii="仿宋_GB2312" w:hAnsi="仿宋_GB2312" w:cs="仿宋_GB2312" w:eastAsia="仿宋_GB2312"/>
                <w:sz w:val="20"/>
                <w:b/>
              </w:rPr>
              <w:t>一、项目</w:t>
            </w:r>
            <w:r>
              <w:rPr>
                <w:rFonts w:ascii="仿宋_GB2312" w:hAnsi="仿宋_GB2312" w:cs="仿宋_GB2312" w:eastAsia="仿宋_GB2312"/>
                <w:sz w:val="20"/>
                <w:b/>
              </w:rPr>
              <w:t>概况</w:t>
            </w:r>
          </w:p>
          <w:p>
            <w:pPr>
              <w:pStyle w:val="null3"/>
              <w:ind w:firstLine="400"/>
              <w:jc w:val="both"/>
            </w:pPr>
            <w:r>
              <w:rPr>
                <w:rFonts w:ascii="仿宋_GB2312" w:hAnsi="仿宋_GB2312" w:cs="仿宋_GB2312" w:eastAsia="仿宋_GB2312"/>
                <w:sz w:val="20"/>
              </w:rPr>
              <w:t>为贯彻落实《国务院办公厅关于深化产教融合的若干意见》和《国务院常务会议部署加快发展现代职业教育》的精神，全面提高人才培养质量。大数据应用学院积极创新人才培养模式，决定遴选、组建成立</w:t>
            </w:r>
            <w:r>
              <w:rPr>
                <w:rFonts w:ascii="仿宋_GB2312" w:hAnsi="仿宋_GB2312" w:cs="仿宋_GB2312" w:eastAsia="仿宋_GB2312"/>
                <w:sz w:val="20"/>
              </w:rPr>
              <w:t>“现场工程师班”。探索“电子信息类+大数据技术专业群现场工程师”培养的标准和育人模式，联合培养一批具备工匠精神，精操作、懂工艺、会管理、善协作、能创新的现场工程师，服务于新一代信息技术产业。</w:t>
            </w:r>
          </w:p>
          <w:p>
            <w:pPr>
              <w:pStyle w:val="null3"/>
              <w:ind w:firstLine="400"/>
              <w:jc w:val="both"/>
            </w:pPr>
            <w:r>
              <w:rPr>
                <w:rFonts w:ascii="仿宋_GB2312" w:hAnsi="仿宋_GB2312" w:cs="仿宋_GB2312" w:eastAsia="仿宋_GB2312"/>
                <w:sz w:val="20"/>
              </w:rPr>
              <w:t>通过校企深度合作，以</w:t>
            </w:r>
            <w:r>
              <w:rPr>
                <w:rFonts w:ascii="仿宋_GB2312" w:hAnsi="仿宋_GB2312" w:cs="仿宋_GB2312" w:eastAsia="仿宋_GB2312"/>
                <w:sz w:val="20"/>
              </w:rPr>
              <w:t>“工学交替、育训结合、在岗成才”的学徒制理念，通过校企双导师育训交互的方式，打造“小学期工学交替”的育人模式。以行业企业的真实项目为载体，聚焦新一代信息技术领域紧缺数字人才，培养具有“优良的思想品德，精湛的专业技能，符合企业发展需求的Java等软件开发工程师、技术支持工程师。</w:t>
            </w:r>
          </w:p>
          <w:p>
            <w:pPr>
              <w:pStyle w:val="null3"/>
              <w:ind w:firstLine="400"/>
              <w:jc w:val="both"/>
            </w:pPr>
            <w:r>
              <w:rPr>
                <w:rFonts w:ascii="仿宋_GB2312" w:hAnsi="仿宋_GB2312" w:cs="仿宋_GB2312" w:eastAsia="仿宋_GB2312"/>
                <w:sz w:val="20"/>
              </w:rPr>
              <w:t>该项目面向大数据技术、计算机应用技术、软件技术专业学生。</w:t>
            </w:r>
            <w:r>
              <w:rPr>
                <w:rFonts w:ascii="仿宋_GB2312" w:hAnsi="仿宋_GB2312" w:cs="仿宋_GB2312" w:eastAsia="仿宋_GB2312"/>
                <w:sz w:val="20"/>
              </w:rPr>
              <w:t>2024年已通过校企联合考试的招生办法，从 2023 级高职专科新生遴选了一批（约40人）优秀的学生组建成“现场工程师班”。2025年持续实施现场工程师专项培养计划项目（二期），从2024级高职专科新生遴选一批（约40人）优秀的学生组建新一届“现场工程师班”。</w:t>
            </w:r>
          </w:p>
          <w:p>
            <w:pPr>
              <w:pStyle w:val="null3"/>
              <w:ind w:firstLine="400"/>
              <w:jc w:val="both"/>
            </w:pPr>
            <w:r>
              <w:rPr>
                <w:rFonts w:ascii="仿宋_GB2312" w:hAnsi="仿宋_GB2312" w:cs="仿宋_GB2312" w:eastAsia="仿宋_GB2312"/>
                <w:sz w:val="20"/>
              </w:rPr>
              <w:t>为了培养满足产业需求的软件开发岗位人才，持续化服务</w:t>
            </w:r>
            <w:r>
              <w:rPr>
                <w:rFonts w:ascii="仿宋_GB2312" w:hAnsi="仿宋_GB2312" w:cs="仿宋_GB2312" w:eastAsia="仿宋_GB2312"/>
                <w:sz w:val="20"/>
              </w:rPr>
              <w:t>“现场工程师班”，2026年需要持续实施现场工程师专项培养计划项目（三期）。同时，2026年还需再从2025级高职专科新生遴选一批（约</w:t>
            </w:r>
            <w:r>
              <w:rPr>
                <w:rFonts w:ascii="仿宋_GB2312" w:hAnsi="仿宋_GB2312" w:cs="仿宋_GB2312" w:eastAsia="仿宋_GB2312"/>
                <w:sz w:val="20"/>
              </w:rPr>
              <w:t>4</w:t>
            </w:r>
            <w:r>
              <w:rPr>
                <w:rFonts w:ascii="仿宋_GB2312" w:hAnsi="仿宋_GB2312" w:cs="仿宋_GB2312" w:eastAsia="仿宋_GB2312"/>
                <w:sz w:val="20"/>
              </w:rPr>
              <w:t>0人）优秀的学生组建新一届“现场工程师班”。</w:t>
            </w:r>
          </w:p>
          <w:p>
            <w:pPr>
              <w:pStyle w:val="null3"/>
              <w:ind w:firstLine="400"/>
              <w:jc w:val="both"/>
            </w:pPr>
            <w:r>
              <w:rPr>
                <w:rFonts w:ascii="仿宋_GB2312" w:hAnsi="仿宋_GB2312" w:cs="仿宋_GB2312" w:eastAsia="仿宋_GB2312"/>
                <w:sz w:val="20"/>
              </w:rPr>
              <w:t>项目建设完成后，解决陕西省内对于</w:t>
            </w:r>
            <w:r>
              <w:rPr>
                <w:rFonts w:ascii="仿宋_GB2312" w:hAnsi="仿宋_GB2312" w:cs="仿宋_GB2312" w:eastAsia="仿宋_GB2312"/>
                <w:sz w:val="20"/>
              </w:rPr>
              <w:t>JAVA等软件开发工程师岗位的用工需求，持续突出职业教育类型教育的特点，促进职业教育提质增效，加快落实大国工匠培养，致力改变社会对职业教育的固有认知。</w:t>
            </w:r>
          </w:p>
          <w:p>
            <w:pPr>
              <w:pStyle w:val="null3"/>
              <w:spacing w:before="180" w:after="180"/>
              <w:jc w:val="both"/>
            </w:pPr>
            <w:r>
              <w:rPr>
                <w:rFonts w:ascii="仿宋_GB2312" w:hAnsi="仿宋_GB2312" w:cs="仿宋_GB2312" w:eastAsia="仿宋_GB2312"/>
                <w:sz w:val="20"/>
                <w:b/>
              </w:rPr>
              <w:t>二、</w:t>
            </w:r>
            <w:r>
              <w:rPr>
                <w:rFonts w:ascii="仿宋_GB2312" w:hAnsi="仿宋_GB2312" w:cs="仿宋_GB2312" w:eastAsia="仿宋_GB2312"/>
                <w:sz w:val="20"/>
                <w:b/>
              </w:rPr>
              <w:t>采购</w:t>
            </w:r>
            <w:r>
              <w:rPr>
                <w:rFonts w:ascii="仿宋_GB2312" w:hAnsi="仿宋_GB2312" w:cs="仿宋_GB2312" w:eastAsia="仿宋_GB2312"/>
                <w:sz w:val="20"/>
                <w:b/>
              </w:rPr>
              <w:t>内容</w:t>
            </w:r>
          </w:p>
          <w:tbl>
            <w:tblPr>
              <w:tblBorders>
                <w:top w:val="none" w:color="000000" w:sz="4"/>
                <w:left w:val="none" w:color="000000" w:sz="4"/>
                <w:bottom w:val="none" w:color="000000" w:sz="4"/>
                <w:right w:val="none" w:color="000000" w:sz="4"/>
                <w:insideH w:val="none"/>
                <w:insideV w:val="none"/>
              </w:tblBorders>
            </w:tblPr>
            <w:tblGrid>
              <w:gridCol w:w="281"/>
              <w:gridCol w:w="1540"/>
              <w:gridCol w:w="485"/>
              <w:gridCol w:w="246"/>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序号</w:t>
                  </w:r>
                </w:p>
              </w:tc>
              <w:tc>
                <w:tcPr>
                  <w:tcW w:type="dxa" w:w="1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名称</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单位</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数量</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校企协同育人机制创新服务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联合培养协议（学生补贴服务）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人才培养方案优化服务（组织校内外专家论证）</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专业核心课程体系优化服务（根据产业需求动态调整）</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课程教学资源开发服务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6</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企业班主任</w:t>
                  </w:r>
                  <w:r>
                    <w:rPr>
                      <w:rFonts w:ascii="仿宋_GB2312" w:hAnsi="仿宋_GB2312" w:cs="仿宋_GB2312" w:eastAsia="仿宋_GB2312"/>
                      <w:sz w:val="20"/>
                    </w:rPr>
                    <w:t>及</w:t>
                  </w:r>
                  <w:r>
                    <w:rPr>
                      <w:rFonts w:ascii="仿宋_GB2312" w:hAnsi="仿宋_GB2312" w:cs="仿宋_GB2312" w:eastAsia="仿宋_GB2312"/>
                      <w:sz w:val="20"/>
                    </w:rPr>
                    <w:t>项目管理服务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招生考试执行服务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8</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考核评价方式优化服务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9</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企业工程师教学服务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学校导师岗位实践服务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实习就业服务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知识产权服务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社会化服务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成果凝练服务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现场工程技术服务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套</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after="75"/>
                    <w:jc w:val="center"/>
                  </w:pPr>
                  <w:r>
                    <w:rPr>
                      <w:rFonts w:ascii="仿宋_GB2312" w:hAnsi="仿宋_GB2312" w:cs="仿宋_GB2312" w:eastAsia="仿宋_GB2312"/>
                      <w:sz w:val="20"/>
                    </w:rPr>
                    <w:t>1</w:t>
                  </w:r>
                </w:p>
              </w:tc>
            </w:tr>
          </w:tbl>
          <w:p>
            <w:pPr>
              <w:pStyle w:val="null3"/>
              <w:spacing w:before="180" w:after="180"/>
              <w:jc w:val="both"/>
            </w:pPr>
            <w:r>
              <w:rPr>
                <w:rFonts w:ascii="仿宋_GB2312" w:hAnsi="仿宋_GB2312" w:cs="仿宋_GB2312" w:eastAsia="仿宋_GB2312"/>
                <w:sz w:val="20"/>
                <w:b/>
              </w:rPr>
              <w:t>三、技术要求</w:t>
            </w:r>
          </w:p>
          <w:tbl>
            <w:tblPr>
              <w:tblBorders>
                <w:top w:val="none" w:color="000000" w:sz="4"/>
                <w:left w:val="none" w:color="000000" w:sz="4"/>
                <w:bottom w:val="none" w:color="000000" w:sz="4"/>
                <w:right w:val="none" w:color="000000" w:sz="4"/>
                <w:insideH w:val="none"/>
                <w:insideV w:val="none"/>
              </w:tblBorders>
            </w:tblPr>
            <w:tblGrid>
              <w:gridCol w:w="223"/>
              <w:gridCol w:w="386"/>
              <w:gridCol w:w="1431"/>
              <w:gridCol w:w="226"/>
              <w:gridCol w:w="285"/>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序号</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资产名称</w:t>
                  </w:r>
                </w:p>
              </w:tc>
              <w:tc>
                <w:tcPr>
                  <w:tcW w:type="dxa" w:w="1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规格型号</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单位</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数量</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校企协同育人机制创新服务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1.打造技术服务中心，完善</w:t>
                  </w:r>
                  <w:r>
                    <w:rPr>
                      <w:rFonts w:ascii="仿宋_GB2312" w:hAnsi="仿宋_GB2312" w:cs="仿宋_GB2312" w:eastAsia="仿宋_GB2312"/>
                      <w:sz w:val="20"/>
                    </w:rPr>
                    <w:t>现场工程师</w:t>
                  </w:r>
                  <w:r>
                    <w:rPr>
                      <w:rFonts w:ascii="仿宋_GB2312" w:hAnsi="仿宋_GB2312" w:cs="仿宋_GB2312" w:eastAsia="仿宋_GB2312"/>
                      <w:sz w:val="20"/>
                    </w:rPr>
                    <w:t>实训环境；</w:t>
                  </w:r>
                  <w:r>
                    <w:br/>
                  </w:r>
                  <w:r>
                    <w:rPr>
                      <w:rFonts w:ascii="仿宋_GB2312" w:hAnsi="仿宋_GB2312" w:cs="仿宋_GB2312" w:eastAsia="仿宋_GB2312"/>
                      <w:sz w:val="20"/>
                    </w:rPr>
                    <w:t>2.完善现场工程师项目运行和管理制度1份；</w:t>
                  </w:r>
                  <w:r>
                    <w:br/>
                  </w:r>
                  <w:r>
                    <w:rPr>
                      <w:rFonts w:ascii="仿宋_GB2312" w:hAnsi="仿宋_GB2312" w:cs="仿宋_GB2312" w:eastAsia="仿宋_GB2312"/>
                      <w:sz w:val="20"/>
                    </w:rPr>
                    <w:t>3.优化沉淀现场工程师典型模式及案例1份，完成经验输出。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联合培养协议（学生补贴服务）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1.针对JAVA开发工程师</w:t>
                  </w:r>
                  <w:r>
                    <w:rPr>
                      <w:rFonts w:ascii="仿宋_GB2312" w:hAnsi="仿宋_GB2312" w:cs="仿宋_GB2312" w:eastAsia="仿宋_GB2312"/>
                      <w:sz w:val="20"/>
                    </w:rPr>
                    <w:t>、技术支持工程师</w:t>
                  </w:r>
                  <w:r>
                    <w:rPr>
                      <w:rFonts w:ascii="仿宋_GB2312" w:hAnsi="仿宋_GB2312" w:cs="仿宋_GB2312" w:eastAsia="仿宋_GB2312"/>
                      <w:sz w:val="20"/>
                    </w:rPr>
                    <w:t>岗位，校企联合培养人才，每届学徒</w:t>
                  </w:r>
                  <w:r>
                    <w:rPr>
                      <w:rFonts w:ascii="仿宋_GB2312" w:hAnsi="仿宋_GB2312" w:cs="仿宋_GB2312" w:eastAsia="仿宋_GB2312"/>
                      <w:sz w:val="20"/>
                    </w:rPr>
                    <w:t>≤50人。</w:t>
                  </w:r>
                  <w:r>
                    <w:rPr>
                      <w:rFonts w:ascii="仿宋_GB2312" w:hAnsi="仿宋_GB2312" w:cs="仿宋_GB2312" w:eastAsia="仿宋_GB2312"/>
                      <w:sz w:val="20"/>
                    </w:rPr>
                    <w:t>企业导师</w:t>
                  </w:r>
                  <w:r>
                    <w:rPr>
                      <w:rFonts w:ascii="仿宋_GB2312" w:hAnsi="仿宋_GB2312" w:cs="仿宋_GB2312" w:eastAsia="仿宋_GB2312"/>
                      <w:sz w:val="20"/>
                    </w:rPr>
                    <w:t>深度参与现场工程师学徒人才培养全过程，包括：招生招工一体化、人才培养方案修订、招生和迎新协助、入学教育</w:t>
                  </w:r>
                  <w:r>
                    <w:rPr>
                      <w:rFonts w:ascii="仿宋_GB2312" w:hAnsi="仿宋_GB2312" w:cs="仿宋_GB2312" w:eastAsia="仿宋_GB2312"/>
                      <w:sz w:val="20"/>
                    </w:rPr>
                    <w:t>/新生研讨课、企业参观/认知实习、课程资源开发、课程设计实训、企业集中实训、毕业设计指导、企业实习和就业等。按照900元/生/年的</w:t>
                  </w:r>
                  <w:r>
                    <w:rPr>
                      <w:rFonts w:ascii="仿宋_GB2312" w:hAnsi="仿宋_GB2312" w:cs="仿宋_GB2312" w:eastAsia="仿宋_GB2312"/>
                      <w:sz w:val="20"/>
                    </w:rPr>
                    <w:t>奖补</w:t>
                  </w:r>
                  <w:r>
                    <w:rPr>
                      <w:rFonts w:ascii="仿宋_GB2312" w:hAnsi="仿宋_GB2312" w:cs="仿宋_GB2312" w:eastAsia="仿宋_GB2312"/>
                      <w:sz w:val="20"/>
                    </w:rPr>
                    <w:t>标准，校企双方共同制定奖学金发放管理办法，</w:t>
                  </w:r>
                  <w:r>
                    <w:rPr>
                      <w:rFonts w:ascii="仿宋_GB2312" w:hAnsi="仿宋_GB2312" w:cs="仿宋_GB2312" w:eastAsia="仿宋_GB2312"/>
                      <w:sz w:val="20"/>
                    </w:rPr>
                    <w:t>2026年度现场工程师班合计发放奖学金≥87300元。</w:t>
                  </w:r>
                  <w:r>
                    <w:br/>
                  </w:r>
                  <w:r>
                    <w:rPr>
                      <w:rFonts w:ascii="仿宋_GB2312" w:hAnsi="仿宋_GB2312" w:cs="仿宋_GB2312" w:eastAsia="仿宋_GB2312"/>
                      <w:sz w:val="20"/>
                    </w:rPr>
                    <w:t>2.选派</w:t>
                  </w:r>
                  <w:r>
                    <w:rPr>
                      <w:rFonts w:ascii="仿宋_GB2312" w:hAnsi="仿宋_GB2312" w:cs="仿宋_GB2312" w:eastAsia="仿宋_GB2312"/>
                      <w:sz w:val="20"/>
                    </w:rPr>
                    <w:t>校企</w:t>
                  </w:r>
                  <w:r>
                    <w:rPr>
                      <w:rFonts w:ascii="仿宋_GB2312" w:hAnsi="仿宋_GB2312" w:cs="仿宋_GB2312" w:eastAsia="仿宋_GB2312"/>
                      <w:sz w:val="20"/>
                    </w:rPr>
                    <w:t>管理人员参与共建现场工程师项目的推进、学校办学政策对接、工作关系协调等；</w:t>
                  </w:r>
                  <w:r>
                    <w:rPr>
                      <w:rFonts w:ascii="仿宋_GB2312" w:hAnsi="仿宋_GB2312" w:cs="仿宋_GB2312" w:eastAsia="仿宋_GB2312"/>
                      <w:sz w:val="20"/>
                    </w:rPr>
                    <w:t>校企联合</w:t>
                  </w:r>
                  <w:r>
                    <w:rPr>
                      <w:rFonts w:ascii="仿宋_GB2312" w:hAnsi="仿宋_GB2312" w:cs="仿宋_GB2312" w:eastAsia="仿宋_GB2312"/>
                      <w:sz w:val="20"/>
                    </w:rPr>
                    <w:t>制定人才培养方案；做好学生的就业指导和就业推荐工作。</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人才培养方案优化服务</w:t>
                  </w:r>
                  <w:r>
                    <w:br/>
                  </w:r>
                  <w:r>
                    <w:rPr>
                      <w:rFonts w:ascii="仿宋_GB2312" w:hAnsi="仿宋_GB2312" w:cs="仿宋_GB2312" w:eastAsia="仿宋_GB2312"/>
                      <w:sz w:val="20"/>
                    </w:rPr>
                    <w:t>（组织校内外专家论证）</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组建专项调研论证组，聚焦陕西省及周边区域，对软件开发（尤其Java方向）的技术支持、岗位需求、职业能力与就业现状开展全景式调研。通过量化与质性分析，编制完成《信息技术产业（Java方向）岗位需求与职业能力调研报告》</w:t>
                  </w:r>
                  <w:r>
                    <w:rPr>
                      <w:rFonts w:ascii="仿宋_GB2312" w:hAnsi="仿宋_GB2312" w:cs="仿宋_GB2312" w:eastAsia="仿宋_GB2312"/>
                      <w:sz w:val="20"/>
                    </w:rPr>
                    <w:t>1份</w:t>
                  </w:r>
                  <w:r>
                    <w:rPr>
                      <w:rFonts w:ascii="仿宋_GB2312" w:hAnsi="仿宋_GB2312" w:cs="仿宋_GB2312" w:eastAsia="仿宋_GB2312"/>
                      <w:sz w:val="20"/>
                    </w:rPr>
                    <w:t>，</w:t>
                  </w:r>
                  <w:r>
                    <w:rPr>
                      <w:rFonts w:ascii="仿宋_GB2312" w:hAnsi="仿宋_GB2312" w:cs="仿宋_GB2312" w:eastAsia="仿宋_GB2312"/>
                      <w:sz w:val="20"/>
                    </w:rPr>
                    <w:t>报告需</w:t>
                  </w:r>
                  <w:r>
                    <w:rPr>
                      <w:rFonts w:ascii="仿宋_GB2312" w:hAnsi="仿宋_GB2312" w:cs="仿宋_GB2312" w:eastAsia="仿宋_GB2312"/>
                      <w:sz w:val="20"/>
                    </w:rPr>
                    <w:t>清晰描绘产业人才需求的规模、结构、能力图谱与区域分布特征，为后续人才培养方案制定提供坚实的数据基础和方向指引。</w:t>
                  </w:r>
                  <w:r>
                    <w:br/>
                  </w:r>
                  <w:r>
                    <w:rPr>
                      <w:rFonts w:ascii="仿宋_GB2312" w:hAnsi="仿宋_GB2312" w:cs="仿宋_GB2312" w:eastAsia="仿宋_GB2312"/>
                      <w:sz w:val="20"/>
                    </w:rPr>
                    <w:t>2.依据调研报告，组织行业企业专家、教育专家及技术骨干召开人才培养方案修订论证会。会议以岗位真实需求、教学实施可行性、职业长期发展适配性为核心，对培养目标、课程体系、实践环节进行深度审议与优化。后续以人培评审组为主导，严格遵循“岗位需求与用人情况”、“教学可行性与适应性”、“职业匹配性与发展性”三大核心要素，完成人才培养方案的“三审评”迭代修正流程，最终形成科学、严谨、符合产业趋势的《人才培养方案（终稿）》</w:t>
                  </w:r>
                  <w:r>
                    <w:rPr>
                      <w:rFonts w:ascii="仿宋_GB2312" w:hAnsi="仿宋_GB2312" w:cs="仿宋_GB2312" w:eastAsia="仿宋_GB2312"/>
                      <w:sz w:val="20"/>
                    </w:rPr>
                    <w:t>1份</w:t>
                  </w:r>
                  <w:r>
                    <w:rPr>
                      <w:rFonts w:ascii="仿宋_GB2312" w:hAnsi="仿宋_GB2312" w:cs="仿宋_GB2312" w:eastAsia="仿宋_GB2312"/>
                      <w:sz w:val="20"/>
                    </w:rPr>
                    <w:t>。</w:t>
                  </w:r>
                  <w:r>
                    <w:br/>
                  </w:r>
                  <w:r>
                    <w:rPr>
                      <w:rFonts w:ascii="仿宋_GB2312" w:hAnsi="仿宋_GB2312" w:cs="仿宋_GB2312" w:eastAsia="仿宋_GB2312"/>
                      <w:sz w:val="20"/>
                    </w:rPr>
                    <w:t>3.系统梳理并提炼过去三年人才培养的实施成果，编制《现场工程师人才培养实施总结报告》</w:t>
                  </w:r>
                  <w:r>
                    <w:rPr>
                      <w:rFonts w:ascii="仿宋_GB2312" w:hAnsi="仿宋_GB2312" w:cs="仿宋_GB2312" w:eastAsia="仿宋_GB2312"/>
                      <w:sz w:val="20"/>
                    </w:rPr>
                    <w:t>1份</w:t>
                  </w:r>
                  <w:r>
                    <w:rPr>
                      <w:rFonts w:ascii="仿宋_GB2312" w:hAnsi="仿宋_GB2312" w:cs="仿宋_GB2312" w:eastAsia="仿宋_GB2312"/>
                      <w:sz w:val="20"/>
                    </w:rPr>
                    <w:t>。报告需完整呈现从方案设计（</w:t>
                  </w:r>
                  <w:r>
                    <w:rPr>
                      <w:rFonts w:ascii="仿宋_GB2312" w:hAnsi="仿宋_GB2312" w:cs="仿宋_GB2312" w:eastAsia="仿宋_GB2312"/>
                      <w:sz w:val="20"/>
                    </w:rPr>
                    <w:t>“纸上蓝图”）到具体教学实施、学生能力成长、就业质量提升（“育人实景”）的全过程转化。</w:t>
                  </w:r>
                  <w:r>
                    <w:br/>
                  </w:r>
                  <w:r>
                    <w:rPr>
                      <w:rFonts w:ascii="仿宋_GB2312" w:hAnsi="仿宋_GB2312" w:cs="仿宋_GB2312" w:eastAsia="仿宋_GB2312"/>
                      <w:sz w:val="20"/>
                    </w:rPr>
                    <w:t>4.为保障调研的深度、广度与持续性，项目需配套引入产业大数据引擎平台（SaaS服务），并提供为期一年的单账号使用权。该平台需具备数据可视化与智能分析能力，为人才培养的持续优化提供动态、精准的技术支持：</w:t>
                  </w:r>
                  <w:r>
                    <w:br/>
                  </w:r>
                  <w:r>
                    <w:rPr>
                      <w:rFonts w:ascii="仿宋_GB2312" w:hAnsi="仿宋_GB2312" w:cs="仿宋_GB2312" w:eastAsia="仿宋_GB2312"/>
                      <w:sz w:val="20"/>
                    </w:rPr>
                    <w:t>（</w:t>
                  </w:r>
                  <w:r>
                    <w:rPr>
                      <w:rFonts w:ascii="仿宋_GB2312" w:hAnsi="仿宋_GB2312" w:cs="仿宋_GB2312" w:eastAsia="仿宋_GB2312"/>
                      <w:sz w:val="20"/>
                    </w:rPr>
                    <w:t>1）通过3D动态星链图、全国热力图等可视化工具，清晰展示智能制造等关键产业链结构、企业分布、岗位需求热度及技能要求词云，使人才定位与产业节点精准对接。</w:t>
                  </w:r>
                  <w:r>
                    <w:br/>
                  </w:r>
                  <w:r>
                    <w:rPr>
                      <w:rFonts w:ascii="仿宋_GB2312" w:hAnsi="仿宋_GB2312" w:cs="仿宋_GB2312" w:eastAsia="仿宋_GB2312"/>
                      <w:sz w:val="20"/>
                    </w:rPr>
                    <w:t>（</w:t>
                  </w:r>
                  <w:r>
                    <w:rPr>
                      <w:rFonts w:ascii="仿宋_GB2312" w:hAnsi="仿宋_GB2312" w:cs="仿宋_GB2312" w:eastAsia="仿宋_GB2312"/>
                      <w:sz w:val="20"/>
                    </w:rPr>
                    <w:t>2）区域市场动态监控：支持省/市/区多级行政筛选，实时分析区域产业企业数量、规模分布、注册增长、专利排行及岗位的薪资、经验、学历要求矩阵，为人才培养的区域特色化与前瞻性调整提供依据。</w:t>
                  </w:r>
                  <w:r>
                    <w:br/>
                  </w:r>
                  <w:r>
                    <w:rPr>
                      <w:rFonts w:ascii="仿宋_GB2312" w:hAnsi="仿宋_GB2312" w:cs="仿宋_GB2312" w:eastAsia="仿宋_GB2312"/>
                      <w:sz w:val="20"/>
                    </w:rPr>
                    <w:t>（</w:t>
                  </w:r>
                  <w:r>
                    <w:rPr>
                      <w:rFonts w:ascii="仿宋_GB2312" w:hAnsi="仿宋_GB2312" w:cs="仿宋_GB2312" w:eastAsia="仿宋_GB2312"/>
                      <w:sz w:val="20"/>
                    </w:rPr>
                    <w:t>3）系统须提供智能制造产业链图谱展示案例，支持查看完整智能制造产业链→上中下游→产业节点→企业/岗位→岗位技能的全部节点数据信息内容。</w:t>
                  </w:r>
                  <w:r>
                    <w:rPr>
                      <w:rFonts w:ascii="仿宋_GB2312" w:hAnsi="仿宋_GB2312" w:cs="仿宋_GB2312" w:eastAsia="仿宋_GB2312"/>
                      <w:sz w:val="20"/>
                      <w:b/>
                    </w:rPr>
                    <w:t>（提供操作演示视频）</w:t>
                  </w:r>
                  <w:r>
                    <w:br/>
                  </w:r>
                  <w:r>
                    <w:rPr>
                      <w:rFonts w:ascii="仿宋_GB2312" w:hAnsi="仿宋_GB2312" w:cs="仿宋_GB2312" w:eastAsia="仿宋_GB2312"/>
                      <w:sz w:val="20"/>
                    </w:rPr>
                    <w:t>▲（4）系统须支持区域筛选，提供地方行政单位库，可按省/市进行联级筛选，筛选出所选区域的产业数据内容进行展示；</w:t>
                  </w:r>
                  <w:r>
                    <w:rPr>
                      <w:rFonts w:ascii="仿宋_GB2312" w:hAnsi="仿宋_GB2312" w:cs="仿宋_GB2312" w:eastAsia="仿宋_GB2312"/>
                      <w:sz w:val="20"/>
                      <w:b/>
                    </w:rPr>
                    <w:t>（请提供佐证图片）</w:t>
                  </w:r>
                  <w:r>
                    <w:br/>
                  </w:r>
                  <w:r>
                    <w:rPr>
                      <w:rFonts w:ascii="仿宋_GB2312" w:hAnsi="仿宋_GB2312" w:cs="仿宋_GB2312" w:eastAsia="仿宋_GB2312"/>
                      <w:sz w:val="20"/>
                    </w:rPr>
                    <w:t>（</w:t>
                  </w:r>
                  <w:r>
                    <w:rPr>
                      <w:rFonts w:ascii="仿宋_GB2312" w:hAnsi="仿宋_GB2312" w:cs="仿宋_GB2312" w:eastAsia="仿宋_GB2312"/>
                      <w:sz w:val="20"/>
                    </w:rPr>
                    <w:t>5）系统须能够展示产业企业数量区域分布图：需内嵌所选区域地图，以地图的方式展示所选地区各区各产业节点企业数量，支持数据轮播展示和选择区域单独展示。</w:t>
                  </w:r>
                  <w:r>
                    <w:rPr>
                      <w:rFonts w:ascii="仿宋_GB2312" w:hAnsi="仿宋_GB2312" w:cs="仿宋_GB2312" w:eastAsia="仿宋_GB2312"/>
                      <w:sz w:val="20"/>
                      <w:b/>
                    </w:rPr>
                    <w:t>（提供操作演示视频）</w:t>
                  </w:r>
                  <w:r>
                    <w:br/>
                  </w:r>
                  <w:r>
                    <w:rPr>
                      <w:rFonts w:ascii="仿宋_GB2312" w:hAnsi="仿宋_GB2312" w:cs="仿宋_GB2312" w:eastAsia="仿宋_GB2312"/>
                      <w:sz w:val="20"/>
                    </w:rPr>
                    <w:t>（</w:t>
                  </w:r>
                  <w:r>
                    <w:rPr>
                      <w:rFonts w:ascii="仿宋_GB2312" w:hAnsi="仿宋_GB2312" w:cs="仿宋_GB2312" w:eastAsia="仿宋_GB2312"/>
                      <w:sz w:val="20"/>
                    </w:rPr>
                    <w:t>6）专业与岗位匹配分析：通过展示“最受欢迎专业TOP20”、“行业人才学历与经验匹配度矩阵”等，直观揭示市场对人才知识结构的需求，反向指导课程设置与教学内容更新。</w:t>
                  </w:r>
                  <w:r>
                    <w:br/>
                  </w:r>
                  <w:r>
                    <w:rPr>
                      <w:rFonts w:ascii="仿宋_GB2312" w:hAnsi="仿宋_GB2312" w:cs="仿宋_GB2312" w:eastAsia="仿宋_GB2312"/>
                      <w:sz w:val="20"/>
                    </w:rPr>
                    <w:t>（</w:t>
                  </w:r>
                  <w:r>
                    <w:rPr>
                      <w:rFonts w:ascii="仿宋_GB2312" w:hAnsi="仿宋_GB2312" w:cs="仿宋_GB2312" w:eastAsia="仿宋_GB2312"/>
                      <w:sz w:val="20"/>
                    </w:rPr>
                    <w:t>7）系统须支持展示最受欢迎的专业TOP20：使用条形图展示各专业在岗位招聘中出现的数量情况，鼠标悬停可查看明细数据。</w:t>
                  </w:r>
                  <w:r>
                    <w:rPr>
                      <w:rFonts w:ascii="仿宋_GB2312" w:hAnsi="仿宋_GB2312" w:cs="仿宋_GB2312" w:eastAsia="仿宋_GB2312"/>
                      <w:sz w:val="20"/>
                      <w:b/>
                    </w:rPr>
                    <w:t>（提供操作演示视频）</w:t>
                  </w:r>
                  <w:r>
                    <w:br/>
                  </w:r>
                  <w:r>
                    <w:rPr>
                      <w:rFonts w:ascii="仿宋_GB2312" w:hAnsi="仿宋_GB2312" w:cs="仿宋_GB2312" w:eastAsia="仿宋_GB2312"/>
                      <w:sz w:val="20"/>
                    </w:rPr>
                    <w:t>（</w:t>
                  </w:r>
                  <w:r>
                    <w:rPr>
                      <w:rFonts w:ascii="仿宋_GB2312" w:hAnsi="仿宋_GB2312" w:cs="仿宋_GB2312" w:eastAsia="仿宋_GB2312"/>
                      <w:sz w:val="20"/>
                    </w:rPr>
                    <w:t>8）AI智能报告生成：平台可根据定制需求，一键生成包含产业发展现状、人才需求全景、代表性企业分析、岗位能力要求、专业人才供给等维度的深度AI分析报告。该功能需不仅能提升调研效率，其生成的报告可直接作为人才培养方案修订、专业建设汇报及教学改革论证的核心参考依据，实现数据驱动的决策支持。</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系统须支持生成人才供需报告，为新专业设置和开设提供参考依据。报告生成功能支持参数配置，可选择和配置包括统计地区、要分析的专业、相关产业、报告模板等。支持添加需要重点关注的岗位，并且预提供不少于</w:t>
                  </w:r>
                  <w:r>
                    <w:rPr>
                      <w:rFonts w:ascii="仿宋_GB2312" w:hAnsi="仿宋_GB2312" w:cs="仿宋_GB2312" w:eastAsia="仿宋_GB2312"/>
                      <w:sz w:val="20"/>
                    </w:rPr>
                    <w:t>10个关联度较高的工作岗位信息，包括岗位名称、关联度（须展示关联度百分比）、社会需求量，可根据需要选择相关岗位， 同时支持一键全选。</w:t>
                  </w:r>
                  <w:r>
                    <w:rPr>
                      <w:rFonts w:ascii="仿宋_GB2312" w:hAnsi="仿宋_GB2312" w:cs="仿宋_GB2312" w:eastAsia="仿宋_GB2312"/>
                      <w:sz w:val="20"/>
                      <w:b/>
                    </w:rPr>
                    <w:t>（提供操作演示视频）</w:t>
                  </w:r>
                  <w:r>
                    <w:br/>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）系统须提供未生成完毕的报告继续生成功能，支持分类筛选，包括全部、生成中和已完成。支持报告删除功能，且删除功能附带提醒，防止用户误操作。</w:t>
                  </w:r>
                  <w:r>
                    <w:rPr>
                      <w:rFonts w:ascii="仿宋_GB2312" w:hAnsi="仿宋_GB2312" w:cs="仿宋_GB2312" w:eastAsia="仿宋_GB2312"/>
                      <w:sz w:val="20"/>
                      <w:b/>
                    </w:rPr>
                    <w:t>（请提供佐证图片）</w:t>
                  </w:r>
                  <w:r>
                    <w:br/>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系统须支持以进度条和百分比动态展示</w:t>
                  </w:r>
                  <w:r>
                    <w:rPr>
                      <w:rFonts w:ascii="仿宋_GB2312" w:hAnsi="仿宋_GB2312" w:cs="仿宋_GB2312" w:eastAsia="仿宋_GB2312"/>
                      <w:sz w:val="20"/>
                    </w:rPr>
                    <w:t>Ai报告生成进度，编撰生成过程支持直观展示，并提供相关提示，包括预计生成时间等。</w:t>
                  </w:r>
                  <w:r>
                    <w:rPr>
                      <w:rFonts w:ascii="仿宋_GB2312" w:hAnsi="仿宋_GB2312" w:cs="仿宋_GB2312" w:eastAsia="仿宋_GB2312"/>
                      <w:sz w:val="20"/>
                      <w:b/>
                    </w:rPr>
                    <w:t>（请提供佐证图片）</w:t>
                  </w:r>
                </w:p>
                <w:p>
                  <w:pPr>
                    <w:pStyle w:val="null3"/>
                    <w:spacing w:before="105" w:after="105"/>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）系统生成的</w:t>
                  </w:r>
                  <w:r>
                    <w:rPr>
                      <w:rFonts w:ascii="仿宋_GB2312" w:hAnsi="仿宋_GB2312" w:cs="仿宋_GB2312" w:eastAsia="仿宋_GB2312"/>
                      <w:sz w:val="20"/>
                    </w:rPr>
                    <w:t>Ai报告须在平台上展示，支持报告下载。</w:t>
                  </w:r>
                  <w:r>
                    <w:rPr>
                      <w:rFonts w:ascii="仿宋_GB2312" w:hAnsi="仿宋_GB2312" w:cs="仿宋_GB2312" w:eastAsia="仿宋_GB2312"/>
                      <w:sz w:val="20"/>
                      <w:b/>
                    </w:rPr>
                    <w:t>（请提供佐证图片）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专业核心课程体系优化服务</w:t>
                  </w:r>
                  <w:r>
                    <w:br/>
                  </w:r>
                  <w:r>
                    <w:rPr>
                      <w:rFonts w:ascii="仿宋_GB2312" w:hAnsi="仿宋_GB2312" w:cs="仿宋_GB2312" w:eastAsia="仿宋_GB2312"/>
                      <w:sz w:val="20"/>
                    </w:rPr>
                    <w:t>（根据产业需求动态调整）</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1.根据产业需求动态调整，修订适合Java开发工程师、技术支持工程师学徒岗位岗前实训课程标准1份，提高学生产业项目交付能力；</w:t>
                  </w:r>
                  <w:r>
                    <w:br/>
                  </w:r>
                  <w:r>
                    <w:rPr>
                      <w:rFonts w:ascii="仿宋_GB2312" w:hAnsi="仿宋_GB2312" w:cs="仿宋_GB2312" w:eastAsia="仿宋_GB2312"/>
                      <w:sz w:val="20"/>
                    </w:rPr>
                    <w:t>2.根据产业需求动态调整，修订适合Java开发工程师、技术支持工程师</w:t>
                  </w:r>
                  <w:r>
                    <w:rPr>
                      <w:rFonts w:ascii="仿宋_GB2312" w:hAnsi="仿宋_GB2312" w:cs="仿宋_GB2312" w:eastAsia="仿宋_GB2312"/>
                      <w:sz w:val="20"/>
                    </w:rPr>
                    <w:t>的</w:t>
                  </w:r>
                  <w:r>
                    <w:rPr>
                      <w:rFonts w:ascii="仿宋_GB2312" w:hAnsi="仿宋_GB2312" w:cs="仿宋_GB2312" w:eastAsia="仿宋_GB2312"/>
                      <w:sz w:val="20"/>
                    </w:rPr>
                    <w:t>现场工程师岗位专业课程标准，至少涵盖核心课程标准</w:t>
                  </w:r>
                  <w:r>
                    <w:rPr>
                      <w:rFonts w:ascii="仿宋_GB2312" w:hAnsi="仿宋_GB2312" w:cs="仿宋_GB2312" w:eastAsia="仿宋_GB2312"/>
                      <w:sz w:val="20"/>
                    </w:rPr>
                    <w:t>6份。</w:t>
                  </w:r>
                  <w:r>
                    <w:br/>
                  </w:r>
                  <w:r>
                    <w:rPr>
                      <w:rFonts w:ascii="仿宋_GB2312" w:hAnsi="仿宋_GB2312" w:cs="仿宋_GB2312" w:eastAsia="仿宋_GB2312"/>
                      <w:sz w:val="20"/>
                    </w:rPr>
                    <w:t>3.制定基于岗位任务的毕业设计方案1份。</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课程教学资源开发服务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一、聚焦到</w:t>
                  </w:r>
                  <w:r>
                    <w:rPr>
                      <w:rFonts w:ascii="仿宋_GB2312" w:hAnsi="仿宋_GB2312" w:cs="仿宋_GB2312" w:eastAsia="仿宋_GB2312"/>
                      <w:sz w:val="20"/>
                    </w:rPr>
                    <w:t>“Java开发工程师” 和 “技术支持工程师” 两个岗位。紧密围绕企业真实岗位需求与职业成长路径，建设现场工程师典型生产实践课2本教材及课程资源，建设现场工程师AI赋能实践课1本教材及课程资源，每本教材及课程资源均按以下标准建设：</w:t>
                  </w:r>
                  <w:r>
                    <w:br/>
                  </w:r>
                  <w:r>
                    <w:rPr>
                      <w:rFonts w:ascii="仿宋_GB2312" w:hAnsi="仿宋_GB2312" w:cs="仿宋_GB2312" w:eastAsia="仿宋_GB2312"/>
                      <w:sz w:val="20"/>
                    </w:rPr>
                    <w:t>1.联合开发数字教材1本：</w:t>
                  </w:r>
                  <w:r>
                    <w:br/>
                  </w:r>
                  <w:r>
                    <w:rPr>
                      <w:rFonts w:ascii="仿宋_GB2312" w:hAnsi="仿宋_GB2312" w:cs="仿宋_GB2312" w:eastAsia="仿宋_GB2312"/>
                      <w:sz w:val="20"/>
                    </w:rPr>
                    <w:t>（</w:t>
                  </w:r>
                  <w:r>
                    <w:rPr>
                      <w:rFonts w:ascii="仿宋_GB2312" w:hAnsi="仿宋_GB2312" w:cs="仿宋_GB2312" w:eastAsia="仿宋_GB2312"/>
                      <w:sz w:val="20"/>
                    </w:rPr>
                    <w:t>1）教材以项目制形式展开，项目数量</w:t>
                  </w:r>
                  <w:r>
                    <w:rPr>
                      <w:rFonts w:ascii="仿宋_GB2312" w:hAnsi="仿宋_GB2312" w:cs="仿宋_GB2312" w:eastAsia="仿宋_GB2312"/>
                      <w:sz w:val="20"/>
                    </w:rPr>
                    <w:t>≥</w:t>
                  </w:r>
                  <w:r>
                    <w:rPr>
                      <w:rFonts w:ascii="仿宋_GB2312" w:hAnsi="仿宋_GB2312" w:cs="仿宋_GB2312" w:eastAsia="仿宋_GB2312"/>
                      <w:sz w:val="20"/>
                    </w:rPr>
                    <w:t>5个；</w:t>
                  </w:r>
                  <w:r>
                    <w:br/>
                  </w:r>
                  <w:r>
                    <w:rPr>
                      <w:rFonts w:ascii="仿宋_GB2312" w:hAnsi="仿宋_GB2312" w:cs="仿宋_GB2312" w:eastAsia="仿宋_GB2312"/>
                      <w:sz w:val="20"/>
                    </w:rPr>
                    <w:t>（</w:t>
                  </w:r>
                  <w:r>
                    <w:rPr>
                      <w:rFonts w:ascii="仿宋_GB2312" w:hAnsi="仿宋_GB2312" w:cs="仿宋_GB2312" w:eastAsia="仿宋_GB2312"/>
                      <w:sz w:val="20"/>
                    </w:rPr>
                    <w:t>2）教材页数≥200页；</w:t>
                  </w:r>
                  <w:r>
                    <w:br/>
                  </w:r>
                  <w:r>
                    <w:rPr>
                      <w:rFonts w:ascii="仿宋_GB2312" w:hAnsi="仿宋_GB2312" w:cs="仿宋_GB2312" w:eastAsia="仿宋_GB2312"/>
                      <w:sz w:val="20"/>
                    </w:rPr>
                    <w:t>（</w:t>
                  </w:r>
                  <w:r>
                    <w:rPr>
                      <w:rFonts w:ascii="仿宋_GB2312" w:hAnsi="仿宋_GB2312" w:cs="仿宋_GB2312" w:eastAsia="仿宋_GB2312"/>
                      <w:sz w:val="20"/>
                    </w:rPr>
                    <w:t>3）形式：电子版新形态一体化教材；</w:t>
                  </w:r>
                  <w:r>
                    <w:br/>
                  </w:r>
                  <w:r>
                    <w:rPr>
                      <w:rFonts w:ascii="仿宋_GB2312" w:hAnsi="仿宋_GB2312" w:cs="仿宋_GB2312" w:eastAsia="仿宋_GB2312"/>
                      <w:sz w:val="20"/>
                    </w:rPr>
                    <w:t>（</w:t>
                  </w:r>
                  <w:r>
                    <w:rPr>
                      <w:rFonts w:ascii="仿宋_GB2312" w:hAnsi="仿宋_GB2312" w:cs="仿宋_GB2312" w:eastAsia="仿宋_GB2312"/>
                      <w:sz w:val="20"/>
                    </w:rPr>
                    <w:t>4）品质要求：</w:t>
                  </w:r>
                  <w:r>
                    <w:br/>
                  </w:r>
                  <w:r>
                    <w:rPr>
                      <w:rFonts w:ascii="仿宋_GB2312" w:hAnsi="仿宋_GB2312" w:cs="仿宋_GB2312" w:eastAsia="仿宋_GB2312"/>
                      <w:sz w:val="20"/>
                    </w:rPr>
                    <w:t>教材包括但不限于文前部分、正文、参考文献及附录等内容。</w:t>
                  </w:r>
                  <w:r>
                    <w:br/>
                  </w:r>
                  <w:r>
                    <w:rPr>
                      <w:rFonts w:ascii="仿宋_GB2312" w:hAnsi="仿宋_GB2312" w:cs="仿宋_GB2312" w:eastAsia="仿宋_GB2312"/>
                      <w:sz w:val="20"/>
                    </w:rPr>
                    <w:t>教材以高等职业学校学生就业为导向，以</w:t>
                  </w:r>
                  <w:r>
                    <w:rPr>
                      <w:rFonts w:ascii="仿宋_GB2312" w:hAnsi="仿宋_GB2312" w:cs="仿宋_GB2312" w:eastAsia="仿宋_GB2312"/>
                      <w:sz w:val="20"/>
                    </w:rPr>
                    <w:t>“学生为主体，能力为本位”的指导思想为主体，每个任务都模拟企业真实的项目开发的流程，将教学内容与工作岗位对专业人才的知识要求与技能要求结合起来。</w:t>
                  </w:r>
                  <w:r>
                    <w:br/>
                  </w:r>
                  <w:r>
                    <w:rPr>
                      <w:rFonts w:ascii="仿宋_GB2312" w:hAnsi="仿宋_GB2312" w:cs="仿宋_GB2312" w:eastAsia="仿宋_GB2312"/>
                      <w:sz w:val="20"/>
                    </w:rPr>
                    <w:t>教材设计思路充分体现任务引领、实践导向，引入典型项目和产品案例，以项目化教材的组织结构进行编写，并需要在教材中体现行动导向教学教法；至少包含行动教法中的职业能力、任务描述与要求、任务实施、任务检查、任务评估等环节。</w:t>
                  </w:r>
                  <w:r>
                    <w:br/>
                  </w:r>
                  <w:r>
                    <w:rPr>
                      <w:rFonts w:ascii="仿宋_GB2312" w:hAnsi="仿宋_GB2312" w:cs="仿宋_GB2312" w:eastAsia="仿宋_GB2312"/>
                      <w:sz w:val="20"/>
                    </w:rPr>
                    <w:t>教材内容需要充分体现面向岗位的职业活动和个人职业生涯发展中所需要的职业能力。</w:t>
                  </w:r>
                  <w:r>
                    <w:br/>
                  </w:r>
                  <w:r>
                    <w:rPr>
                      <w:rFonts w:ascii="仿宋_GB2312" w:hAnsi="仿宋_GB2312" w:cs="仿宋_GB2312" w:eastAsia="仿宋_GB2312"/>
                      <w:sz w:val="20"/>
                    </w:rPr>
                    <w:t>教材以职业能力为本位，对接岗位需求。教材需以职业能力作为教学的基础，将所从事行业应具备的职业能力作为教材内容的最小组织单元，培养岗位群所需职业能力。</w:t>
                  </w:r>
                  <w:r>
                    <w:br/>
                  </w:r>
                  <w:r>
                    <w:rPr>
                      <w:rFonts w:ascii="仿宋_GB2312" w:hAnsi="仿宋_GB2312" w:cs="仿宋_GB2312" w:eastAsia="仿宋_GB2312"/>
                      <w:sz w:val="20"/>
                    </w:rPr>
                    <w:t>教材以行动导向为主线，对接工作过程。教材需优选行业中的典型应用场景，遵循</w:t>
                  </w:r>
                  <w:r>
                    <w:rPr>
                      <w:rFonts w:ascii="仿宋_GB2312" w:hAnsi="仿宋_GB2312" w:cs="仿宋_GB2312" w:eastAsia="仿宋_GB2312"/>
                      <w:sz w:val="20"/>
                    </w:rPr>
                    <w:t>“咨询、计划、决策、实施、检查、评价”这一完整的工作过程序列，强化  实践能力，学生在“动手”实践中形成职业能力。</w:t>
                  </w:r>
                  <w:r>
                    <w:br/>
                  </w:r>
                  <w:r>
                    <w:rPr>
                      <w:rFonts w:ascii="仿宋_GB2312" w:hAnsi="仿宋_GB2312" w:cs="仿宋_GB2312" w:eastAsia="仿宋_GB2312"/>
                      <w:sz w:val="20"/>
                    </w:rPr>
                    <w:t>教材以典型项目为主体，驱动课堂教学实施。教材每个单元需采用项目化的形式编写，将岗位典型工作任务与行业真实应用相结合，学生在学习单元项目的过程中，掌握典型工作任务所需的职业能力。</w:t>
                  </w:r>
                  <w:r>
                    <w:br/>
                  </w:r>
                  <w:r>
                    <w:rPr>
                      <w:rFonts w:ascii="仿宋_GB2312" w:hAnsi="仿宋_GB2312" w:cs="仿宋_GB2312" w:eastAsia="仿宋_GB2312"/>
                      <w:sz w:val="20"/>
                    </w:rPr>
                    <w:t>教材内容重要知识点合理融入课程思政相关内容。</w:t>
                  </w:r>
                  <w:r>
                    <w:br/>
                  </w:r>
                  <w:r>
                    <w:rPr>
                      <w:rFonts w:ascii="仿宋_GB2312" w:hAnsi="仿宋_GB2312" w:cs="仿宋_GB2312" w:eastAsia="仿宋_GB2312"/>
                      <w:sz w:val="20"/>
                    </w:rPr>
                    <w:t>教材以校企合作为原则，驱动应用型人才培养。教材应由校企联合开发，结合院校教材开发和教学实施的经验，发挥企业对于岗位需求和专业技能的把控能力，保证教材的适应性与可行性。</w:t>
                  </w:r>
                  <w:r>
                    <w:br/>
                  </w:r>
                  <w:r>
                    <w:rPr>
                      <w:rFonts w:ascii="仿宋_GB2312" w:hAnsi="仿宋_GB2312" w:cs="仿宋_GB2312" w:eastAsia="仿宋_GB2312"/>
                      <w:sz w:val="20"/>
                    </w:rPr>
                    <w:t>（</w:t>
                  </w:r>
                  <w:r>
                    <w:rPr>
                      <w:rFonts w:ascii="仿宋_GB2312" w:hAnsi="仿宋_GB2312" w:cs="仿宋_GB2312" w:eastAsia="仿宋_GB2312"/>
                      <w:sz w:val="20"/>
                    </w:rPr>
                    <w:t>5）提供数字化教材编辑器上线服务，实现教材内容与数字资源有机结合，提供数字化教材在线上系统创建、编写、审核、发布的全流程管理服务，按图书出版规范，提供数字化教材三审三校服务，承担出版相关费用。</w:t>
                  </w:r>
                  <w:r>
                    <w:br/>
                  </w:r>
                  <w:r>
                    <w:rPr>
                      <w:rFonts w:ascii="仿宋_GB2312" w:hAnsi="仿宋_GB2312" w:cs="仿宋_GB2312" w:eastAsia="仿宋_GB2312"/>
                      <w:sz w:val="20"/>
                    </w:rPr>
                    <w:t>2.课程标准1份：</w:t>
                  </w:r>
                  <w:r>
                    <w:br/>
                  </w:r>
                  <w:r>
                    <w:rPr>
                      <w:rFonts w:ascii="仿宋_GB2312" w:hAnsi="仿宋_GB2312" w:cs="仿宋_GB2312" w:eastAsia="仿宋_GB2312"/>
                      <w:sz w:val="20"/>
                    </w:rPr>
                    <w:t>（</w:t>
                  </w:r>
                  <w:r>
                    <w:rPr>
                      <w:rFonts w:ascii="仿宋_GB2312" w:hAnsi="仿宋_GB2312" w:cs="仿宋_GB2312" w:eastAsia="仿宋_GB2312"/>
                      <w:sz w:val="20"/>
                    </w:rPr>
                    <w:t>1）课程标准内容包括总学时安排、项目数量、课程描述、课程目标、章节内容、知识点内容、项目内容、课时分配等信息。</w:t>
                  </w:r>
                  <w:r>
                    <w:br/>
                  </w:r>
                  <w:r>
                    <w:rPr>
                      <w:rFonts w:ascii="仿宋_GB2312" w:hAnsi="仿宋_GB2312" w:cs="仿宋_GB2312" w:eastAsia="仿宋_GB2312"/>
                      <w:sz w:val="20"/>
                    </w:rPr>
                    <w:t>（</w:t>
                  </w:r>
                  <w:r>
                    <w:rPr>
                      <w:rFonts w:ascii="仿宋_GB2312" w:hAnsi="仿宋_GB2312" w:cs="仿宋_GB2312" w:eastAsia="仿宋_GB2312"/>
                      <w:sz w:val="20"/>
                    </w:rPr>
                    <w:t>2）课程标准按照</w:t>
                  </w:r>
                  <w:r>
                    <w:rPr>
                      <w:rFonts w:ascii="仿宋_GB2312" w:hAnsi="仿宋_GB2312" w:cs="仿宋_GB2312" w:eastAsia="仿宋_GB2312"/>
                      <w:sz w:val="20"/>
                    </w:rPr>
                    <w:t>≥</w:t>
                  </w:r>
                  <w:r>
                    <w:rPr>
                      <w:rFonts w:ascii="仿宋_GB2312" w:hAnsi="仿宋_GB2312" w:cs="仿宋_GB2312" w:eastAsia="仿宋_GB2312"/>
                      <w:sz w:val="20"/>
                    </w:rPr>
                    <w:t>64课时进行分配。</w:t>
                  </w:r>
                  <w:r>
                    <w:br/>
                  </w:r>
                  <w:r>
                    <w:rPr>
                      <w:rFonts w:ascii="仿宋_GB2312" w:hAnsi="仿宋_GB2312" w:cs="仿宋_GB2312" w:eastAsia="仿宋_GB2312"/>
                      <w:sz w:val="20"/>
                    </w:rPr>
                    <w:t>3.教学课件1套：</w:t>
                  </w:r>
                  <w:r>
                    <w:br/>
                  </w:r>
                  <w:r>
                    <w:rPr>
                      <w:rFonts w:ascii="仿宋_GB2312" w:hAnsi="仿宋_GB2312" w:cs="仿宋_GB2312" w:eastAsia="仿宋_GB2312"/>
                      <w:sz w:val="20"/>
                    </w:rPr>
                    <w:t>（</w:t>
                  </w:r>
                  <w:r>
                    <w:rPr>
                      <w:rFonts w:ascii="仿宋_GB2312" w:hAnsi="仿宋_GB2312" w:cs="仿宋_GB2312" w:eastAsia="仿宋_GB2312"/>
                      <w:sz w:val="20"/>
                    </w:rPr>
                    <w:t>1）教学课件要求带有教学设计，设计开发</w:t>
                  </w:r>
                  <w:r>
                    <w:rPr>
                      <w:rFonts w:ascii="仿宋_GB2312" w:hAnsi="仿宋_GB2312" w:cs="仿宋_GB2312" w:eastAsia="仿宋_GB2312"/>
                      <w:sz w:val="20"/>
                    </w:rPr>
                    <w:t>≥</w:t>
                  </w:r>
                  <w:r>
                    <w:rPr>
                      <w:rFonts w:ascii="仿宋_GB2312" w:hAnsi="仿宋_GB2312" w:cs="仿宋_GB2312" w:eastAsia="仿宋_GB2312"/>
                      <w:sz w:val="20"/>
                    </w:rPr>
                    <w:t>16个教学课件、PPT总页数</w:t>
                  </w:r>
                  <w:r>
                    <w:rPr>
                      <w:rFonts w:ascii="仿宋_GB2312" w:hAnsi="仿宋_GB2312" w:cs="仿宋_GB2312" w:eastAsia="仿宋_GB2312"/>
                      <w:sz w:val="20"/>
                    </w:rPr>
                    <w:t>≥</w:t>
                  </w:r>
                  <w:r>
                    <w:rPr>
                      <w:rFonts w:ascii="仿宋_GB2312" w:hAnsi="仿宋_GB2312" w:cs="仿宋_GB2312" w:eastAsia="仿宋_GB2312"/>
                      <w:sz w:val="20"/>
                    </w:rPr>
                    <w:t>200页；教学课件内容贴合实际教学，PPT生动形象，具有带入性。</w:t>
                  </w:r>
                  <w:r>
                    <w:br/>
                  </w:r>
                  <w:r>
                    <w:rPr>
                      <w:rFonts w:ascii="仿宋_GB2312" w:hAnsi="仿宋_GB2312" w:cs="仿宋_GB2312" w:eastAsia="仿宋_GB2312"/>
                      <w:sz w:val="20"/>
                    </w:rPr>
                    <w:t>（</w:t>
                  </w:r>
                  <w:r>
                    <w:rPr>
                      <w:rFonts w:ascii="仿宋_GB2312" w:hAnsi="仿宋_GB2312" w:cs="仿宋_GB2312" w:eastAsia="仿宋_GB2312"/>
                      <w:sz w:val="20"/>
                    </w:rPr>
                    <w:t>2）版式设计独特、新颖、颜色统一；模板朴素、大方，颜色适宜，便于长时间观看；在模板的适当位置标明课程名称、模块（章或节）序号与模块（章或节）的名称；多个页面均有的相同元素，如背景、按钮、标题、页码等，可以使用幻灯片母版来实现。</w:t>
                  </w:r>
                  <w:r>
                    <w:br/>
                  </w:r>
                  <w:r>
                    <w:rPr>
                      <w:rFonts w:ascii="仿宋_GB2312" w:hAnsi="仿宋_GB2312" w:cs="仿宋_GB2312" w:eastAsia="仿宋_GB2312"/>
                      <w:sz w:val="20"/>
                    </w:rPr>
                    <w:t>4.教案1套：</w:t>
                  </w:r>
                  <w:r>
                    <w:br/>
                  </w:r>
                  <w:r>
                    <w:rPr>
                      <w:rFonts w:ascii="仿宋_GB2312" w:hAnsi="仿宋_GB2312" w:cs="仿宋_GB2312" w:eastAsia="仿宋_GB2312"/>
                      <w:sz w:val="20"/>
                    </w:rPr>
                    <w:t>每个任务要求至少准备一套教案，设计开发</w:t>
                  </w:r>
                  <w:r>
                    <w:rPr>
                      <w:rFonts w:ascii="仿宋_GB2312" w:hAnsi="仿宋_GB2312" w:cs="仿宋_GB2312" w:eastAsia="仿宋_GB2312"/>
                      <w:sz w:val="20"/>
                    </w:rPr>
                    <w:t>≥</w:t>
                  </w:r>
                  <w:r>
                    <w:rPr>
                      <w:rFonts w:ascii="仿宋_GB2312" w:hAnsi="仿宋_GB2312" w:cs="仿宋_GB2312" w:eastAsia="仿宋_GB2312"/>
                      <w:sz w:val="20"/>
                    </w:rPr>
                    <w:t>16份课程教案，内容包含但不限于教学目标、教学重点、教学难点、教法学法、教学手段及资源、学情分析、教学环节等。</w:t>
                  </w:r>
                  <w:r>
                    <w:br/>
                  </w:r>
                  <w:r>
                    <w:rPr>
                      <w:rFonts w:ascii="仿宋_GB2312" w:hAnsi="仿宋_GB2312" w:cs="仿宋_GB2312" w:eastAsia="仿宋_GB2312"/>
                      <w:sz w:val="20"/>
                    </w:rPr>
                    <w:t>5.习题库1套：</w:t>
                  </w:r>
                  <w:r>
                    <w:br/>
                  </w:r>
                  <w:r>
                    <w:rPr>
                      <w:rFonts w:ascii="仿宋_GB2312" w:hAnsi="仿宋_GB2312" w:cs="仿宋_GB2312" w:eastAsia="仿宋_GB2312"/>
                      <w:sz w:val="20"/>
                    </w:rPr>
                    <w:t>（</w:t>
                  </w:r>
                  <w:r>
                    <w:rPr>
                      <w:rFonts w:ascii="仿宋_GB2312" w:hAnsi="仿宋_GB2312" w:cs="仿宋_GB2312" w:eastAsia="仿宋_GB2312"/>
                      <w:sz w:val="20"/>
                    </w:rPr>
                    <w:t>1）题库应包含课程的知识题库，素材应符合相关技术规范。题库所涉及的技术应为最新主流技术，不允许出现明显的已过时的技术。</w:t>
                  </w:r>
                  <w:r>
                    <w:br/>
                  </w:r>
                  <w:r>
                    <w:rPr>
                      <w:rFonts w:ascii="仿宋_GB2312" w:hAnsi="仿宋_GB2312" w:cs="仿宋_GB2312" w:eastAsia="仿宋_GB2312"/>
                      <w:sz w:val="20"/>
                    </w:rPr>
                    <w:t>（</w:t>
                  </w:r>
                  <w:r>
                    <w:rPr>
                      <w:rFonts w:ascii="仿宋_GB2312" w:hAnsi="仿宋_GB2312" w:cs="仿宋_GB2312" w:eastAsia="仿宋_GB2312"/>
                      <w:sz w:val="20"/>
                    </w:rPr>
                    <w:t>2）题型为选择题、判断题、简答题。</w:t>
                  </w:r>
                  <w:r>
                    <w:br/>
                  </w:r>
                  <w:r>
                    <w:rPr>
                      <w:rFonts w:ascii="仿宋_GB2312" w:hAnsi="仿宋_GB2312" w:cs="仿宋_GB2312" w:eastAsia="仿宋_GB2312"/>
                      <w:sz w:val="20"/>
                    </w:rPr>
                    <w:t>（</w:t>
                  </w:r>
                  <w:r>
                    <w:rPr>
                      <w:rFonts w:ascii="仿宋_GB2312" w:hAnsi="仿宋_GB2312" w:cs="仿宋_GB2312" w:eastAsia="仿宋_GB2312"/>
                      <w:sz w:val="20"/>
                    </w:rPr>
                    <w:t>3）总题量</w:t>
                  </w:r>
                  <w:r>
                    <w:rPr>
                      <w:rFonts w:ascii="仿宋_GB2312" w:hAnsi="仿宋_GB2312" w:cs="仿宋_GB2312" w:eastAsia="仿宋_GB2312"/>
                      <w:sz w:val="20"/>
                    </w:rPr>
                    <w:t>≥</w:t>
                  </w:r>
                  <w:r>
                    <w:rPr>
                      <w:rFonts w:ascii="仿宋_GB2312" w:hAnsi="仿宋_GB2312" w:cs="仿宋_GB2312" w:eastAsia="仿宋_GB2312"/>
                      <w:sz w:val="20"/>
                    </w:rPr>
                    <w:t>200题/套。</w:t>
                  </w:r>
                  <w:r>
                    <w:br/>
                  </w:r>
                  <w:r>
                    <w:rPr>
                      <w:rFonts w:ascii="仿宋_GB2312" w:hAnsi="仿宋_GB2312" w:cs="仿宋_GB2312" w:eastAsia="仿宋_GB2312"/>
                      <w:sz w:val="20"/>
                    </w:rPr>
                    <w:t>（</w:t>
                  </w:r>
                  <w:r>
                    <w:rPr>
                      <w:rFonts w:ascii="仿宋_GB2312" w:hAnsi="仿宋_GB2312" w:cs="仿宋_GB2312" w:eastAsia="仿宋_GB2312"/>
                      <w:sz w:val="20"/>
                    </w:rPr>
                    <w:t>4）品质要求：①文本正文应设定实验内容标题，标题放在正文内第一行居中的位置。②各级标题应设置正确，同一级标题使用同样的样式，文本结构清晰。③正文字体、字号、颜色、行间距等要美观、统一。 ④表格不应超出页面，且要求使用软件的插入表格或 绘制表格等功能生成表格，并使用相应功能加工处理，不要用在文本上描绘直线等绘图方式制作表格。</w:t>
                  </w:r>
                  <w:r>
                    <w:br/>
                  </w:r>
                  <w:r>
                    <w:rPr>
                      <w:rFonts w:ascii="仿宋_GB2312" w:hAnsi="仿宋_GB2312" w:cs="仿宋_GB2312" w:eastAsia="仿宋_GB2312"/>
                      <w:sz w:val="20"/>
                    </w:rPr>
                    <w:t>6.MG理论动画（二维）</w:t>
                  </w:r>
                  <w:r>
                    <w:br/>
                  </w:r>
                  <w:r>
                    <w:rPr>
                      <w:rFonts w:ascii="仿宋_GB2312" w:hAnsi="仿宋_GB2312" w:cs="仿宋_GB2312" w:eastAsia="仿宋_GB2312"/>
                      <w:sz w:val="20"/>
                    </w:rPr>
                    <w:t>（</w:t>
                  </w:r>
                  <w:r>
                    <w:rPr>
                      <w:rFonts w:ascii="仿宋_GB2312" w:hAnsi="仿宋_GB2312" w:cs="仿宋_GB2312" w:eastAsia="仿宋_GB2312"/>
                      <w:sz w:val="20"/>
                    </w:rPr>
                    <w:t>1）理论动画要求提供</w:t>
                  </w:r>
                  <w:r>
                    <w:rPr>
                      <w:rFonts w:ascii="仿宋_GB2312" w:hAnsi="仿宋_GB2312" w:cs="仿宋_GB2312" w:eastAsia="仿宋_GB2312"/>
                      <w:sz w:val="20"/>
                    </w:rPr>
                    <w:t>≥</w:t>
                  </w:r>
                  <w:r>
                    <w:rPr>
                      <w:rFonts w:ascii="仿宋_GB2312" w:hAnsi="仿宋_GB2312" w:cs="仿宋_GB2312" w:eastAsia="仿宋_GB2312"/>
                      <w:sz w:val="20"/>
                    </w:rPr>
                    <w:t xml:space="preserve">5个，要求以二维动画来设计制作，包含演示动画、情景动画等，将枯燥、抽象、生涩难懂的知识重点，以及文字、图片、视频无法呈现的知识难点，以动画形式展现，解决老师难教和学生难懂的教学问题。                                     </w:t>
                  </w:r>
                  <w:r>
                    <w:br/>
                  </w:r>
                  <w:r>
                    <w:rPr>
                      <w:rFonts w:ascii="仿宋_GB2312" w:hAnsi="仿宋_GB2312" w:cs="仿宋_GB2312" w:eastAsia="仿宋_GB2312"/>
                      <w:sz w:val="20"/>
                    </w:rPr>
                    <w:t>（</w:t>
                  </w:r>
                  <w:r>
                    <w:rPr>
                      <w:rFonts w:ascii="仿宋_GB2312" w:hAnsi="仿宋_GB2312" w:cs="仿宋_GB2312" w:eastAsia="仿宋_GB2312"/>
                      <w:sz w:val="20"/>
                    </w:rPr>
                    <w:t>2）每个动画需要包含教学设计、素材收集、制作脚本、开发、字幕、专业配音、后期剪辑、解说字幕等环节。</w:t>
                  </w:r>
                  <w:r>
                    <w:br/>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3）每个动画要求</w:t>
                  </w:r>
                  <w:r>
                    <w:rPr>
                      <w:rFonts w:ascii="仿宋_GB2312" w:hAnsi="仿宋_GB2312" w:cs="仿宋_GB2312" w:eastAsia="仿宋_GB2312"/>
                      <w:sz w:val="20"/>
                    </w:rPr>
                    <w:t>≥</w:t>
                  </w:r>
                  <w:r>
                    <w:rPr>
                      <w:rFonts w:ascii="仿宋_GB2312" w:hAnsi="仿宋_GB2312" w:cs="仿宋_GB2312" w:eastAsia="仿宋_GB2312"/>
                      <w:sz w:val="20"/>
                    </w:rPr>
                    <w:t>120秒，输出统一，分辨率1920*1080、高清Mp4格式，视频帧速率</w:t>
                  </w:r>
                  <w:r>
                    <w:rPr>
                      <w:rFonts w:ascii="仿宋_GB2312" w:hAnsi="仿宋_GB2312" w:cs="仿宋_GB2312" w:eastAsia="仿宋_GB2312"/>
                      <w:sz w:val="20"/>
                    </w:rPr>
                    <w:t>≥</w:t>
                  </w:r>
                  <w:r>
                    <w:rPr>
                      <w:rFonts w:ascii="仿宋_GB2312" w:hAnsi="仿宋_GB2312" w:cs="仿宋_GB2312" w:eastAsia="仿宋_GB2312"/>
                      <w:sz w:val="20"/>
                    </w:rPr>
                    <w:t>25帧/秒，视频比特率</w:t>
                  </w:r>
                  <w:r>
                    <w:rPr>
                      <w:rFonts w:ascii="仿宋_GB2312" w:hAnsi="仿宋_GB2312" w:cs="仿宋_GB2312" w:eastAsia="仿宋_GB2312"/>
                      <w:sz w:val="20"/>
                    </w:rPr>
                    <w:t>≥</w:t>
                  </w:r>
                  <w:r>
                    <w:rPr>
                      <w:rFonts w:ascii="仿宋_GB2312" w:hAnsi="仿宋_GB2312" w:cs="仿宋_GB2312" w:eastAsia="仿宋_GB2312"/>
                      <w:sz w:val="20"/>
                    </w:rPr>
                    <w:t>3000kbps，音频比特率</w:t>
                  </w:r>
                  <w:r>
                    <w:rPr>
                      <w:rFonts w:ascii="仿宋_GB2312" w:hAnsi="仿宋_GB2312" w:cs="仿宋_GB2312" w:eastAsia="仿宋_GB2312"/>
                      <w:sz w:val="20"/>
                    </w:rPr>
                    <w:t>≥</w:t>
                  </w:r>
                  <w:r>
                    <w:rPr>
                      <w:rFonts w:ascii="仿宋_GB2312" w:hAnsi="仿宋_GB2312" w:cs="仿宋_GB2312" w:eastAsia="仿宋_GB2312"/>
                      <w:sz w:val="20"/>
                    </w:rPr>
                    <w:t xml:space="preserve">192kbps。 </w:t>
                  </w:r>
                  <w:r>
                    <w:rPr>
                      <w:rFonts w:ascii="仿宋_GB2312" w:hAnsi="仿宋_GB2312" w:cs="仿宋_GB2312" w:eastAsia="仿宋_GB2312"/>
                      <w:sz w:val="20"/>
                      <w:b/>
                    </w:rPr>
                    <w:t>（需提供动画样例视频截图不少于</w:t>
                  </w:r>
                  <w:r>
                    <w:rPr>
                      <w:rFonts w:ascii="仿宋_GB2312" w:hAnsi="仿宋_GB2312" w:cs="仿宋_GB2312" w:eastAsia="仿宋_GB2312"/>
                      <w:sz w:val="20"/>
                      <w:b/>
                    </w:rPr>
                    <w:t>5张）</w:t>
                  </w:r>
                  <w:r>
                    <w:br/>
                  </w:r>
                  <w:r>
                    <w:rPr>
                      <w:rFonts w:ascii="仿宋_GB2312" w:hAnsi="仿宋_GB2312" w:cs="仿宋_GB2312" w:eastAsia="仿宋_GB2312"/>
                      <w:sz w:val="20"/>
                    </w:rPr>
                    <w:t>（</w:t>
                  </w:r>
                  <w:r>
                    <w:rPr>
                      <w:rFonts w:ascii="仿宋_GB2312" w:hAnsi="仿宋_GB2312" w:cs="仿宋_GB2312" w:eastAsia="仿宋_GB2312"/>
                      <w:sz w:val="20"/>
                    </w:rPr>
                    <w:t>4）每个动画要求声音和画面同步，无交流声或其他杂音等缺陷，无明显失真、放音过冲、过弱。伴音清晰、饱满、圆润，无失真、噪声杂音干扰、音量忽大忽小现象。解说声与现场声无明显比例失调。</w:t>
                  </w:r>
                  <w:r>
                    <w:br/>
                  </w:r>
                  <w:r>
                    <w:rPr>
                      <w:rFonts w:ascii="仿宋_GB2312" w:hAnsi="仿宋_GB2312" w:cs="仿宋_GB2312" w:eastAsia="仿宋_GB2312"/>
                      <w:sz w:val="20"/>
                    </w:rPr>
                    <w:t>7.交互动画</w:t>
                  </w:r>
                  <w:r>
                    <w:br/>
                  </w:r>
                  <w:r>
                    <w:rPr>
                      <w:rFonts w:ascii="仿宋_GB2312" w:hAnsi="仿宋_GB2312" w:cs="仿宋_GB2312" w:eastAsia="仿宋_GB2312"/>
                      <w:sz w:val="20"/>
                    </w:rPr>
                    <w:t>（</w:t>
                  </w:r>
                  <w:r>
                    <w:rPr>
                      <w:rFonts w:ascii="仿宋_GB2312" w:hAnsi="仿宋_GB2312" w:cs="仿宋_GB2312" w:eastAsia="仿宋_GB2312"/>
                      <w:sz w:val="20"/>
                    </w:rPr>
                    <w:t>1）交互动画要求提供</w:t>
                  </w:r>
                  <w:r>
                    <w:rPr>
                      <w:rFonts w:ascii="仿宋_GB2312" w:hAnsi="仿宋_GB2312" w:cs="仿宋_GB2312" w:eastAsia="仿宋_GB2312"/>
                      <w:sz w:val="20"/>
                    </w:rPr>
                    <w:t>≥</w:t>
                  </w:r>
                  <w:r>
                    <w:rPr>
                      <w:rFonts w:ascii="仿宋_GB2312" w:hAnsi="仿宋_GB2312" w:cs="仿宋_GB2312" w:eastAsia="仿宋_GB2312"/>
                      <w:sz w:val="20"/>
                    </w:rPr>
                    <w:t>5个，每个动画要求</w:t>
                  </w:r>
                  <w:r>
                    <w:rPr>
                      <w:rFonts w:ascii="仿宋_GB2312" w:hAnsi="仿宋_GB2312" w:cs="仿宋_GB2312" w:eastAsia="仿宋_GB2312"/>
                      <w:sz w:val="20"/>
                    </w:rPr>
                    <w:t>≥</w:t>
                  </w:r>
                  <w:r>
                    <w:rPr>
                      <w:rFonts w:ascii="仿宋_GB2312" w:hAnsi="仿宋_GB2312" w:cs="仿宋_GB2312" w:eastAsia="仿宋_GB2312"/>
                      <w:sz w:val="20"/>
                    </w:rPr>
                    <w:t>2个交互点，交互内容要求合理对应教学知识点、符合沉浸式、互动式等教学设计要求。</w:t>
                  </w:r>
                  <w:r>
                    <w:br/>
                  </w:r>
                  <w:r>
                    <w:rPr>
                      <w:rFonts w:ascii="仿宋_GB2312" w:hAnsi="仿宋_GB2312" w:cs="仿宋_GB2312" w:eastAsia="仿宋_GB2312"/>
                      <w:sz w:val="20"/>
                    </w:rPr>
                    <w:t>（</w:t>
                  </w:r>
                  <w:r>
                    <w:rPr>
                      <w:rFonts w:ascii="仿宋_GB2312" w:hAnsi="仿宋_GB2312" w:cs="仿宋_GB2312" w:eastAsia="仿宋_GB2312"/>
                      <w:sz w:val="20"/>
                    </w:rPr>
                    <w:t>2）要求设计较强的交互功能，操作简便，交互的实现须流畅、合理、图像清晰，具有较强的可视性，制作要求达到高清，色彩饱和，运行流畅，声音清楚，界面精细。</w:t>
                  </w:r>
                  <w:r>
                    <w:br/>
                  </w:r>
                  <w:r>
                    <w:rPr>
                      <w:rFonts w:ascii="仿宋_GB2312" w:hAnsi="仿宋_GB2312" w:cs="仿宋_GB2312" w:eastAsia="仿宋_GB2312"/>
                      <w:sz w:val="20"/>
                    </w:rPr>
                    <w:t>（</w:t>
                  </w:r>
                  <w:r>
                    <w:rPr>
                      <w:rFonts w:ascii="仿宋_GB2312" w:hAnsi="仿宋_GB2312" w:cs="仿宋_GB2312" w:eastAsia="仿宋_GB2312"/>
                      <w:sz w:val="20"/>
                    </w:rPr>
                    <w:t>3）动画画面尺寸：宽度1280像素*高度720像素及以上。</w:t>
                  </w:r>
                  <w:r>
                    <w:br/>
                  </w:r>
                  <w:r>
                    <w:rPr>
                      <w:rFonts w:ascii="仿宋_GB2312" w:hAnsi="仿宋_GB2312" w:cs="仿宋_GB2312" w:eastAsia="仿宋_GB2312"/>
                      <w:sz w:val="20"/>
                    </w:rPr>
                    <w:t>（</w:t>
                  </w:r>
                  <w:r>
                    <w:rPr>
                      <w:rFonts w:ascii="仿宋_GB2312" w:hAnsi="仿宋_GB2312" w:cs="仿宋_GB2312" w:eastAsia="仿宋_GB2312"/>
                      <w:sz w:val="20"/>
                    </w:rPr>
                    <w:t>4）解说配音应标准，无噪音，音量适当，快慢适度，并提供控制解说的开关。</w:t>
                  </w:r>
                  <w:r>
                    <w:br/>
                  </w:r>
                  <w:r>
                    <w:rPr>
                      <w:rFonts w:ascii="仿宋_GB2312" w:hAnsi="仿宋_GB2312" w:cs="仿宋_GB2312" w:eastAsia="仿宋_GB2312"/>
                      <w:sz w:val="20"/>
                    </w:rPr>
                    <w:t>（</w:t>
                  </w:r>
                  <w:r>
                    <w:rPr>
                      <w:rFonts w:ascii="仿宋_GB2312" w:hAnsi="仿宋_GB2312" w:cs="仿宋_GB2312" w:eastAsia="仿宋_GB2312"/>
                      <w:sz w:val="20"/>
                    </w:rPr>
                    <w:t>5）交互动画采用SWF、HTML、EXE等形式存储方式。</w:t>
                  </w:r>
                  <w:r>
                    <w:br/>
                  </w:r>
                  <w:r>
                    <w:rPr>
                      <w:rFonts w:ascii="仿宋_GB2312" w:hAnsi="仿宋_GB2312" w:cs="仿宋_GB2312" w:eastAsia="仿宋_GB2312"/>
                      <w:sz w:val="20"/>
                    </w:rPr>
                    <w:t>二、建设现场工程师典型生产实践课在线精品课程</w:t>
                  </w:r>
                  <w:r>
                    <w:rPr>
                      <w:rFonts w:ascii="仿宋_GB2312" w:hAnsi="仿宋_GB2312" w:cs="仿宋_GB2312" w:eastAsia="仿宋_GB2312"/>
                      <w:sz w:val="20"/>
                    </w:rPr>
                    <w:t>2门，建设现场工程师AI赋能实践课在线精品课程资源1门，每门涵盖：</w:t>
                  </w:r>
                  <w:r>
                    <w:br/>
                  </w:r>
                  <w:r>
                    <w:rPr>
                      <w:rFonts w:ascii="仿宋_GB2312" w:hAnsi="仿宋_GB2312" w:cs="仿宋_GB2312" w:eastAsia="仿宋_GB2312"/>
                      <w:sz w:val="20"/>
                    </w:rPr>
                    <w:t>1.实操视频</w:t>
                  </w:r>
                  <w:r>
                    <w:br/>
                  </w:r>
                  <w:r>
                    <w:rPr>
                      <w:rFonts w:ascii="仿宋_GB2312" w:hAnsi="仿宋_GB2312" w:cs="仿宋_GB2312" w:eastAsia="仿宋_GB2312"/>
                      <w:sz w:val="20"/>
                    </w:rPr>
                    <w:t>（</w:t>
                  </w:r>
                  <w:r>
                    <w:rPr>
                      <w:rFonts w:ascii="仿宋_GB2312" w:hAnsi="仿宋_GB2312" w:cs="仿宋_GB2312" w:eastAsia="仿宋_GB2312"/>
                      <w:sz w:val="20"/>
                    </w:rPr>
                    <w:t>1）实操视频要求提供</w:t>
                  </w:r>
                  <w:r>
                    <w:rPr>
                      <w:rFonts w:ascii="仿宋_GB2312" w:hAnsi="仿宋_GB2312" w:cs="仿宋_GB2312" w:eastAsia="仿宋_GB2312"/>
                      <w:sz w:val="20"/>
                    </w:rPr>
                    <w:t>≥</w:t>
                  </w:r>
                  <w:r>
                    <w:rPr>
                      <w:rFonts w:ascii="仿宋_GB2312" w:hAnsi="仿宋_GB2312" w:cs="仿宋_GB2312" w:eastAsia="仿宋_GB2312"/>
                      <w:sz w:val="20"/>
                    </w:rPr>
                    <w:t>25个，主要制作教学实操环节，对实操流程及步骤进行设计、分解、特写，每一步要求后期配音和画面注解。</w:t>
                  </w:r>
                  <w:r>
                    <w:br/>
                  </w:r>
                  <w:r>
                    <w:rPr>
                      <w:rFonts w:ascii="仿宋_GB2312" w:hAnsi="仿宋_GB2312" w:cs="仿宋_GB2312" w:eastAsia="仿宋_GB2312"/>
                      <w:sz w:val="20"/>
                    </w:rPr>
                    <w:t>（</w:t>
                  </w:r>
                  <w:r>
                    <w:rPr>
                      <w:rFonts w:ascii="仿宋_GB2312" w:hAnsi="仿宋_GB2312" w:cs="仿宋_GB2312" w:eastAsia="仿宋_GB2312"/>
                      <w:sz w:val="20"/>
                    </w:rPr>
                    <w:t>2）每个实操视频包含教学设计、重难点强调、素材收集、制作脚本、开发、字幕、普通话二甲专业配音、后期剪辑、解说字幕等环节。</w:t>
                  </w:r>
                  <w:r>
                    <w:br/>
                  </w:r>
                  <w:r>
                    <w:rPr>
                      <w:rFonts w:ascii="仿宋_GB2312" w:hAnsi="仿宋_GB2312" w:cs="仿宋_GB2312" w:eastAsia="仿宋_GB2312"/>
                      <w:sz w:val="20"/>
                    </w:rPr>
                    <w:t>（</w:t>
                  </w:r>
                  <w:r>
                    <w:rPr>
                      <w:rFonts w:ascii="仿宋_GB2312" w:hAnsi="仿宋_GB2312" w:cs="仿宋_GB2312" w:eastAsia="仿宋_GB2312"/>
                      <w:sz w:val="20"/>
                    </w:rPr>
                    <w:t>3）每个实操视频</w:t>
                  </w:r>
                  <w:r>
                    <w:rPr>
                      <w:rFonts w:ascii="仿宋_GB2312" w:hAnsi="仿宋_GB2312" w:cs="仿宋_GB2312" w:eastAsia="仿宋_GB2312"/>
                      <w:sz w:val="20"/>
                    </w:rPr>
                    <w:t>≥</w:t>
                  </w:r>
                  <w:r>
                    <w:rPr>
                      <w:rFonts w:ascii="仿宋_GB2312" w:hAnsi="仿宋_GB2312" w:cs="仿宋_GB2312" w:eastAsia="仿宋_GB2312"/>
                      <w:sz w:val="20"/>
                    </w:rPr>
                    <w:t xml:space="preserve">180秒，输出统一，分辨率1920*1080、高清Mp4格式。 </w:t>
                  </w:r>
                  <w:r>
                    <w:br/>
                  </w:r>
                  <w:r>
                    <w:rPr>
                      <w:rFonts w:ascii="仿宋_GB2312" w:hAnsi="仿宋_GB2312" w:cs="仿宋_GB2312" w:eastAsia="仿宋_GB2312"/>
                      <w:sz w:val="20"/>
                    </w:rPr>
                    <w:t>（</w:t>
                  </w:r>
                  <w:r>
                    <w:rPr>
                      <w:rFonts w:ascii="仿宋_GB2312" w:hAnsi="仿宋_GB2312" w:cs="仿宋_GB2312" w:eastAsia="仿宋_GB2312"/>
                      <w:sz w:val="20"/>
                    </w:rPr>
                    <w:t>4）声音和画面要求同步，无交流声或其他杂音等缺陷，无明显失真、放音过冲、过弱。伴音清晰、饱满、圆润，无失真、噪声杂音干扰、音量忽大忽小现象。解说声与现场声无明显比例失调。</w:t>
                  </w:r>
                  <w:r>
                    <w:br/>
                  </w:r>
                  <w:r>
                    <w:rPr>
                      <w:rFonts w:ascii="仿宋_GB2312" w:hAnsi="仿宋_GB2312" w:cs="仿宋_GB2312" w:eastAsia="仿宋_GB2312"/>
                      <w:sz w:val="20"/>
                    </w:rPr>
                    <w:t>2.课程宣传片课件及脚本</w:t>
                  </w:r>
                  <w:r>
                    <w:br/>
                  </w:r>
                  <w:r>
                    <w:rPr>
                      <w:rFonts w:ascii="仿宋_GB2312" w:hAnsi="仿宋_GB2312" w:cs="仿宋_GB2312" w:eastAsia="仿宋_GB2312"/>
                      <w:sz w:val="20"/>
                    </w:rPr>
                    <w:t>（</w:t>
                  </w:r>
                  <w:r>
                    <w:rPr>
                      <w:rFonts w:ascii="仿宋_GB2312" w:hAnsi="仿宋_GB2312" w:cs="仿宋_GB2312" w:eastAsia="仿宋_GB2312"/>
                      <w:sz w:val="20"/>
                    </w:rPr>
                    <w:t>1）要求根据课程信息、制作拍摄脚本与课件，包括课程特点、教学目标、教学内容覆盖面、教学方法及组织形式、授课对象要求、教材与参考资料、课程开设情况等内容。</w:t>
                  </w:r>
                  <w:r>
                    <w:br/>
                  </w:r>
                  <w:r>
                    <w:rPr>
                      <w:rFonts w:ascii="仿宋_GB2312" w:hAnsi="仿宋_GB2312" w:cs="仿宋_GB2312" w:eastAsia="仿宋_GB2312"/>
                      <w:sz w:val="20"/>
                    </w:rPr>
                    <w:t>（</w:t>
                  </w:r>
                  <w:r>
                    <w:rPr>
                      <w:rFonts w:ascii="仿宋_GB2312" w:hAnsi="仿宋_GB2312" w:cs="仿宋_GB2312" w:eastAsia="仿宋_GB2312"/>
                      <w:sz w:val="20"/>
                    </w:rPr>
                    <w:t>2）课程宣传片课件及脚本，要求按时长3-5分钟左右设计。</w:t>
                  </w:r>
                  <w:r>
                    <w:br/>
                  </w:r>
                  <w:r>
                    <w:rPr>
                      <w:rFonts w:ascii="仿宋_GB2312" w:hAnsi="仿宋_GB2312" w:cs="仿宋_GB2312" w:eastAsia="仿宋_GB2312"/>
                      <w:sz w:val="20"/>
                    </w:rPr>
                    <w:t>3.精品慕课视频课件及脚本</w:t>
                  </w:r>
                  <w:r>
                    <w:br/>
                  </w:r>
                  <w:r>
                    <w:rPr>
                      <w:rFonts w:ascii="仿宋_GB2312" w:hAnsi="仿宋_GB2312" w:cs="仿宋_GB2312" w:eastAsia="仿宋_GB2312"/>
                      <w:sz w:val="20"/>
                    </w:rPr>
                    <w:t>（</w:t>
                  </w:r>
                  <w:r>
                    <w:rPr>
                      <w:rFonts w:ascii="仿宋_GB2312" w:hAnsi="仿宋_GB2312" w:cs="仿宋_GB2312" w:eastAsia="仿宋_GB2312"/>
                      <w:sz w:val="20"/>
                    </w:rPr>
                    <w:t>1）慕课视频课件及脚本</w:t>
                  </w:r>
                  <w:r>
                    <w:rPr>
                      <w:rFonts w:ascii="仿宋_GB2312" w:hAnsi="仿宋_GB2312" w:cs="仿宋_GB2312" w:eastAsia="仿宋_GB2312"/>
                      <w:sz w:val="20"/>
                    </w:rPr>
                    <w:t>1</w:t>
                  </w:r>
                  <w:r>
                    <w:rPr>
                      <w:rFonts w:ascii="仿宋_GB2312" w:hAnsi="仿宋_GB2312" w:cs="仿宋_GB2312" w:eastAsia="仿宋_GB2312"/>
                      <w:sz w:val="20"/>
                    </w:rPr>
                    <w:t>套，数量</w:t>
                  </w:r>
                  <w:r>
                    <w:rPr>
                      <w:rFonts w:ascii="仿宋_GB2312" w:hAnsi="仿宋_GB2312" w:cs="仿宋_GB2312" w:eastAsia="仿宋_GB2312"/>
                      <w:sz w:val="20"/>
                    </w:rPr>
                    <w:t>≥</w:t>
                  </w:r>
                  <w:r>
                    <w:rPr>
                      <w:rFonts w:ascii="仿宋_GB2312" w:hAnsi="仿宋_GB2312" w:cs="仿宋_GB2312" w:eastAsia="仿宋_GB2312"/>
                      <w:sz w:val="20"/>
                    </w:rPr>
                    <w:t>35个，确保每个课件及脚本对应的视频时长5-15分钟，脚本内容需覆盖教材大部分内容。</w:t>
                  </w:r>
                  <w:r>
                    <w:br/>
                  </w:r>
                  <w:r>
                    <w:rPr>
                      <w:rFonts w:ascii="仿宋_GB2312" w:hAnsi="仿宋_GB2312" w:cs="仿宋_GB2312" w:eastAsia="仿宋_GB2312"/>
                      <w:sz w:val="20"/>
                    </w:rPr>
                    <w:t>（</w:t>
                  </w:r>
                  <w:r>
                    <w:rPr>
                      <w:rFonts w:ascii="仿宋_GB2312" w:hAnsi="仿宋_GB2312" w:cs="仿宋_GB2312" w:eastAsia="仿宋_GB2312"/>
                      <w:sz w:val="20"/>
                    </w:rPr>
                    <w:t>2）内容形式：根据学校和课程知识点要求，制作教学视频脚本，根据知识点需要选择最合适的呈现方式，脚本设计需巧妙运用现有资源，如动画、录像、图文讲解、教师讲解等等。</w:t>
                  </w:r>
                  <w:r>
                    <w:br/>
                  </w:r>
                  <w:r>
                    <w:rPr>
                      <w:rFonts w:ascii="仿宋_GB2312" w:hAnsi="仿宋_GB2312" w:cs="仿宋_GB2312" w:eastAsia="仿宋_GB2312"/>
                      <w:sz w:val="20"/>
                    </w:rPr>
                    <w:t>（</w:t>
                  </w:r>
                  <w:r>
                    <w:rPr>
                      <w:rFonts w:ascii="仿宋_GB2312" w:hAnsi="仿宋_GB2312" w:cs="仿宋_GB2312" w:eastAsia="仿宋_GB2312"/>
                      <w:sz w:val="20"/>
                    </w:rPr>
                    <w:t>3）脚本字幕要使用符合国家标准的规范字，不出现繁体字、异体字(国家规定的除外)、错别字。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企业班主任</w:t>
                  </w:r>
                  <w:r>
                    <w:rPr>
                      <w:rFonts w:ascii="仿宋_GB2312" w:hAnsi="仿宋_GB2312" w:cs="仿宋_GB2312" w:eastAsia="仿宋_GB2312"/>
                      <w:sz w:val="20"/>
                    </w:rPr>
                    <w:t>及</w:t>
                  </w:r>
                  <w:r>
                    <w:rPr>
                      <w:rFonts w:ascii="仿宋_GB2312" w:hAnsi="仿宋_GB2312" w:cs="仿宋_GB2312" w:eastAsia="仿宋_GB2312"/>
                      <w:sz w:val="20"/>
                    </w:rPr>
                    <w:t>项目管理服务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1.选派管理人员参与共建现场工程师项目的推进、学校办学政策对接、工作关系协调等；联合企业修订人才培养方案；做好学生的就业指导和就业推荐工作；</w:t>
                  </w:r>
                  <w:r>
                    <w:br/>
                  </w:r>
                  <w:r>
                    <w:rPr>
                      <w:rFonts w:ascii="仿宋_GB2312" w:hAnsi="仿宋_GB2312" w:cs="仿宋_GB2312" w:eastAsia="仿宋_GB2312"/>
                      <w:sz w:val="20"/>
                    </w:rPr>
                    <w:t>2.全面负责现场工程师班的日常运营和管理工作，及时了解校方的需求和工作指示，转化成内部的工作制度贯彻实施；</w:t>
                  </w:r>
                  <w:r>
                    <w:br/>
                  </w:r>
                  <w:r>
                    <w:rPr>
                      <w:rFonts w:ascii="仿宋_GB2312" w:hAnsi="仿宋_GB2312" w:cs="仿宋_GB2312" w:eastAsia="仿宋_GB2312"/>
                      <w:sz w:val="20"/>
                    </w:rPr>
                    <w:t>3.及时预判和解决突发事件，协调校企双方的各种资源，确保按计划运营；</w:t>
                  </w:r>
                  <w:r>
                    <w:br/>
                  </w:r>
                  <w:r>
                    <w:rPr>
                      <w:rFonts w:ascii="仿宋_GB2312" w:hAnsi="仿宋_GB2312" w:cs="仿宋_GB2312" w:eastAsia="仿宋_GB2312"/>
                      <w:sz w:val="20"/>
                    </w:rPr>
                    <w:t>4.负责学生职业素质教育，课程授课</w:t>
                  </w:r>
                  <w:r>
                    <w:rPr>
                      <w:rFonts w:ascii="仿宋_GB2312" w:hAnsi="仿宋_GB2312" w:cs="仿宋_GB2312" w:eastAsia="仿宋_GB2312"/>
                      <w:sz w:val="20"/>
                    </w:rPr>
                    <w:t>≥</w:t>
                  </w:r>
                  <w:r>
                    <w:rPr>
                      <w:rFonts w:ascii="仿宋_GB2312" w:hAnsi="仿宋_GB2312" w:cs="仿宋_GB2312" w:eastAsia="仿宋_GB2312"/>
                      <w:sz w:val="20"/>
                    </w:rPr>
                    <w:t>16课时，组织学生素质拓展活动</w:t>
                  </w:r>
                  <w:r>
                    <w:rPr>
                      <w:rFonts w:ascii="仿宋_GB2312" w:hAnsi="仿宋_GB2312" w:cs="仿宋_GB2312" w:eastAsia="仿宋_GB2312"/>
                      <w:sz w:val="20"/>
                    </w:rPr>
                    <w:t>≥</w:t>
                  </w:r>
                  <w:r>
                    <w:rPr>
                      <w:rFonts w:ascii="仿宋_GB2312" w:hAnsi="仿宋_GB2312" w:cs="仿宋_GB2312" w:eastAsia="仿宋_GB2312"/>
                      <w:sz w:val="20"/>
                    </w:rPr>
                    <w:t>3场，优化职业素养课程资源包1份；</w:t>
                  </w:r>
                  <w:r>
                    <w:br/>
                  </w:r>
                  <w:r>
                    <w:rPr>
                      <w:rFonts w:ascii="仿宋_GB2312" w:hAnsi="仿宋_GB2312" w:cs="仿宋_GB2312" w:eastAsia="仿宋_GB2312"/>
                      <w:sz w:val="20"/>
                    </w:rPr>
                    <w:t>5.建立企业化班级管理机制，优化企业化班级管理规范1份；</w:t>
                  </w:r>
                  <w:r>
                    <w:br/>
                  </w:r>
                  <w:r>
                    <w:rPr>
                      <w:rFonts w:ascii="仿宋_GB2312" w:hAnsi="仿宋_GB2312" w:cs="仿宋_GB2312" w:eastAsia="仿宋_GB2312"/>
                      <w:sz w:val="20"/>
                    </w:rPr>
                    <w:t>6.负责开拓和整合企业资源，对接就业服务、社会培训、技术服务等工作；</w:t>
                  </w:r>
                  <w:r>
                    <w:br/>
                  </w:r>
                  <w:r>
                    <w:rPr>
                      <w:rFonts w:ascii="仿宋_GB2312" w:hAnsi="仿宋_GB2312" w:cs="仿宋_GB2312" w:eastAsia="仿宋_GB2312"/>
                      <w:sz w:val="20"/>
                    </w:rPr>
                    <w:t>7.做好上级领导交办的其它工作。</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招生考试执行服务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1.共同参与现场工程师班级招生、考核，考察学生综合素养、逻辑分析能力、专业技术等方面的能力，优化形成新的《招生考试办法》1份；</w:t>
                  </w:r>
                  <w:r>
                    <w:br/>
                  </w:r>
                  <w:r>
                    <w:rPr>
                      <w:rFonts w:ascii="仿宋_GB2312" w:hAnsi="仿宋_GB2312" w:cs="仿宋_GB2312" w:eastAsia="仿宋_GB2312"/>
                      <w:sz w:val="20"/>
                    </w:rPr>
                    <w:t>2.根据软件开发工程师、技术支持工程师岗位能力要求标准，开发培训课程与题库1份，开展培训1次，更新学徒班学生录取名单1份并公示；</w:t>
                  </w:r>
                  <w:r>
                    <w:br/>
                  </w:r>
                  <w:r>
                    <w:rPr>
                      <w:rFonts w:ascii="仿宋_GB2312" w:hAnsi="仿宋_GB2312" w:cs="仿宋_GB2312" w:eastAsia="仿宋_GB2312"/>
                      <w:sz w:val="20"/>
                    </w:rPr>
                    <w:t>3.输出项目招生三年工作报告</w:t>
                  </w:r>
                  <w:r>
                    <w:rPr>
                      <w:rFonts w:ascii="仿宋_GB2312" w:hAnsi="仿宋_GB2312" w:cs="仿宋_GB2312" w:eastAsia="仿宋_GB2312"/>
                      <w:sz w:val="20"/>
                    </w:rPr>
                    <w:t>1份</w:t>
                  </w:r>
                  <w:r>
                    <w:rPr>
                      <w:rFonts w:ascii="仿宋_GB2312" w:hAnsi="仿宋_GB2312" w:cs="仿宋_GB2312" w:eastAsia="仿宋_GB2312"/>
                      <w:sz w:val="20"/>
                    </w:rPr>
                    <w:t>。</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考核评价方式优化服务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1.共同优化现场工程师班考核评价体系，形成考核评价体系1份；</w:t>
                  </w:r>
                  <w:r>
                    <w:br/>
                  </w:r>
                  <w:r>
                    <w:rPr>
                      <w:rFonts w:ascii="仿宋_GB2312" w:hAnsi="仿宋_GB2312" w:cs="仿宋_GB2312" w:eastAsia="仿宋_GB2312"/>
                      <w:sz w:val="20"/>
                    </w:rPr>
                    <w:t>2.共同优化COMET职业能力考核标准，形成COMET职业能力考核标准1份；</w:t>
                  </w:r>
                  <w:r>
                    <w:br/>
                  </w:r>
                  <w:r>
                    <w:rPr>
                      <w:rFonts w:ascii="仿宋_GB2312" w:hAnsi="仿宋_GB2312" w:cs="仿宋_GB2312" w:eastAsia="仿宋_GB2312"/>
                      <w:sz w:val="20"/>
                    </w:rPr>
                    <w:t>3.共同优化岗位能力标准，形成岗位能力标准1份；</w:t>
                  </w:r>
                  <w:r>
                    <w:br/>
                  </w:r>
                  <w:r>
                    <w:rPr>
                      <w:rFonts w:ascii="仿宋_GB2312" w:hAnsi="仿宋_GB2312" w:cs="仿宋_GB2312" w:eastAsia="仿宋_GB2312"/>
                      <w:sz w:val="20"/>
                    </w:rPr>
                    <w:t>4.实施第3轮COMET职业能力考核，输出COMET职业能力考核学生名单1份；</w:t>
                  </w:r>
                  <w:r>
                    <w:br/>
                  </w:r>
                  <w:r>
                    <w:rPr>
                      <w:rFonts w:ascii="仿宋_GB2312" w:hAnsi="仿宋_GB2312" w:cs="仿宋_GB2312" w:eastAsia="仿宋_GB2312"/>
                      <w:sz w:val="20"/>
                    </w:rPr>
                    <w:t>5.2025级现场工程师班统一定制班服一套（≥30人）</w:t>
                  </w:r>
                  <w:r>
                    <w:rPr>
                      <w:rFonts w:ascii="仿宋_GB2312" w:hAnsi="仿宋_GB2312" w:cs="仿宋_GB2312" w:eastAsia="仿宋_GB2312"/>
                      <w:sz w:val="20"/>
                    </w:rPr>
                    <w:t>。</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9</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企业工程师教学服务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 企业工程师引进与授课</w:t>
                  </w:r>
                  <w:r>
                    <w:br/>
                  </w:r>
                  <w:r>
                    <w:rPr>
                      <w:rFonts w:ascii="仿宋_GB2312" w:hAnsi="仿宋_GB2312" w:cs="仿宋_GB2312" w:eastAsia="仿宋_GB2312"/>
                      <w:sz w:val="20"/>
                    </w:rPr>
                    <w:t>（</w:t>
                  </w:r>
                  <w:r>
                    <w:rPr>
                      <w:rFonts w:ascii="仿宋_GB2312" w:hAnsi="仿宋_GB2312" w:cs="仿宋_GB2312" w:eastAsia="仿宋_GB2312"/>
                      <w:sz w:val="20"/>
                    </w:rPr>
                    <w:t>1）引进至少2名具有丰富实践经验的企业高级工程师或技术专家。</w:t>
                  </w:r>
                  <w:r>
                    <w:br/>
                  </w:r>
                  <w:r>
                    <w:rPr>
                      <w:rFonts w:ascii="仿宋_GB2312" w:hAnsi="仿宋_GB2312" w:cs="仿宋_GB2312" w:eastAsia="仿宋_GB2312"/>
                      <w:sz w:val="20"/>
                    </w:rPr>
                    <w:t>（</w:t>
                  </w:r>
                  <w:r>
                    <w:rPr>
                      <w:rFonts w:ascii="仿宋_GB2312" w:hAnsi="仿宋_GB2312" w:cs="仿宋_GB2312" w:eastAsia="仿宋_GB2312"/>
                      <w:sz w:val="20"/>
                    </w:rPr>
                    <w:t>2）深度参与教学：承担 专业核心课、实训课（集中授课） 及 毕业设计指导等教学任务，</w:t>
                  </w:r>
                  <w:r>
                    <w:rPr>
                      <w:rFonts w:ascii="仿宋_GB2312" w:hAnsi="仿宋_GB2312" w:cs="仿宋_GB2312" w:eastAsia="仿宋_GB2312"/>
                      <w:sz w:val="20"/>
                    </w:rPr>
                    <w:t>累计</w:t>
                  </w:r>
                  <w:r>
                    <w:rPr>
                      <w:rFonts w:ascii="仿宋_GB2312" w:hAnsi="仿宋_GB2312" w:cs="仿宋_GB2312" w:eastAsia="仿宋_GB2312"/>
                      <w:sz w:val="20"/>
                    </w:rPr>
                    <w:t>不少于</w:t>
                  </w:r>
                  <w:r>
                    <w:rPr>
                      <w:rFonts w:ascii="仿宋_GB2312" w:hAnsi="仿宋_GB2312" w:cs="仿宋_GB2312" w:eastAsia="仿宋_GB2312"/>
                      <w:sz w:val="20"/>
                    </w:rPr>
                    <w:t>8</w:t>
                  </w:r>
                  <w:r>
                    <w:rPr>
                      <w:rFonts w:ascii="仿宋_GB2312" w:hAnsi="仿宋_GB2312" w:cs="仿宋_GB2312" w:eastAsia="仿宋_GB2312"/>
                      <w:sz w:val="20"/>
                    </w:rPr>
                    <w:t>00课时,其中实践性教学环节占比不低于70%。</w:t>
                  </w:r>
                </w:p>
                <w:p>
                  <w:pPr>
                    <w:pStyle w:val="null3"/>
                    <w:spacing w:before="105" w:after="105"/>
                    <w:jc w:val="both"/>
                  </w:pPr>
                  <w:r>
                    <w:rPr>
                      <w:rFonts w:ascii="仿宋_GB2312" w:hAnsi="仿宋_GB2312" w:cs="仿宋_GB2312" w:eastAsia="仿宋_GB2312"/>
                      <w:sz w:val="20"/>
                    </w:rPr>
                    <w:t>2. 实施“双导师制”协同育人</w:t>
                  </w:r>
                  <w:r>
                    <w:br/>
                  </w:r>
                  <w:r>
                    <w:rPr>
                      <w:rFonts w:ascii="仿宋_GB2312" w:hAnsi="仿宋_GB2312" w:cs="仿宋_GB2312" w:eastAsia="仿宋_GB2312"/>
                      <w:sz w:val="20"/>
                    </w:rPr>
                    <w:t>（</w:t>
                  </w:r>
                  <w:r>
                    <w:rPr>
                      <w:rFonts w:ascii="仿宋_GB2312" w:hAnsi="仿宋_GB2312" w:cs="仿宋_GB2312" w:eastAsia="仿宋_GB2312"/>
                      <w:sz w:val="20"/>
                    </w:rPr>
                    <w:t>1）在毕业设计、实习实践等关键培养环节，全面推行校企双导师制。</w:t>
                  </w:r>
                  <w:r>
                    <w:br/>
                  </w:r>
                  <w:r>
                    <w:rPr>
                      <w:rFonts w:ascii="仿宋_GB2312" w:hAnsi="仿宋_GB2312" w:cs="仿宋_GB2312" w:eastAsia="仿宋_GB2312"/>
                      <w:sz w:val="20"/>
                    </w:rPr>
                    <w:t>（</w:t>
                  </w:r>
                  <w:r>
                    <w:rPr>
                      <w:rFonts w:ascii="仿宋_GB2312" w:hAnsi="仿宋_GB2312" w:cs="仿宋_GB2312" w:eastAsia="仿宋_GB2312"/>
                      <w:sz w:val="20"/>
                    </w:rPr>
                    <w:t>2）企业导师与校内导师共同制定方案、过程指导、成果评定，确保项目/课题来源于真实生产实践，着重培养学生解决复杂工程问题的能力。</w:t>
                  </w:r>
                  <w:r>
                    <w:br/>
                  </w:r>
                  <w:r>
                    <w:rPr>
                      <w:rFonts w:ascii="仿宋_GB2312" w:hAnsi="仿宋_GB2312" w:cs="仿宋_GB2312" w:eastAsia="仿宋_GB2312"/>
                      <w:sz w:val="20"/>
                    </w:rPr>
                    <w:t>3. 共建共享，开展深度教研活动</w:t>
                  </w:r>
                  <w:r>
                    <w:br/>
                  </w:r>
                  <w:r>
                    <w:rPr>
                      <w:rFonts w:ascii="仿宋_GB2312" w:hAnsi="仿宋_GB2312" w:cs="仿宋_GB2312" w:eastAsia="仿宋_GB2312"/>
                      <w:sz w:val="20"/>
                    </w:rPr>
                    <w:t>（</w:t>
                  </w:r>
                  <w:r>
                    <w:rPr>
                      <w:rFonts w:ascii="仿宋_GB2312" w:hAnsi="仿宋_GB2312" w:cs="仿宋_GB2312" w:eastAsia="仿宋_GB2312"/>
                      <w:sz w:val="20"/>
                    </w:rPr>
                    <w:t>1）场地与培训：组织教师赴产业园区开展 “双师型”教师 实践培训与研修。</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）教学改革：共同开发基于真实项目的项目化教学资源库（含案例、任务模块、评价标准等）。</w:t>
                  </w:r>
                  <w:r>
                    <w:br/>
                  </w:r>
                  <w:r>
                    <w:rPr>
                      <w:rFonts w:ascii="仿宋_GB2312" w:hAnsi="仿宋_GB2312" w:cs="仿宋_GB2312" w:eastAsia="仿宋_GB2312"/>
                      <w:sz w:val="20"/>
                    </w:rPr>
                    <w:t>4. 联合参赛，以赛促教</w:t>
                  </w:r>
                  <w:r>
                    <w:br/>
                  </w:r>
                  <w:r>
                    <w:rPr>
                      <w:rFonts w:ascii="仿宋_GB2312" w:hAnsi="仿宋_GB2312" w:cs="仿宋_GB2312" w:eastAsia="仿宋_GB2312"/>
                      <w:sz w:val="20"/>
                    </w:rPr>
                    <w:t>（</w:t>
                  </w:r>
                  <w:r>
                    <w:rPr>
                      <w:rFonts w:ascii="仿宋_GB2312" w:hAnsi="仿宋_GB2312" w:cs="仿宋_GB2312" w:eastAsia="仿宋_GB2312"/>
                      <w:sz w:val="20"/>
                    </w:rPr>
                    <w:t>1）校企教师组成团队，共同参加教师教学能力竞赛，特别是陕西省职业院校教学能力大赛。</w:t>
                  </w:r>
                  <w:r>
                    <w:br/>
                  </w:r>
                  <w:r>
                    <w:rPr>
                      <w:rFonts w:ascii="仿宋_GB2312" w:hAnsi="仿宋_GB2312" w:cs="仿宋_GB2312" w:eastAsia="仿宋_GB2312"/>
                      <w:sz w:val="20"/>
                    </w:rPr>
                    <w:t>（</w:t>
                  </w:r>
                  <w:r>
                    <w:rPr>
                      <w:rFonts w:ascii="仿宋_GB2312" w:hAnsi="仿宋_GB2312" w:cs="仿宋_GB2312" w:eastAsia="仿宋_GB2312"/>
                      <w:sz w:val="20"/>
                    </w:rPr>
                    <w:t>2）通过协同备课、磨课、参赛，促进教学理念与方法论的深度融合，提升混编团队的竞赛水平与日常教学能力，力争获得省级及以上奖项。</w:t>
                  </w:r>
                  <w:r>
                    <w:br/>
                  </w:r>
                  <w:r>
                    <w:rPr>
                      <w:rFonts w:ascii="仿宋_GB2312" w:hAnsi="仿宋_GB2312" w:cs="仿宋_GB2312" w:eastAsia="仿宋_GB2312"/>
                      <w:sz w:val="20"/>
                    </w:rPr>
                    <w:t>5. 赛教结合，指导学生竞逐高水平赛事</w:t>
                  </w:r>
                  <w:r>
                    <w:br/>
                  </w:r>
                  <w:r>
                    <w:rPr>
                      <w:rFonts w:ascii="仿宋_GB2312" w:hAnsi="仿宋_GB2312" w:cs="仿宋_GB2312" w:eastAsia="仿宋_GB2312"/>
                      <w:sz w:val="20"/>
                    </w:rPr>
                    <w:t>校企导师共同选拔、指导学生团队，参加与专业紧密相关的省级或国家级职业技能大赛、学科竞赛，力争获得国家级奖项。</w:t>
                  </w:r>
                  <w:r>
                    <w:br/>
                  </w:r>
                  <w:r>
                    <w:rPr>
                      <w:rFonts w:ascii="仿宋_GB2312" w:hAnsi="仿宋_GB2312" w:cs="仿宋_GB2312" w:eastAsia="仿宋_GB2312"/>
                      <w:sz w:val="20"/>
                    </w:rPr>
                    <w:t>6. 协同科研，助推教改研究</w:t>
                  </w:r>
                  <w:r>
                    <w:br/>
                  </w:r>
                  <w:r>
                    <w:rPr>
                      <w:rFonts w:ascii="仿宋_GB2312" w:hAnsi="仿宋_GB2312" w:cs="仿宋_GB2312" w:eastAsia="仿宋_GB2312"/>
                      <w:sz w:val="20"/>
                    </w:rPr>
                    <w:t>利用企业产业视角与实践优势，协助院校教师共同选题、论证与申报。合作期内，成功协助院校申报并获批省部级教改或科研课题立项不少于</w:t>
                  </w:r>
                  <w:r>
                    <w:rPr>
                      <w:rFonts w:ascii="仿宋_GB2312" w:hAnsi="仿宋_GB2312" w:cs="仿宋_GB2312" w:eastAsia="仿宋_GB2312"/>
                      <w:sz w:val="20"/>
                    </w:rPr>
                    <w:t>1项。</w:t>
                  </w:r>
                  <w:r>
                    <w:br/>
                  </w:r>
                  <w:r>
                    <w:rPr>
                      <w:rFonts w:ascii="仿宋_GB2312" w:hAnsi="仿宋_GB2312" w:cs="仿宋_GB2312" w:eastAsia="仿宋_GB2312"/>
                      <w:sz w:val="20"/>
                    </w:rPr>
                    <w:t>7. 协助院校完成1个教职委的课题结项。</w:t>
                  </w:r>
                  <w:r>
                    <w:br/>
                  </w:r>
                  <w:r>
                    <w:rPr>
                      <w:rFonts w:ascii="仿宋_GB2312" w:hAnsi="仿宋_GB2312" w:cs="仿宋_GB2312" w:eastAsia="仿宋_GB2312"/>
                      <w:sz w:val="20"/>
                    </w:rPr>
                    <w:t>8.优化工学交替、学岗轮动教学组织实施方案1份。</w:t>
                  </w:r>
                  <w:r>
                    <w:br/>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学校导师岗位实践服务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r>
                    <w:rPr>
                      <w:rFonts w:ascii="仿宋_GB2312" w:hAnsi="仿宋_GB2312" w:cs="仿宋_GB2312" w:eastAsia="仿宋_GB2312"/>
                      <w:sz w:val="20"/>
                    </w:rPr>
                    <w:t>供应商提供岗位实践的场所及场景，协助学校老师参加岗位技能鉴定培训，并让</w:t>
                  </w:r>
                  <w:r>
                    <w:rPr>
                      <w:rFonts w:ascii="仿宋_GB2312" w:hAnsi="仿宋_GB2312" w:cs="仿宋_GB2312" w:eastAsia="仿宋_GB2312"/>
                      <w:sz w:val="20"/>
                    </w:rPr>
                    <w:t>2-3名教师获取职业能力证书。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实习就业服务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1.企业拓宽学生实习和就业渠道，完成企业实习就业资源池的构建（企业库），为现场工程师班学生提供实习就业安排服务；</w:t>
                  </w:r>
                  <w:r>
                    <w:br/>
                  </w:r>
                  <w:r>
                    <w:rPr>
                      <w:rFonts w:ascii="仿宋_GB2312" w:hAnsi="仿宋_GB2312" w:cs="仿宋_GB2312" w:eastAsia="仿宋_GB2312"/>
                      <w:sz w:val="20"/>
                    </w:rPr>
                    <w:t>2.每年提供就业岗位不低于当年现场工程师班毕业生人数的2倍，就业率不低于95%。</w:t>
                  </w:r>
                  <w:r>
                    <w:br/>
                  </w:r>
                  <w:r>
                    <w:rPr>
                      <w:rFonts w:ascii="仿宋_GB2312" w:hAnsi="仿宋_GB2312" w:cs="仿宋_GB2312" w:eastAsia="仿宋_GB2312"/>
                      <w:sz w:val="20"/>
                    </w:rPr>
                    <w:t>3.指导现场工程师学生参加职业规划大赛；</w:t>
                  </w:r>
                  <w:r>
                    <w:br/>
                  </w:r>
                  <w:r>
                    <w:rPr>
                      <w:rFonts w:ascii="仿宋_GB2312" w:hAnsi="仿宋_GB2312" w:cs="仿宋_GB2312" w:eastAsia="仿宋_GB2312"/>
                      <w:sz w:val="20"/>
                    </w:rPr>
                    <w:t>4.形成就业报告及案例。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知识产权服务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1.供应商协助学校师生共同申请软件著作权1项；</w:t>
                  </w:r>
                  <w:r>
                    <w:br/>
                  </w:r>
                  <w:r>
                    <w:rPr>
                      <w:rFonts w:ascii="仿宋_GB2312" w:hAnsi="仿宋_GB2312" w:cs="仿宋_GB2312" w:eastAsia="仿宋_GB2312"/>
                      <w:sz w:val="20"/>
                    </w:rPr>
                    <w:t>2.供应商协助学校师生共同申请实用新型专利2项。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社会化服务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1.优化大数据、JAVA方向的社会培训资源包3个；</w:t>
                  </w:r>
                  <w:r>
                    <w:br/>
                  </w:r>
                  <w:r>
                    <w:rPr>
                      <w:rFonts w:ascii="仿宋_GB2312" w:hAnsi="仿宋_GB2312" w:cs="仿宋_GB2312" w:eastAsia="仿宋_GB2312"/>
                      <w:sz w:val="20"/>
                    </w:rPr>
                    <w:t>2.企业依托校内外教师、学生资源，开展大数据工程人员或人工智能训练师培训项目，以支持招生、市场推广和师资建设，采用线上+线下相结合的方式开展行业技术前沿讲座≥3场，每场≥20人。</w:t>
                  </w:r>
                  <w:r>
                    <w:br/>
                  </w:r>
                  <w:r>
                    <w:rPr>
                      <w:rFonts w:ascii="仿宋_GB2312" w:hAnsi="仿宋_GB2312" w:cs="仿宋_GB2312" w:eastAsia="仿宋_GB2312"/>
                      <w:sz w:val="20"/>
                    </w:rPr>
                    <w:t>3</w:t>
                  </w:r>
                  <w:r>
                    <w:rPr>
                      <w:rFonts w:ascii="仿宋_GB2312" w:hAnsi="仿宋_GB2312" w:cs="仿宋_GB2312" w:eastAsia="仿宋_GB2312"/>
                      <w:sz w:val="20"/>
                    </w:rPr>
                    <w:t>.开展数字能力提升培训≥2场，支持学校开展AI+教育技能培训，提升学校教师人工智能素养与教学应用能力，推动人工智能技术与教育教学深度融合，每场≥40人。</w:t>
                  </w:r>
                  <w:r>
                    <w:br/>
                  </w:r>
                  <w:r>
                    <w:rPr>
                      <w:rFonts w:ascii="仿宋_GB2312" w:hAnsi="仿宋_GB2312" w:cs="仿宋_GB2312" w:eastAsia="仿宋_GB2312"/>
                      <w:sz w:val="20"/>
                    </w:rPr>
                    <w:t>培训内容包含但不限于：</w:t>
                  </w:r>
                  <w:r>
                    <w:br/>
                  </w:r>
                  <w:r>
                    <w:rPr>
                      <w:rFonts w:ascii="仿宋_GB2312" w:hAnsi="仿宋_GB2312" w:cs="仿宋_GB2312" w:eastAsia="仿宋_GB2312"/>
                      <w:sz w:val="20"/>
                    </w:rPr>
                    <w:t>（</w:t>
                  </w:r>
                  <w:r>
                    <w:rPr>
                      <w:rFonts w:ascii="仿宋_GB2312" w:hAnsi="仿宋_GB2312" w:cs="仿宋_GB2312" w:eastAsia="仿宋_GB2312"/>
                      <w:sz w:val="20"/>
                    </w:rPr>
                    <w:t>1）介绍AI的基础知识及伦理，重点介绍AIGC、大模型等概念。</w:t>
                  </w:r>
                  <w:r>
                    <w:br/>
                  </w:r>
                  <w:r>
                    <w:rPr>
                      <w:rFonts w:ascii="仿宋_GB2312" w:hAnsi="仿宋_GB2312" w:cs="仿宋_GB2312" w:eastAsia="仿宋_GB2312"/>
                      <w:sz w:val="20"/>
                    </w:rPr>
                    <w:t>（</w:t>
                  </w:r>
                  <w:r>
                    <w:rPr>
                      <w:rFonts w:ascii="仿宋_GB2312" w:hAnsi="仿宋_GB2312" w:cs="仿宋_GB2312" w:eastAsia="仿宋_GB2312"/>
                      <w:sz w:val="20"/>
                    </w:rPr>
                    <w:t>2）详细讲解3种以上主流生成式AI工具(如文心一言、通义千问、Kimi等)的应用，并能辅助教学和办公。</w:t>
                  </w:r>
                  <w:r>
                    <w:br/>
                  </w:r>
                  <w:r>
                    <w:rPr>
                      <w:rFonts w:ascii="仿宋_GB2312" w:hAnsi="仿宋_GB2312" w:cs="仿宋_GB2312" w:eastAsia="仿宋_GB2312"/>
                      <w:sz w:val="20"/>
                    </w:rPr>
                    <w:t>（</w:t>
                  </w:r>
                  <w:r>
                    <w:rPr>
                      <w:rFonts w:ascii="仿宋_GB2312" w:hAnsi="仿宋_GB2312" w:cs="仿宋_GB2312" w:eastAsia="仿宋_GB2312"/>
                      <w:sz w:val="20"/>
                    </w:rPr>
                    <w:t>3）深入学习AI在备课、授课、评价各环节的应用。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成果凝练服务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一、教师能力提升服务</w:t>
                  </w:r>
                  <w:r>
                    <w:br/>
                  </w:r>
                  <w:r>
                    <w:rPr>
                      <w:rFonts w:ascii="仿宋_GB2312" w:hAnsi="仿宋_GB2312" w:cs="仿宋_GB2312" w:eastAsia="仿宋_GB2312"/>
                      <w:sz w:val="20"/>
                    </w:rPr>
                    <w:t>1.组建≥4人的校企混编团队，打造结构化创新团队，企业工程师需具备≥3年教育科技行业经验。</w:t>
                  </w:r>
                  <w:r>
                    <w:br/>
                  </w:r>
                  <w:r>
                    <w:rPr>
                      <w:rFonts w:ascii="仿宋_GB2312" w:hAnsi="仿宋_GB2312" w:cs="仿宋_GB2312" w:eastAsia="仿宋_GB2312"/>
                      <w:sz w:val="20"/>
                    </w:rPr>
                    <w:t>2.企业工程师全流程参与能力提升各个环节，从教学设计到教学实施再到教学总结，充分体现“依据标准定方向，依据岗位定内容，依据</w:t>
                  </w:r>
                  <w:r>
                    <w:rPr>
                      <w:rFonts w:ascii="仿宋_GB2312" w:hAnsi="仿宋_GB2312" w:cs="仿宋_GB2312" w:eastAsia="仿宋_GB2312"/>
                      <w:sz w:val="20"/>
                    </w:rPr>
                    <w:t>学情</w:t>
                  </w:r>
                  <w:r>
                    <w:rPr>
                      <w:rFonts w:ascii="仿宋_GB2312" w:hAnsi="仿宋_GB2312" w:cs="仿宋_GB2312" w:eastAsia="仿宋_GB2312"/>
                      <w:sz w:val="20"/>
                    </w:rPr>
                    <w:t>定策略，依据资源定实施，依据效果定改进</w:t>
                  </w:r>
                  <w:r>
                    <w:rPr>
                      <w:rFonts w:ascii="仿宋_GB2312" w:hAnsi="仿宋_GB2312" w:cs="仿宋_GB2312" w:eastAsia="仿宋_GB2312"/>
                      <w:sz w:val="20"/>
                    </w:rPr>
                    <w:t>”的逻辑。辅助输出教学实施报告1份，教案16课时，完整视频录制45分钟，人才培养方案和课程标准等参赛材料。</w:t>
                  </w:r>
                  <w:r>
                    <w:br/>
                  </w:r>
                  <w:r>
                    <w:rPr>
                      <w:rFonts w:ascii="仿宋_GB2312" w:hAnsi="仿宋_GB2312" w:cs="仿宋_GB2312" w:eastAsia="仿宋_GB2312"/>
                      <w:sz w:val="20"/>
                    </w:rPr>
                    <w:t>3.提供≥4次线下教学能力提升培训，附过程佐证材料；</w:t>
                  </w:r>
                  <w:r>
                    <w:br/>
                  </w:r>
                  <w:r>
                    <w:rPr>
                      <w:rFonts w:ascii="仿宋_GB2312" w:hAnsi="仿宋_GB2312" w:cs="仿宋_GB2312" w:eastAsia="仿宋_GB2312"/>
                      <w:sz w:val="20"/>
                    </w:rPr>
                    <w:t>4.邀请国内专家线下指导≥2次，每次≥3小时； 每次指导须出具书面诊断意见及修改标注稿。</w:t>
                  </w:r>
                  <w:r>
                    <w:br/>
                  </w:r>
                  <w:r>
                    <w:rPr>
                      <w:rFonts w:ascii="仿宋_GB2312" w:hAnsi="仿宋_GB2312" w:cs="仿宋_GB2312" w:eastAsia="仿宋_GB2312"/>
                      <w:sz w:val="20"/>
                    </w:rPr>
                    <w:t>二、现场工程师项目成果凝练服务</w:t>
                  </w:r>
                  <w:r>
                    <w:br/>
                  </w:r>
                  <w:r>
                    <w:rPr>
                      <w:rFonts w:ascii="仿宋_GB2312" w:hAnsi="仿宋_GB2312" w:cs="仿宋_GB2312" w:eastAsia="仿宋_GB2312"/>
                      <w:sz w:val="20"/>
                    </w:rPr>
                    <w:t>引入企业真实项目，共建校企联合技术研发团队。供应商须协助校方对接企业技术服务需求，主导技术攻关与项目落地，实现技术服务到账经费</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万元，形成</w:t>
                  </w:r>
                  <w:r>
                    <w:rPr>
                      <w:rFonts w:ascii="仿宋_GB2312" w:hAnsi="仿宋_GB2312" w:cs="仿宋_GB2312" w:eastAsia="仿宋_GB2312"/>
                      <w:sz w:val="20"/>
                    </w:rPr>
                    <w:t>“研发—创收—反哺教学”的闭环成果包。</w:t>
                  </w:r>
                  <w:r>
                    <w:br/>
                  </w:r>
                  <w:r>
                    <w:rPr>
                      <w:rFonts w:ascii="仿宋_GB2312" w:hAnsi="仿宋_GB2312" w:cs="仿宋_GB2312" w:eastAsia="仿宋_GB2312"/>
                      <w:sz w:val="20"/>
                    </w:rPr>
                    <w:t>三、省级一流课程服务</w:t>
                  </w:r>
                  <w:r>
                    <w:br/>
                  </w:r>
                  <w:r>
                    <w:rPr>
                      <w:rFonts w:ascii="仿宋_GB2312" w:hAnsi="仿宋_GB2312" w:cs="仿宋_GB2312" w:eastAsia="仿宋_GB2312"/>
                      <w:sz w:val="20"/>
                    </w:rPr>
                    <w:t>基于现场工程师班已有课程资源，遴选</w:t>
                  </w:r>
                  <w:r>
                    <w:rPr>
                      <w:rFonts w:ascii="仿宋_GB2312" w:hAnsi="仿宋_GB2312" w:cs="仿宋_GB2312" w:eastAsia="仿宋_GB2312"/>
                      <w:sz w:val="20"/>
                    </w:rPr>
                    <w:t>1门在线课程对标“一流课程”评定标准进行资源拓展和课程运营，力争一流课程评定。</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现场工程技术服务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支持学生开展</w:t>
                  </w:r>
                  <w:r>
                    <w:rPr>
                      <w:rFonts w:ascii="仿宋_GB2312" w:hAnsi="仿宋_GB2312" w:cs="仿宋_GB2312" w:eastAsia="仿宋_GB2312"/>
                      <w:sz w:val="20"/>
                    </w:rPr>
                    <w:t>AI现场工程实践，具体规格如下：</w:t>
                  </w:r>
                  <w:r>
                    <w:br/>
                  </w:r>
                  <w:r>
                    <w:rPr>
                      <w:rFonts w:ascii="仿宋_GB2312" w:hAnsi="仿宋_GB2312" w:cs="仿宋_GB2312" w:eastAsia="仿宋_GB2312"/>
                      <w:sz w:val="20"/>
                    </w:rPr>
                    <w:t>一、</w:t>
                  </w:r>
                  <w:r>
                    <w:rPr>
                      <w:rFonts w:ascii="仿宋_GB2312" w:hAnsi="仿宋_GB2312" w:cs="仿宋_GB2312" w:eastAsia="仿宋_GB2312"/>
                      <w:sz w:val="20"/>
                    </w:rPr>
                    <w:t>AI赋能现场工程师岗位拓展服务</w:t>
                  </w:r>
                  <w:r>
                    <w:rPr>
                      <w:rFonts w:ascii="仿宋_GB2312" w:hAnsi="仿宋_GB2312" w:cs="仿宋_GB2312" w:eastAsia="仿宋_GB2312"/>
                      <w:sz w:val="20"/>
                    </w:rPr>
                    <w:t>1套</w:t>
                  </w:r>
                  <w:r>
                    <w:br/>
                  </w:r>
                  <w:r>
                    <w:rPr>
                      <w:rFonts w:ascii="仿宋_GB2312" w:hAnsi="仿宋_GB2312" w:cs="仿宋_GB2312" w:eastAsia="仿宋_GB2312"/>
                      <w:sz w:val="20"/>
                    </w:rPr>
                    <w:t>（一）</w:t>
                  </w:r>
                  <w:r>
                    <w:rPr>
                      <w:rFonts w:ascii="仿宋_GB2312" w:hAnsi="仿宋_GB2312" w:cs="仿宋_GB2312" w:eastAsia="仿宋_GB2312"/>
                      <w:sz w:val="20"/>
                    </w:rPr>
                    <w:t>AI视频生成服务</w:t>
                  </w:r>
                  <w:r>
                    <w:br/>
                  </w:r>
                  <w:r>
                    <w:rPr>
                      <w:rFonts w:ascii="仿宋_GB2312" w:hAnsi="仿宋_GB2312" w:cs="仿宋_GB2312" w:eastAsia="仿宋_GB2312"/>
                      <w:sz w:val="20"/>
                    </w:rPr>
                    <w:t>1.动画级品质输出</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1）画面质感：支持接近国漫动画的输出品质，突破传统动态漫局限，画面细节饱满、表现力强，达到主流动漫水准；</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2）表情与情感传递：可捕捉并呈现人物丰富表情变化，支持细腻情感表达，无 AI 人物 “面瘫” 问题，具备 33 种基础表情 + 400 + 动作组合，实现高张力表演，情绪匹配度≥92%；</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3）语义与运镜适配：具备精准语义理解能力，可根据剧情自动匹配运镜逻辑，提供 100 + 种动态镜头模板（含推 / 拉 / 摇 / 移 / 跟等），镜头切换流畅度评分≥9.0/10；</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 视觉精度：输出分辨率达 1080P 高清，支持 2K/4K 无额外付费输出，采用影视级物理光照模拟，实现发丝、皮肤、布料等细节重建，AI 畸形率＜0.3%，无多手指、歪脸等硬伤</w:t>
                  </w:r>
                  <w:r>
                    <w:rPr>
                      <w:rFonts w:ascii="仿宋_GB2312" w:hAnsi="仿宋_GB2312" w:cs="仿宋_GB2312" w:eastAsia="仿宋_GB2312"/>
                      <w:sz w:val="20"/>
                    </w:rPr>
                    <w:t>。</w:t>
                  </w:r>
                </w:p>
                <w:p>
                  <w:pPr>
                    <w:pStyle w:val="null3"/>
                    <w:spacing w:before="105" w:after="105"/>
                    <w:jc w:val="both"/>
                  </w:pPr>
                  <w:r>
                    <w:rPr>
                      <w:rFonts w:ascii="仿宋_GB2312" w:hAnsi="仿宋_GB2312" w:cs="仿宋_GB2312" w:eastAsia="仿宋_GB2312"/>
                      <w:sz w:val="20"/>
                    </w:rPr>
                    <w:t>2.多主体一致性</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1）核心能力：解决角色、物品、场景的全流程一致性问题，实现 “艺术想象 — 技术生成 — 情感传递” 的统一，支撑沉浸连贯的故事构建；</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2）角色一致性：搭载星融角色锁定引擎 + 三重锁定技术（定妆照锚点 + 特征包 + LoRA），角色相似度达 95.6%，五官误差≤2 像素，长篇剧集无 “换脸” 风险；</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3）资产一致性：生成的角色、道具、场景等数字资产可保持风格统一，支持跨剧集复用，确保系列化作品的视觉连贯性，提升内容可信度</w:t>
                  </w:r>
                  <w:r>
                    <w:rPr>
                      <w:rFonts w:ascii="仿宋_GB2312" w:hAnsi="仿宋_GB2312" w:cs="仿宋_GB2312" w:eastAsia="仿宋_GB2312"/>
                      <w:sz w:val="20"/>
                    </w:rPr>
                    <w:t>。</w:t>
                  </w:r>
                </w:p>
                <w:p>
                  <w:pPr>
                    <w:pStyle w:val="null3"/>
                    <w:spacing w:before="105" w:after="105"/>
                    <w:jc w:val="both"/>
                  </w:pPr>
                  <w:r>
                    <w:rPr>
                      <w:rFonts w:ascii="仿宋_GB2312" w:hAnsi="仿宋_GB2312" w:cs="仿宋_GB2312" w:eastAsia="仿宋_GB2312"/>
                      <w:sz w:val="20"/>
                    </w:rPr>
                    <w:t>3.一站式全流程生产</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1）流程覆盖：打破传统制作壁垒，实现 “剧本到成片” 全流程贯通，无需漫画前置资源，无需切换多种创作工具，仅需剧本即可启动生产；（2）前置处理：具备智能剧本解析功能，可自动拆解场景、角色、情节、镜头序列，解析还原度比通用工具高 80%，直接衔接后续制作环节；</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3）全环节整合：集成 AI 绘画、分镜生成、角色建模、动态渲染、配音配乐、字幕合成等全链条功能，配音支持 8 种语言 + 多种方言，音画同步率 99.5%，中文口型匹配度 98.3%；</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4）导出适配：支持剪映草稿及主流视频格式导出，可一键发布至抖音、快手等平台，无需二次格式转换</w:t>
                  </w:r>
                  <w:r>
                    <w:rPr>
                      <w:rFonts w:ascii="仿宋_GB2312" w:hAnsi="仿宋_GB2312" w:cs="仿宋_GB2312" w:eastAsia="仿宋_GB2312"/>
                      <w:sz w:val="20"/>
                    </w:rPr>
                    <w:t>。</w:t>
                  </w:r>
                </w:p>
                <w:p>
                  <w:pPr>
                    <w:pStyle w:val="null3"/>
                    <w:spacing w:before="105" w:after="105"/>
                    <w:jc w:val="both"/>
                  </w:pPr>
                  <w:r>
                    <w:rPr>
                      <w:rFonts w:ascii="仿宋_GB2312" w:hAnsi="仿宋_GB2312" w:cs="仿宋_GB2312" w:eastAsia="仿宋_GB2312"/>
                      <w:sz w:val="20"/>
                    </w:rPr>
                    <w:t>4.极致生产效率</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1）单人生产能力：达到 “一人一天一集” 工业化生产水准，单集时长 1-2 分钟，单人日产 10-12 集，单集生成时长：1 分钟短剧≤3 分钟，3 分钟短剧≤5 分钟；</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2）团队协同效率：支持多人多组并行操作，数字资产（角色、道具、场景等）可沉淀为共享库，支持跨团队复用，重复劳动减少 60%；</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3）周期压缩：15 人团队 3 天内可完成一部 AI 漫剧，生产周期为传统制作模式的五分之一，支持单次 100 集分镜生成，单集渲染耗时≤45 分钟（行业平均 12 小时），镜头通过率≥70%，返工率＜5%</w:t>
                  </w:r>
                  <w:r>
                    <w:rPr>
                      <w:rFonts w:ascii="仿宋_GB2312" w:hAnsi="仿宋_GB2312" w:cs="仿宋_GB2312" w:eastAsia="仿宋_GB2312"/>
                      <w:sz w:val="20"/>
                    </w:rPr>
                    <w:t>。</w:t>
                  </w:r>
                </w:p>
                <w:p>
                  <w:pPr>
                    <w:pStyle w:val="null3"/>
                    <w:spacing w:before="105" w:after="105"/>
                    <w:jc w:val="both"/>
                  </w:pPr>
                  <w:r>
                    <w:rPr>
                      <w:rFonts w:ascii="仿宋_GB2312" w:hAnsi="仿宋_GB2312" w:cs="仿宋_GB2312" w:eastAsia="仿宋_GB2312"/>
                      <w:sz w:val="20"/>
                    </w:rPr>
                    <w:t>（二）</w:t>
                  </w:r>
                  <w:r>
                    <w:rPr>
                      <w:rFonts w:ascii="仿宋_GB2312" w:hAnsi="仿宋_GB2312" w:cs="仿宋_GB2312" w:eastAsia="仿宋_GB2312"/>
                      <w:sz w:val="20"/>
                    </w:rPr>
                    <w:t>教学实训服务</w:t>
                  </w:r>
                </w:p>
                <w:p>
                  <w:pPr>
                    <w:pStyle w:val="null3"/>
                    <w:spacing w:before="105" w:after="105"/>
                    <w:jc w:val="both"/>
                  </w:pPr>
                  <w:r>
                    <w:rPr>
                      <w:rFonts w:ascii="仿宋_GB2312" w:hAnsi="仿宋_GB2312" w:cs="仿宋_GB2312" w:eastAsia="仿宋_GB2312"/>
                      <w:sz w:val="20"/>
                    </w:rPr>
                    <w:t>1.服务对象与规模：面向</w:t>
                  </w:r>
                  <w:r>
                    <w:rPr>
                      <w:rFonts w:ascii="仿宋_GB2312" w:hAnsi="仿宋_GB2312" w:cs="仿宋_GB2312" w:eastAsia="仿宋_GB2312"/>
                      <w:sz w:val="20"/>
                    </w:rPr>
                    <w:t>学校</w:t>
                  </w:r>
                  <w:r>
                    <w:rPr>
                      <w:rFonts w:ascii="仿宋_GB2312" w:hAnsi="仿宋_GB2312" w:cs="仿宋_GB2312" w:eastAsia="仿宋_GB2312"/>
                      <w:sz w:val="20"/>
                    </w:rPr>
                    <w:t>专业师生，培育不少于</w:t>
                  </w:r>
                  <w:r>
                    <w:rPr>
                      <w:rFonts w:ascii="仿宋_GB2312" w:hAnsi="仿宋_GB2312" w:cs="仿宋_GB2312" w:eastAsia="仿宋_GB2312"/>
                      <w:sz w:val="20"/>
                    </w:rPr>
                    <w:t>30名具备 AI 视频全流程创作能力的复合型人才；</w:t>
                  </w:r>
                </w:p>
                <w:p>
                  <w:pPr>
                    <w:pStyle w:val="null3"/>
                    <w:spacing w:before="105" w:after="105"/>
                    <w:jc w:val="both"/>
                  </w:pPr>
                  <w:r>
                    <w:rPr>
                      <w:rFonts w:ascii="仿宋_GB2312" w:hAnsi="仿宋_GB2312" w:cs="仿宋_GB2312" w:eastAsia="仿宋_GB2312"/>
                      <w:sz w:val="20"/>
                    </w:rPr>
                    <w:t>2.服务模式与周期：采用 “理论 + 实操 + 案例 + 实战” 四位一体模式，企业 + 高校双导师授课；服务周期 2 周（10 个工作日，每日 6 小时，含 4 小时实操 + 2 小时辅导）</w:t>
                  </w:r>
                </w:p>
                <w:p>
                  <w:pPr>
                    <w:pStyle w:val="null3"/>
                    <w:spacing w:before="105" w:after="105"/>
                    <w:jc w:val="both"/>
                  </w:pPr>
                  <w:r>
                    <w:rPr>
                      <w:rFonts w:ascii="仿宋_GB2312" w:hAnsi="仿宋_GB2312" w:cs="仿宋_GB2312" w:eastAsia="仿宋_GB2312"/>
                      <w:sz w:val="20"/>
                    </w:rPr>
                    <w:t>3.服务工具配置：配备 AI 视频创作平台（含 Seedance 2.0 功能模块，明确 Seedance 2.0≠即梦 AI）、PS/PR 简化版辅助设计工具、版权检测工具</w:t>
                  </w:r>
                  <w:r>
                    <w:rPr>
                      <w:rFonts w:ascii="仿宋_GB2312" w:hAnsi="仿宋_GB2312" w:cs="仿宋_GB2312" w:eastAsia="仿宋_GB2312"/>
                      <w:sz w:val="20"/>
                    </w:rPr>
                    <w:t>；</w:t>
                  </w:r>
                </w:p>
                <w:p>
                  <w:pPr>
                    <w:pStyle w:val="null3"/>
                    <w:spacing w:before="105" w:after="105"/>
                    <w:jc w:val="both"/>
                  </w:pPr>
                  <w:r>
                    <w:rPr>
                      <w:rFonts w:ascii="仿宋_GB2312" w:hAnsi="仿宋_GB2312" w:cs="仿宋_GB2312" w:eastAsia="仿宋_GB2312"/>
                      <w:sz w:val="20"/>
                    </w:rPr>
                    <w:t>4.服务内容体系：围绕 AI 漫剧创作全流程，覆盖平台规则与选题、剧本分镜、人物场景绘制、音画融合、生图技巧、动态制作、剪辑实操等核心模块，配套案例教学与项目实战</w:t>
                  </w:r>
                  <w:r>
                    <w:rPr>
                      <w:rFonts w:ascii="仿宋_GB2312" w:hAnsi="仿宋_GB2312" w:cs="仿宋_GB2312" w:eastAsia="仿宋_GB2312"/>
                      <w:sz w:val="20"/>
                    </w:rPr>
                    <w:t>；</w:t>
                  </w:r>
                </w:p>
                <w:p>
                  <w:pPr>
                    <w:pStyle w:val="null3"/>
                    <w:spacing w:before="105" w:after="105"/>
                    <w:jc w:val="both"/>
                  </w:pPr>
                  <w:r>
                    <w:rPr>
                      <w:rFonts w:ascii="仿宋_GB2312" w:hAnsi="仿宋_GB2312" w:cs="仿宋_GB2312" w:eastAsia="仿宋_GB2312"/>
                      <w:sz w:val="20"/>
                    </w:rPr>
                    <w:t>5.服务成果要求：学员需完成 “1 剧本 + 1 分镜稿 + 1 组数字资产 + 1 条短视频” 完整作品；掌握 AI 视频创作全流程及版权合规检测方法；考核合格者获企业 + 高校联合认证的 AI 视频创作技能证书，并产出不少于10部合规AI视频（含短视频、专题片等多种类型）</w:t>
                  </w:r>
                  <w:r>
                    <w:rPr>
                      <w:rFonts w:ascii="仿宋_GB2312" w:hAnsi="仿宋_GB2312" w:cs="仿宋_GB2312" w:eastAsia="仿宋_GB2312"/>
                      <w:sz w:val="20"/>
                    </w:rPr>
                    <w:t>；</w:t>
                  </w:r>
                </w:p>
                <w:p>
                  <w:pPr>
                    <w:pStyle w:val="null3"/>
                    <w:spacing w:before="105" w:after="105"/>
                    <w:jc w:val="both"/>
                  </w:pPr>
                  <w:r>
                    <w:rPr>
                      <w:rFonts w:ascii="仿宋_GB2312" w:hAnsi="仿宋_GB2312" w:cs="仿宋_GB2312" w:eastAsia="仿宋_GB2312"/>
                      <w:sz w:val="20"/>
                    </w:rPr>
                    <w:t>6.服务保障与合规：服务过程需明确版权合规边界，确保产出内容无侵权风险；服务方需提供完整的教学资料、实操指导及成果验收服务，保障服务质量与效果</w:t>
                  </w:r>
                  <w:r>
                    <w:rPr>
                      <w:rFonts w:ascii="仿宋_GB2312" w:hAnsi="仿宋_GB2312" w:cs="仿宋_GB2312" w:eastAsia="仿宋_GB2312"/>
                      <w:sz w:val="20"/>
                    </w:rPr>
                    <w:t>；</w:t>
                  </w:r>
                </w:p>
                <w:p>
                  <w:pPr>
                    <w:pStyle w:val="null3"/>
                    <w:spacing w:before="105" w:after="105"/>
                    <w:jc w:val="both"/>
                  </w:pPr>
                  <w:r>
                    <w:rPr>
                      <w:rFonts w:ascii="仿宋_GB2312" w:hAnsi="仿宋_GB2312" w:cs="仿宋_GB2312" w:eastAsia="仿宋_GB2312"/>
                      <w:sz w:val="20"/>
                    </w:rPr>
                    <w:t>7.合作企业须具备类似视频制作的项目实践经验，制作的视频须达到中华人民共和国广播电视和网络视听推荐性行业标准；</w:t>
                  </w:r>
                </w:p>
                <w:p>
                  <w:pPr>
                    <w:pStyle w:val="null3"/>
                    <w:spacing w:before="105" w:after="105"/>
                    <w:jc w:val="both"/>
                  </w:pPr>
                  <w:r>
                    <w:rPr>
                      <w:rFonts w:ascii="仿宋_GB2312" w:hAnsi="仿宋_GB2312" w:cs="仿宋_GB2312" w:eastAsia="仿宋_GB2312"/>
                      <w:sz w:val="20"/>
                    </w:rPr>
                    <w:t>8.企业导师须具备丰富的行业实践经验：需具备 5年以上三维动画行业经验，需至少参与过 3 个以上商业项目的全流程制作；同时需严格遵守《新时代中小学教师职业行为十项准则》，践行师德规范。</w:t>
                  </w:r>
                </w:p>
                <w:p>
                  <w:pPr>
                    <w:pStyle w:val="null3"/>
                    <w:spacing w:before="105" w:after="105"/>
                    <w:jc w:val="both"/>
                  </w:pPr>
                  <w:r>
                    <w:rPr>
                      <w:rFonts w:ascii="仿宋_GB2312" w:hAnsi="仿宋_GB2312" w:cs="仿宋_GB2312" w:eastAsia="仿宋_GB2312"/>
                      <w:sz w:val="20"/>
                    </w:rPr>
                    <w:t>9. 服务及指导过程需建立标准化管理体系，包含详细的教学计划（含阶段目标与课时分配）、完整的过程记录（含学员学习轨迹与导师指导痕迹）及多维度反馈机制（含学员评价、效果评估与改进方案），确保教学质量可追溯、可优化。</w:t>
                  </w:r>
                </w:p>
                <w:p>
                  <w:pPr>
                    <w:pStyle w:val="null3"/>
                    <w:spacing w:before="105" w:after="105"/>
                    <w:jc w:val="both"/>
                  </w:pPr>
                  <w:r>
                    <w:rPr>
                      <w:rFonts w:ascii="仿宋_GB2312" w:hAnsi="仿宋_GB2312" w:cs="仿宋_GB2312" w:eastAsia="仿宋_GB2312"/>
                      <w:sz w:val="20"/>
                    </w:rPr>
                    <w:t>（三）</w:t>
                  </w:r>
                  <w:r>
                    <w:rPr>
                      <w:rFonts w:ascii="仿宋_GB2312" w:hAnsi="仿宋_GB2312" w:cs="仿宋_GB2312" w:eastAsia="仿宋_GB2312"/>
                      <w:sz w:val="20"/>
                    </w:rPr>
                    <w:t>AI素材资源库</w:t>
                  </w:r>
                </w:p>
                <w:p>
                  <w:pPr>
                    <w:pStyle w:val="null3"/>
                    <w:spacing w:before="105" w:after="105"/>
                    <w:jc w:val="both"/>
                  </w:pPr>
                  <w:r>
                    <w:rPr>
                      <w:rFonts w:ascii="仿宋_GB2312" w:hAnsi="仿宋_GB2312" w:cs="仿宋_GB2312" w:eastAsia="仿宋_GB2312"/>
                      <w:sz w:val="20"/>
                    </w:rPr>
                    <w:t>1.资源采用加密U盘方式交付，并确保资源完整；素材文件以分卷压缩包（7z 或 rar 格式）压缩，单个压缩包不超过10GB，适配常规视频设备解压需求。</w:t>
                  </w:r>
                </w:p>
                <w:p>
                  <w:pPr>
                    <w:pStyle w:val="null3"/>
                    <w:spacing w:before="105" w:after="105"/>
                    <w:jc w:val="both"/>
                  </w:pPr>
                  <w:r>
                    <w:rPr>
                      <w:rFonts w:ascii="仿宋_GB2312" w:hAnsi="仿宋_GB2312" w:cs="仿宋_GB2312" w:eastAsia="仿宋_GB2312"/>
                      <w:sz w:val="20"/>
                    </w:rPr>
                    <w:t>2.交付内容完整性：供应商需随资源提交完整的目录、素材索引表及使用说明文档，清晰标注各资源适用软件版本、制作环节及操作要点。</w:t>
                  </w:r>
                </w:p>
                <w:p>
                  <w:pPr>
                    <w:pStyle w:val="null3"/>
                    <w:spacing w:before="105" w:after="105"/>
                    <w:jc w:val="both"/>
                  </w:pPr>
                  <w:r>
                    <w:rPr>
                      <w:rFonts w:ascii="仿宋_GB2312" w:hAnsi="仿宋_GB2312" w:cs="仿宋_GB2312" w:eastAsia="仿宋_GB2312"/>
                      <w:sz w:val="20"/>
                    </w:rPr>
                    <w:t>3.素材要求：（1）图片素材：数量不少于 15万张，长边分辨率≥3000px，无水印、无噪点，色彩标准 sRGB，无压缩失真，支持 JPG、PNG、TIFF 格式，涵盖自然风光、商务场景、科技元素、插画等多主题。</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2）矢量素材：数量不少于 1万张，可编辑性强，支持二次修改，线条清晰，无锯齿，缩放不失真，支持 AI、EPS、SVG 格式，包含图标、LOGO、装饰元素、版式框架等。</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3）视频素材：数量不少于 5000条，单条时长≥5 秒，分辨率≥1080P，帧率≥25fps，无黑边、无卡顿，采用 H.264/H.265 编码，支持 MP4 格式，包含动态场景、特效片段、背景音乐视频、宣传短片素材。</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4）音频素材：数量不少于1万条，无杂音、无爆音，采样率≥44.1kHz，涵盖音效、背景音乐、真人配音等类型，支持 MP3、WAV 格式，包含公务场景常用的纯音乐、提示音效、多语种配音。</w:t>
                  </w:r>
                  <w:r>
                    <w:br/>
                  </w:r>
                  <w:r>
                    <w:rPr>
                      <w:rFonts w:ascii="仿宋_GB2312" w:hAnsi="仿宋_GB2312" w:cs="仿宋_GB2312" w:eastAsia="仿宋_GB2312"/>
                      <w:sz w:val="20"/>
                    </w:rPr>
                    <w:t>二、</w:t>
                  </w:r>
                  <w:r>
                    <w:rPr>
                      <w:rFonts w:ascii="仿宋_GB2312" w:hAnsi="仿宋_GB2312" w:cs="仿宋_GB2312" w:eastAsia="仿宋_GB2312"/>
                      <w:sz w:val="20"/>
                    </w:rPr>
                    <w:t>AI智能应用系统1套</w:t>
                  </w:r>
                  <w:r>
                    <w:br/>
                  </w:r>
                  <w:r>
                    <w:rPr>
                      <w:rFonts w:ascii="仿宋_GB2312" w:hAnsi="仿宋_GB2312" w:cs="仿宋_GB2312" w:eastAsia="仿宋_GB2312"/>
                      <w:sz w:val="20"/>
                    </w:rPr>
                    <w:t>1.基于计算机视觉、语音识别、大模型等 AI 技术及 Unity 技术开发，可与 AR 眼镜套装联动，至少支持视障群体障碍物检测和物体文字识别；</w:t>
                  </w:r>
                  <w:r>
                    <w:br/>
                  </w:r>
                  <w:r>
                    <w:rPr>
                      <w:rFonts w:ascii="仿宋_GB2312" w:hAnsi="仿宋_GB2312" w:cs="仿宋_GB2312" w:eastAsia="仿宋_GB2312"/>
                      <w:sz w:val="20"/>
                    </w:rPr>
                    <w:t>2.视障群体障碍物检测：辅助视障人群出行，针对道路上的障碍物以语音形式在用户耳边提示方向、距离及注意事项；</w:t>
                  </w:r>
                  <w:r>
                    <w:br/>
                  </w:r>
                  <w:r>
                    <w:rPr>
                      <w:rFonts w:ascii="仿宋_GB2312" w:hAnsi="仿宋_GB2312" w:cs="仿宋_GB2312" w:eastAsia="仿宋_GB2312"/>
                      <w:sz w:val="20"/>
                    </w:rPr>
                    <w:t>3.物体文字识别：针对药盒识别等高频需求场景，通过图像识别技术提取文字信息获得药品名称，获得使用说明，转化为语音播报药品名称、用法用量等注意事项；</w:t>
                  </w:r>
                  <w:r>
                    <w:br/>
                  </w:r>
                  <w:r>
                    <w:rPr>
                      <w:rFonts w:ascii="仿宋_GB2312" w:hAnsi="仿宋_GB2312" w:cs="仿宋_GB2312" w:eastAsia="仿宋_GB2312"/>
                      <w:sz w:val="20"/>
                    </w:rPr>
                    <w:t>4.VR显示眼镜：215 寸屏，近50°视场角，120Hz刷新率，双1080P显示，具备 4800W、115°超广角摄像头；</w:t>
                  </w:r>
                  <w:r>
                    <w:br/>
                  </w:r>
                  <w:r>
                    <w:rPr>
                      <w:rFonts w:ascii="仿宋_GB2312" w:hAnsi="仿宋_GB2312" w:cs="仿宋_GB2312" w:eastAsia="仿宋_GB2312"/>
                      <w:sz w:val="20"/>
                    </w:rPr>
                    <w:t>5.支持创新交互方式，轻松适配多种终端数据共享上云，支持连接手机进行使用，随时随地体验增强显示；</w:t>
                  </w:r>
                  <w:r>
                    <w:br/>
                  </w:r>
                  <w:r>
                    <w:rPr>
                      <w:rFonts w:ascii="仿宋_GB2312" w:hAnsi="仿宋_GB2312" w:cs="仿宋_GB2312" w:eastAsia="仿宋_GB2312"/>
                      <w:sz w:val="20"/>
                    </w:rPr>
                    <w:t>6.支持多种控制方式:同时支持语音、手势、按键、6Dof 头控等人机交互方式，满足多种场景状态使用，支持微手势交互，手势算法，通过微手势进行操控，摆脱传统媒介束缚。</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r>
          </w:tbl>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商务要求</w:t>
            </w:r>
          </w:p>
          <w:p>
            <w:pPr>
              <w:pStyle w:val="null3"/>
              <w:ind w:firstLine="200"/>
              <w:jc w:val="both"/>
            </w:pPr>
            <w:r>
              <w:rPr>
                <w:rFonts w:ascii="仿宋_GB2312" w:hAnsi="仿宋_GB2312" w:cs="仿宋_GB2312" w:eastAsia="仿宋_GB2312"/>
                <w:sz w:val="20"/>
              </w:rPr>
              <w:t>（一）</w:t>
            </w:r>
            <w:r>
              <w:rPr>
                <w:rFonts w:ascii="仿宋_GB2312" w:hAnsi="仿宋_GB2312" w:cs="仿宋_GB2312" w:eastAsia="仿宋_GB2312"/>
                <w:sz w:val="20"/>
              </w:rPr>
              <w:t>本项目为交钥匙项目，包含所有的税费、安装、调试、培训等费用；</w:t>
            </w:r>
          </w:p>
          <w:p>
            <w:pPr>
              <w:pStyle w:val="null3"/>
              <w:ind w:firstLine="200"/>
              <w:jc w:val="both"/>
            </w:pPr>
            <w:r>
              <w:rPr>
                <w:rFonts w:ascii="仿宋_GB2312" w:hAnsi="仿宋_GB2312" w:cs="仿宋_GB2312" w:eastAsia="仿宋_GB2312"/>
                <w:sz w:val="20"/>
              </w:rPr>
              <w:t>（二）</w:t>
            </w:r>
            <w:r>
              <w:rPr>
                <w:rFonts w:ascii="仿宋_GB2312" w:hAnsi="仿宋_GB2312" w:cs="仿宋_GB2312" w:eastAsia="仿宋_GB2312"/>
                <w:sz w:val="20"/>
              </w:rPr>
              <w:t>质量验收标准或规范</w:t>
            </w:r>
            <w:r>
              <w:rPr>
                <w:rFonts w:ascii="仿宋_GB2312" w:hAnsi="仿宋_GB2312" w:cs="仿宋_GB2312" w:eastAsia="仿宋_GB2312"/>
                <w:sz w:val="20"/>
              </w:rPr>
              <w:t>：以合同具体要求为准；</w:t>
            </w:r>
          </w:p>
          <w:p>
            <w:pPr>
              <w:pStyle w:val="null3"/>
              <w:ind w:firstLine="100"/>
              <w:jc w:val="both"/>
            </w:pPr>
            <w:r>
              <w:rPr>
                <w:rFonts w:ascii="仿宋_GB2312" w:hAnsi="仿宋_GB2312" w:cs="仿宋_GB2312" w:eastAsia="仿宋_GB2312"/>
                <w:sz w:val="20"/>
              </w:rPr>
              <w:t>（三）</w:t>
            </w:r>
            <w:r>
              <w:rPr>
                <w:rFonts w:ascii="仿宋_GB2312" w:hAnsi="仿宋_GB2312" w:cs="仿宋_GB2312" w:eastAsia="仿宋_GB2312"/>
                <w:sz w:val="20"/>
              </w:rPr>
              <w:t>违约责任</w:t>
            </w:r>
            <w:r>
              <w:rPr>
                <w:rFonts w:ascii="仿宋_GB2312" w:hAnsi="仿宋_GB2312" w:cs="仿宋_GB2312" w:eastAsia="仿宋_GB2312"/>
                <w:sz w:val="20"/>
              </w:rPr>
              <w:t>：根据合同条款</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2026年12月30日前完工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以合同具体要求为准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设置线下演示环节，请各供应商自行携带笔记本电脑等相关连接设备进行线下系统演示，演示顺序由现场随机决定，演示地点：西安市太白南路181号西部电子社区A座A区501室龙寰项目管理咨询有限公司开标室，请供应商于开标时间前往龙寰项目管理咨询有限公司开标室等待演示，逾期或迟到的供应商视为自动放弃本次演示机会，演示时长不超过20分钟/家。演示现场仅提供投影仪，电源线等基础实施设备及条件，各供应商须自行搭建展示及演示环境。供应商必须使用真实系统进行各功能演示，PPT、图片、静态页面或不演示均不得分。 2.采购标的对应的中小企业划分标准所属行业为：其他未列明行业。划型标准为：从业人员300人以下的为中小微型企业。其中，从业人员100人及以上的为中型企业；从业人员10人及以上的为小型企业；从业人员10人以下的为微型企业。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年度经审计的财务报告或投标文件提交截止时间前六个月内基本存款账户开户银行出具的资信证明及基本存款账户开户许可证（或基本存款账户信息相关证明文件）或信用担保机构出具的投标担保函。（3）2025年4月以来任意一个月纳税证明或完税证明，纳税证明或完税证明上应有代收机构或税务机关的公章或业务专用章；依法免税或无须缴纳税收的供应商应提供相应文件证明。（4）2025年4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五、供应商应提交的相关资格证明材料.docx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五、供应商应提交的相关资格证明材料.docx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五、供应商应提交的相关资格证明材料.docx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五、供应商应提交的相关资格证明材料.docx 投标函 二、法定代表人身份证明或法定代表人授权委托书.docx 标的清单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开标一览表 五、供应商应提交的相关资格证明材料.docx 投标函 标的清单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七、技术响应偏离表.docx 中小企业声明函 八、技术方案.docx 六、合同条款偏离表.docx 投标人应提交的相关资格证明材料 五、供应商应提交的相关资格证明材料.docx 投标函 残疾人福利性单位声明函 二、法定代表人身份证明或法定代表人授权委托书.docx 标的清单 投标文件封面 九、投标人认为有必要说明的其他内容.docx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五、供应商应提交的相关资格证明材料.docx 投标函 二、法定代表人身份证明或法定代表人授权委托书.docx 标的清单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响应内容不存在漏项或数量与要求不符合招标文件规定情形，响应内容满足招标文件的商务、技术等实质性要求，不存在采购档次降低或影响采购性能、功能的情形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七、技术响应偏离表.docx 中小企业声明函 八、技术方案.docx 六、合同条款偏离表.docx 投标人应提交的相关资格证明材料 五、供应商应提交的相关资格证明材料.docx 投标函 残疾人福利性单位声明函 二、法定代表人身份证明或法定代表人授权委托书.docx 标的清单 投标文件封面 九、投标人认为有必要说明的其他内容.docx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七、技术响应偏离表.docx 中小企业声明函 八、技术方案.docx 六、合同条款偏离表.docx 投标人应提交的相关资格证明材料 五、供应商应提交的相关资格证明材料.docx 投标函 残疾人福利性单位声明函 二、法定代表人身份证明或法定代表人授权委托书.docx 标的清单 投标文件封面 九、投标人认为有必要说明的其他内容.docx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投标人针对本项目标注“▲”号的重要技术指标参数进行响应，每有一项负偏离扣2分，扣完为止。 注：需提供佐证材料，包括但不限于官网参数截图、功能截图、动画样例视频截图、佐证图片、产品说明书等证明材料。佐证材料与技术响应偏离表响应参数不一致的，以佐证材料为准。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八、技术方案.docx</w:t>
            </w:r>
          </w:p>
          <w:p>
            <w:pPr>
              <w:pStyle w:val="null3"/>
            </w:pPr>
            <w:r>
              <w:rPr>
                <w:rFonts w:ascii="仿宋_GB2312" w:hAnsi="仿宋_GB2312" w:cs="仿宋_GB2312" w:eastAsia="仿宋_GB2312"/>
              </w:rPr>
              <w:t>七、技术响应偏离表.docx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针对本项目采购需求及项目实际情况，制定服务方案（项目整体设想、项目重点难点、实施流程）等，根据响应程度进行评审。 评审标准： 整体服务方案专门针对本项目编制，符合项目实际情况及实施要求，内容详尽且涵盖角度全面，合理性和可行性强，能够保障项目顺利实施的，得10分; 整体服务方案能够针对本项目编制，符合项目实际情况及实施要求，内容详尽且涵盖角度基本全面，有一定的合理性和可行性的，得8分; 方案基本能够针对本项目编制，基本符合项目实际情况及实施要求，内容较宽泛，涵盖角度不够全面，内容基本合理可行的，得6分; 具有方案内容但内容未贴合本项目，内容涵盖角度不够全面且实施有难度的，得4分; 具有方案内容但内容未针对本项目，内容空洞宽泛，基本不具有可实施性，得2分;未提供方案内容得0分。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八、技术方案.docx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评审内容： 针对本项目提供总体实施计划、服务进度计划及保证措施、时间节点、交付安排等内容，根据响应程度进行评审； 评审标准： 进度计划及保证措施内容专门针对本项目编制，符合项目实际情况及实施要求，内容详尽且涵盖角度全面，合理性和可行性强，能够保障项目顺利实施的，得10分; 进度计划及保证措施内容能够针对本项目编制，符合项目实际情况及实施要求，内容详尽且涵盖角度基本全面，有一定的合理性和可行性的，得8分; 进度计划及保证措施内容基本能够针对本项目编制，基本符合项目实际情况及实施要求，内容较详细，涵盖角度较全面，基本合理可行的，得6分; 具有措施内容但措施内容未贴合本项目，措施内容涵盖角度不全面且实施有难度的，得4分; 具有措施内容但内容未针对本项目，内容空洞宽泛，可实施性不强，得2分;未提供措施内容得0分。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评审内容： 针对本项目提供服务团队，服务团队人员安排合理，职责划分明确，人员配备满足项目实际需求，根据响应程度进行评审。 评审标准： 服务团队人员安排合理，职责划分明确，人员配备满足项目实际需求，有详细的人员配置清单，针对性强，能够很好的满足项目需求，得10分；服务团队人员安排合理基本合理、人员表配置基本齐全，具有人员配置清单，有一定的针对性，能够满足项目需求，得8分；提供服务团队人员方案情况，配置基本合理但组成不全面得6分；服务团队人员安排缺乏科学合理性，无人员配置清单，无法满足项目需求，得4分；服务团队人员安排内容简单笼统得2分。未提供项目部组成不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针对本项目提供质量保证措施，应急处理方案，包括应急准备、应急处置、处置反馈、总结改进等内容，根据响应程度进行评审。 评审标准： 措施内容专门针对本项目编制，符合项目实际情况及实施要求，内容详尽且涵盖角度全面，合理性和可行性强，能够保障项目顺利实施的，得10分; 措施内容能够针对本项目编制，符合项目实际情况及实施要求，内容详尽且涵盖角度基本全面，有一定的合理性和可行性的，得8分; 措施内容基本能够针对本项目编制，基本符合项目实际情况及实施要求，内容较详细，涵盖角度较全面，基本合理可行的，得6分; 具有措施内容但措施内容未贴合本项目，措施内容涵盖角度不全面且实施有难度的，得4分; 具有措施内容但内容未针对本项目，内容空洞宽泛，可实施性不强，得2分;未提供措施内容得0分。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八、技术方案.docx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评审内容： 针对本项目建立完善的安全管理措施，加强信息系统安全的管理工作等内容，根据响应程度进行评审。 评审标准： 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八、技术方案.docx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评审内容： 针对本项目提供相关培训方案（方案包括但不限于培训内容、培训对象、培训方式、培训流程、培训日程安排）等内容，根据响应程度进行评审。 评审标准: 培训服务方案内容详尽且涵盖角度全面，合理性和可行性强，能够保障项目顺利实施的，得5分; 培训服务方案内容详尽且涵盖角度基本全面，有一定的合理性和可行性的，得4分; 培训服务方案内容较宽泛，涵盖角度不够全面，内容基本合理可行的，得3分;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八、技术方案.docx</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演示内容： (1)系统须提供智能制造产业链图谱展示案例，支持查看完整智能制造产业链→上中下游→产业节点→企业/岗位→岗位技能的全部节点数据信息内容。提供的演示完全满足此项得3分，否则不得分； (2)系统须能够展示产业企业数量区域分布图：需内嵌所选区域地图，以地图的方式展示所选地区各区各产业节点企业数量，支持数据轮播展示和选择区域单独展示。提供的演示完全满足此项得3分，否则不得分； (3)系统须支持展示最受欢迎的专业TOP20：使用条形图展示各专业在岗位招聘中出现的数量情况，鼠标悬停可查看明细数据。提供的演示完全满足此项得3分，否则不得分； (4)系统须支持生成人才供需报告，为新专业设置和开设提供参考依据。报告生成功能支持参数配置，可选择和配置包括统计地区、要分析的专业、相关产业、报告模板等。支持添加需要重点关注的岗位，并且预提供不少于10个关联度较高的工作岗位信息，包括岗位名称、关联度（须展示关联度百分比）、社会需求量，可根据需要选择相关岗位， 同时支持一键全选。提供的演示完全满足此项得3分，否则不得分； 备注：供应商必须使用真实系统进行各功能演示，PPT、图片、静态页面或不演示均不得分。演示时间不得超过20分钟。</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八、技术方案.docx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（1）供应商每提供1个拥有大数据领域相关的软件著作权或相关发明专利的，每提供一项内容得1分，最高得2分，未提供不得分。（需提供加盖公章的对应的证书复印件或相关证明材料） （2）供应商为国家级/省级职业教育教师企业实践基地的，提供相关证明材料的，国家级得3分，省级得1分，未提供不得分。（需提供有效的证书复印件或公开网站可查询的公示公告截图） （3）供应商曾协助相关院校获得过国家级/省级教学成果奖，提供证书复印件或官方有效证明材料，获得国家级得3分，获得省级得1分，未提供不得分。（需提供证书复印件或官方有效证明材料）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以供应商近三年（2023年1月1日以来）同类业绩。每提供一个得2.5分，满分10分。注：以供应商加盖公章的业绩合同或中标（成交）通知书复印件或扫描件为准，时间以签署日期为准。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采用低价优先法计算，满足招标文件要求且投标价格最低的作为评标基准价，其价格分为满分。其他投标人的价格分统一按照下列公式计算：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详见附件：二、法定代表人身份证明或法定代表人授权委托书.docx</w:t>
      </w:r>
    </w:p>
    <w:p>
      <w:pPr>
        <w:pStyle w:val="null3"/>
        <w:ind w:firstLine="960"/>
      </w:pPr>
      <w:r>
        <w:rPr>
          <w:rFonts w:ascii="仿宋_GB2312" w:hAnsi="仿宋_GB2312" w:cs="仿宋_GB2312" w:eastAsia="仿宋_GB2312"/>
        </w:rPr>
        <w:t>详见附件：六、合同条款偏离表.docx</w:t>
      </w:r>
    </w:p>
    <w:p>
      <w:pPr>
        <w:pStyle w:val="null3"/>
        <w:ind w:firstLine="960"/>
      </w:pPr>
      <w:r>
        <w:rPr>
          <w:rFonts w:ascii="仿宋_GB2312" w:hAnsi="仿宋_GB2312" w:cs="仿宋_GB2312" w:eastAsia="仿宋_GB2312"/>
        </w:rPr>
        <w:t>详见附件：七、技术响应偏离表.docx</w:t>
      </w:r>
    </w:p>
    <w:p>
      <w:pPr>
        <w:pStyle w:val="null3"/>
        <w:ind w:firstLine="960"/>
      </w:pPr>
      <w:r>
        <w:rPr>
          <w:rFonts w:ascii="仿宋_GB2312" w:hAnsi="仿宋_GB2312" w:cs="仿宋_GB2312" w:eastAsia="仿宋_GB2312"/>
        </w:rPr>
        <w:t>详见附件：八、技术方案.docx</w:t>
      </w:r>
    </w:p>
    <w:p>
      <w:pPr>
        <w:pStyle w:val="null3"/>
        <w:ind w:firstLine="960"/>
      </w:pPr>
      <w:r>
        <w:rPr>
          <w:rFonts w:ascii="仿宋_GB2312" w:hAnsi="仿宋_GB2312" w:cs="仿宋_GB2312" w:eastAsia="仿宋_GB2312"/>
        </w:rPr>
        <w:t>详见附件：五、供应商应提交的相关资格证明材料.docx</w:t>
      </w:r>
    </w:p>
    <w:p>
      <w:pPr>
        <w:pStyle w:val="null3"/>
        <w:ind w:firstLine="960"/>
      </w:pPr>
      <w:r>
        <w:rPr>
          <w:rFonts w:ascii="仿宋_GB2312" w:hAnsi="仿宋_GB2312" w:cs="仿宋_GB2312" w:eastAsia="仿宋_GB2312"/>
        </w:rPr>
        <w:t>详见附件：九、投标人认为有必要说明的其他内容.docx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详见附件：第7章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