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版本号：ZJXG202605920260623001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汉城街道杨善北路与丰产路连接桥改造项目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ZJXG2026059</w:t>
      </w:r>
      <w:r>
        <w:br/>
      </w:r>
      <w:r>
        <w:br/>
      </w:r>
      <w:r>
        <w:br/>
      </w:r>
    </w:p>
    <w:p>
      <w:pPr>
        <w:pStyle w:val="null3"/>
        <w:jc w:val="center"/>
        <w:outlineLvl w:val="2"/>
      </w:pPr>
      <w:r>
        <w:rPr>
          <w:rFonts w:ascii="仿宋_GB2312" w:hAnsi="仿宋_GB2312" w:cs="仿宋_GB2312" w:eastAsia="仿宋_GB2312"/>
          <w:sz w:val="28"/>
          <w:b/>
        </w:rPr>
        <w:t>西安市未央区汉城街道办事处</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西安市未央区汉城街道办事处</w:t>
      </w:r>
      <w:r>
        <w:rPr>
          <w:rFonts w:ascii="仿宋_GB2312" w:hAnsi="仿宋_GB2312" w:cs="仿宋_GB2312" w:eastAsia="仿宋_GB2312"/>
        </w:rPr>
        <w:t>委托，拟对</w:t>
      </w:r>
      <w:r>
        <w:rPr>
          <w:rFonts w:ascii="仿宋_GB2312" w:hAnsi="仿宋_GB2312" w:cs="仿宋_GB2312" w:eastAsia="仿宋_GB2312"/>
        </w:rPr>
        <w:t>汉城街道杨善北路与丰产路连接桥改造项目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汉城街道杨善北路与丰产路连接桥改造项目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汉城街道杨善北路与丰产路连接桥改造项目，具体内容详见工程量清单及竞争性磋商文件。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采购包1（汉城街道杨善北路与丰产路连接桥改造项目）：属于专门面向中小企业采购。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授权书及被授权人身份证（法定代表人直接参加磋商的须提供其法定代表人身份证），非法人单位参照执行。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8、企业资质：具备建设行政主管部门颁发的市政公用工程施工总承包三级以上（含三级）资质或桥梁工程专业承包三级以上（含三级）资质，具有建设行政主管部门颁发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 专业：市政公用工程专业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西安市未央区汉城街道办事处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西安市未央区汉城商业街中段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029-61211686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采购包1：674,383.57元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西安市未央区汉城街道办事处</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西安市未央区汉城街道办事处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西安市未央区汉城街道办事处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联系人：王哲</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674,383.57</w:t>
      </w:r>
    </w:p>
    <w:p>
      <w:pPr>
        <w:pStyle w:val="null3"/>
      </w:pPr>
      <w:r>
        <w:rPr>
          <w:rFonts w:ascii="仿宋_GB2312" w:hAnsi="仿宋_GB2312" w:cs="仿宋_GB2312" w:eastAsia="仿宋_GB2312"/>
        </w:rPr>
        <w:t>采购包最高限价（元）: 674,383.57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汉城街道杨善北路与丰产路连接桥改造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674,383.57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标的名称：汉城街道杨善北路与丰产路连接桥改造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汉城街道杨善北路与丰产路连接桥改造项目</w:t>
            </w:r>
            <w:r>
              <w:rPr>
                <w:rFonts w:ascii="仿宋_GB2312" w:hAnsi="仿宋_GB2312" w:cs="仿宋_GB2312" w:eastAsia="仿宋_GB2312"/>
                <w:sz w:val="24"/>
              </w:rPr>
              <w:t>，具体内容详见工程量清单及竞争性磋商文件。</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施工</w:t>
            </w:r>
            <w:r>
              <w:rPr>
                <w:rFonts w:ascii="仿宋_GB2312" w:hAnsi="仿宋_GB2312" w:cs="仿宋_GB2312" w:eastAsia="仿宋_GB2312"/>
                <w:sz w:val="24"/>
                <w:b/>
              </w:rPr>
              <w:t>内容和</w:t>
            </w:r>
            <w:r>
              <w:rPr>
                <w:rFonts w:ascii="仿宋_GB2312" w:hAnsi="仿宋_GB2312" w:cs="仿宋_GB2312" w:eastAsia="仿宋_GB2312"/>
                <w:sz w:val="24"/>
                <w:b/>
              </w:rPr>
              <w:t>工程</w:t>
            </w:r>
            <w:r>
              <w:rPr>
                <w:rFonts w:ascii="仿宋_GB2312" w:hAnsi="仿宋_GB2312" w:cs="仿宋_GB2312" w:eastAsia="仿宋_GB2312"/>
                <w:sz w:val="24"/>
                <w:b/>
              </w:rPr>
              <w:t>地点、工期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施工范围及</w:t>
            </w:r>
            <w:r>
              <w:rPr>
                <w:rFonts w:ascii="仿宋_GB2312" w:hAnsi="仿宋_GB2312" w:cs="仿宋_GB2312" w:eastAsia="仿宋_GB2312"/>
                <w:sz w:val="24"/>
              </w:rPr>
              <w:t>内容：</w:t>
            </w:r>
            <w:r>
              <w:rPr>
                <w:rFonts w:ascii="仿宋_GB2312" w:hAnsi="仿宋_GB2312" w:cs="仿宋_GB2312" w:eastAsia="仿宋_GB2312"/>
                <w:sz w:val="24"/>
              </w:rPr>
              <w:t>根据施工内容具体详细说明</w:t>
            </w:r>
          </w:p>
          <w:p>
            <w:pPr>
              <w:pStyle w:val="null3"/>
              <w:jc w:val="both"/>
            </w:pPr>
            <w:r>
              <w:rPr>
                <w:rFonts w:ascii="仿宋_GB2312" w:hAnsi="仿宋_GB2312" w:cs="仿宋_GB2312" w:eastAsia="仿宋_GB2312"/>
                <w:sz w:val="24"/>
              </w:rPr>
              <w:t>2.工程地点：</w:t>
            </w:r>
            <w:r>
              <w:rPr>
                <w:rFonts w:ascii="仿宋_GB2312" w:hAnsi="仿宋_GB2312" w:cs="仿宋_GB2312" w:eastAsia="仿宋_GB2312"/>
                <w:sz w:val="24"/>
              </w:rPr>
              <w:t>西安市未央区汉城街道杨善路与丰产路连接处</w:t>
            </w:r>
          </w:p>
          <w:p>
            <w:pPr>
              <w:pStyle w:val="null3"/>
              <w:jc w:val="both"/>
            </w:pPr>
            <w:r>
              <w:rPr>
                <w:rFonts w:ascii="仿宋_GB2312" w:hAnsi="仿宋_GB2312" w:cs="仿宋_GB2312" w:eastAsia="仿宋_GB2312"/>
                <w:sz w:val="24"/>
              </w:rPr>
              <w:t>3.工期：</w:t>
            </w:r>
            <w:r>
              <w:rPr>
                <w:rFonts w:ascii="仿宋_GB2312" w:hAnsi="仿宋_GB2312" w:cs="仿宋_GB2312" w:eastAsia="仿宋_GB2312"/>
                <w:sz w:val="24"/>
              </w:rPr>
              <w:t>自合同签订且甲方移交施工图纸及工程量清单之日起</w:t>
            </w:r>
            <w:r>
              <w:rPr>
                <w:rFonts w:ascii="仿宋_GB2312" w:hAnsi="仿宋_GB2312" w:cs="仿宋_GB2312" w:eastAsia="仿宋_GB2312"/>
                <w:sz w:val="24"/>
              </w:rPr>
              <w:t>60日历天内（具体开工日期以收到采购人通知为准）。</w:t>
            </w:r>
          </w:p>
          <w:p>
            <w:pPr>
              <w:pStyle w:val="null3"/>
              <w:jc w:val="both"/>
            </w:pPr>
            <w:r>
              <w:rPr>
                <w:rFonts w:ascii="仿宋_GB2312" w:hAnsi="仿宋_GB2312" w:cs="仿宋_GB2312" w:eastAsia="仿宋_GB2312"/>
                <w:sz w:val="24"/>
                <w:b/>
              </w:rPr>
              <w:t>三、工程量清单编制说明</w:t>
            </w:r>
          </w:p>
          <w:p>
            <w:pPr>
              <w:pStyle w:val="null3"/>
              <w:jc w:val="both"/>
            </w:pPr>
            <w:r>
              <w:rPr>
                <w:rFonts w:ascii="仿宋_GB2312" w:hAnsi="仿宋_GB2312" w:cs="仿宋_GB2312" w:eastAsia="仿宋_GB2312"/>
                <w:sz w:val="24"/>
              </w:rPr>
              <w:t>1.依据《关于印发2025陕西省建设工程费用规则等计价依据的通知》（陕建管发〔2025〕10号）、《建设工程工程量清单计价标准》（2025）；</w:t>
            </w:r>
          </w:p>
          <w:p>
            <w:pPr>
              <w:pStyle w:val="null3"/>
              <w:jc w:val="both"/>
            </w:pPr>
            <w:r>
              <w:rPr>
                <w:rFonts w:ascii="仿宋_GB2312" w:hAnsi="仿宋_GB2312" w:cs="仿宋_GB2312" w:eastAsia="仿宋_GB2312"/>
                <w:sz w:val="24"/>
              </w:rPr>
              <w:t>2.《房屋建筑与装饰工程工程量计算标准》（2025）、《通用安装工程工程量计算标准》（2025）、《市政工程工程量计算标准》（2025）、《园林绿化工程工程量计算标准》（2025）；</w:t>
            </w:r>
          </w:p>
          <w:p>
            <w:pPr>
              <w:pStyle w:val="null3"/>
              <w:jc w:val="both"/>
            </w:pPr>
            <w:r>
              <w:rPr>
                <w:rFonts w:ascii="仿宋_GB2312" w:hAnsi="仿宋_GB2312" w:cs="仿宋_GB2312" w:eastAsia="仿宋_GB2312"/>
                <w:sz w:val="24"/>
              </w:rPr>
              <w:t>3.《陕西省建设工程费用规则》（2025）；</w:t>
            </w:r>
          </w:p>
          <w:p>
            <w:pPr>
              <w:pStyle w:val="null3"/>
              <w:jc w:val="both"/>
            </w:pPr>
            <w:r>
              <w:rPr>
                <w:rFonts w:ascii="仿宋_GB2312" w:hAnsi="仿宋_GB2312" w:cs="仿宋_GB2312" w:eastAsia="仿宋_GB2312"/>
                <w:sz w:val="24"/>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jc w:val="both"/>
            </w:pPr>
            <w:r>
              <w:rPr>
                <w:rFonts w:ascii="仿宋_GB2312" w:hAnsi="仿宋_GB2312" w:cs="仿宋_GB2312" w:eastAsia="仿宋_GB2312"/>
                <w:sz w:val="24"/>
              </w:rPr>
              <w:t>5.与招标工程相关的技术标准规范；</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汉城街道杨善北路与丰产路连接桥改造项目</w:t>
            </w:r>
            <w:r>
              <w:rPr>
                <w:rFonts w:ascii="仿宋_GB2312" w:hAnsi="仿宋_GB2312" w:cs="仿宋_GB2312" w:eastAsia="仿宋_GB2312"/>
                <w:sz w:val="24"/>
              </w:rPr>
              <w:t>》的设计图纸、施工方案；</w:t>
            </w:r>
          </w:p>
          <w:p>
            <w:pPr>
              <w:pStyle w:val="null3"/>
              <w:jc w:val="both"/>
            </w:pPr>
            <w:r>
              <w:rPr>
                <w:rFonts w:ascii="仿宋_GB2312" w:hAnsi="仿宋_GB2312" w:cs="仿宋_GB2312" w:eastAsia="仿宋_GB2312"/>
                <w:sz w:val="24"/>
              </w:rPr>
              <w:t>7.计价软件采用广联达云计价平台GCCP 7.0 版本：7.5000.23.3。</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工程量清单</w:t>
            </w:r>
            <w:r>
              <w:rPr>
                <w:rFonts w:ascii="仿宋_GB2312" w:hAnsi="仿宋_GB2312" w:cs="仿宋_GB2312" w:eastAsia="仿宋_GB2312"/>
                <w:sz w:val="24"/>
              </w:rPr>
              <w:t>：电子版另附。</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图纸</w:t>
            </w:r>
            <w:r>
              <w:rPr>
                <w:rFonts w:ascii="仿宋_GB2312" w:hAnsi="仿宋_GB2312" w:cs="仿宋_GB2312" w:eastAsia="仿宋_GB2312"/>
                <w:sz w:val="24"/>
              </w:rPr>
              <w:t>：电子版另附。</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付款方式：</w:t>
            </w:r>
          </w:p>
          <w:p>
            <w:pPr>
              <w:pStyle w:val="null3"/>
              <w:jc w:val="both"/>
            </w:pPr>
            <w:r>
              <w:rPr>
                <w:rFonts w:ascii="仿宋_GB2312" w:hAnsi="仿宋_GB2312" w:cs="仿宋_GB2312" w:eastAsia="仿宋_GB2312"/>
                <w:sz w:val="24"/>
              </w:rPr>
              <w:t>1、 进度款，合同签订后，并在财政资金到位情况下，达到付款条件起30个工作日内，支付合同总金额的40.0%</w:t>
            </w:r>
          </w:p>
          <w:p>
            <w:pPr>
              <w:pStyle w:val="null3"/>
            </w:pPr>
            <w:r>
              <w:rPr>
                <w:rFonts w:ascii="仿宋_GB2312" w:hAnsi="仿宋_GB2312" w:cs="仿宋_GB2312" w:eastAsia="仿宋_GB2312"/>
                <w:sz w:val="24"/>
              </w:rPr>
              <w:t>2、 进度款，工程全部竣工验收通过后，并在财政资金到位情况下，达到付款条件起30个工作日内，支付合同总金额的50.0%</w:t>
            </w:r>
          </w:p>
          <w:p>
            <w:pPr>
              <w:pStyle w:val="null3"/>
            </w:pPr>
            <w:r>
              <w:rPr>
                <w:rFonts w:ascii="仿宋_GB2312" w:hAnsi="仿宋_GB2312" w:cs="仿宋_GB2312" w:eastAsia="仿宋_GB2312"/>
                <w:sz w:val="24"/>
              </w:rPr>
              <w:t>3、 进度款，工程审计结束后，并在财政资金到位情况下，达到付款条件起30个工作日内，支付合同总金额的10.0%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质量要求：</w:t>
            </w:r>
          </w:p>
          <w:p>
            <w:pPr>
              <w:pStyle w:val="null3"/>
              <w:jc w:val="both"/>
            </w:pPr>
            <w:r>
              <w:rPr>
                <w:rFonts w:ascii="仿宋_GB2312" w:hAnsi="仿宋_GB2312" w:cs="仿宋_GB2312" w:eastAsia="仿宋_GB2312"/>
                <w:sz w:val="24"/>
              </w:rPr>
              <w:t>达到国家及行业现行技术规范标准，符合国家及行业验收合格标准。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质量保修期：</w:t>
            </w:r>
          </w:p>
          <w:p>
            <w:pPr>
              <w:pStyle w:val="null3"/>
              <w:jc w:val="both"/>
            </w:pPr>
            <w:r>
              <w:rPr>
                <w:rFonts w:ascii="仿宋_GB2312" w:hAnsi="仿宋_GB2312" w:cs="仿宋_GB2312" w:eastAsia="仿宋_GB2312"/>
                <w:sz w:val="24"/>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市政公用工程施工总承包三级以上（含三级）资质或桥梁工程专业承包三级以上（含三级）资质，具有建设行政主管部门颁发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 专业：市政公用工程专业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0.5分，不满足得0分。满分1.5分；②环保控制措施：每完全满足一个评审标准得0.5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0.5分，不满足得0分。满分1.5分；②文明施工：每完全满足一个评审标准得0.5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0.5分，不满足得0分。满分1.5分；②保修承诺：每完全满足一个评审标准得0.5分，不满足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提供2023年06月01日以来承担过类似项目业绩。每提供一份有效的业绩证明文件（以合同或中标通知书为准)得2分，满分6分。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45分。3.磋商报价得分=（磋商基准价/磋商评审价）×45%*100的公式计算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