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版本号：DHY-2026-HZ01720260902002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2026年汉中市中心城区国庆氛围营造项目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DHY-2026-HZ017</w:t>
      </w:r>
      <w:r>
        <w:br/>
      </w:r>
      <w:r>
        <w:br/>
      </w:r>
      <w:r>
        <w:br/>
      </w:r>
    </w:p>
    <w:p>
      <w:pPr>
        <w:pStyle w:val="null3"/>
        <w:jc w:val="center"/>
        <w:outlineLvl w:val="2"/>
      </w:pPr>
      <w:r>
        <w:rPr>
          <w:rFonts w:ascii="仿宋_GB2312" w:hAnsi="仿宋_GB2312" w:cs="仿宋_GB2312" w:eastAsia="仿宋_GB2312"/>
          <w:sz w:val="28"/>
          <w:b/>
        </w:rPr>
        <w:t>汉中市园林绿化管理处</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汉中市园林绿化管理处</w:t>
      </w:r>
      <w:r>
        <w:rPr>
          <w:rFonts w:ascii="仿宋_GB2312" w:hAnsi="仿宋_GB2312" w:cs="仿宋_GB2312" w:eastAsia="仿宋_GB2312"/>
        </w:rPr>
        <w:t>委托，拟对</w:t>
      </w:r>
      <w:r>
        <w:rPr>
          <w:rFonts w:ascii="仿宋_GB2312" w:hAnsi="仿宋_GB2312" w:cs="仿宋_GB2312" w:eastAsia="仿宋_GB2312"/>
        </w:rPr>
        <w:t>2026年汉中市中心城区国庆氛围营造项目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DHY-2026-HZ017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2026年汉中市中心城区国庆氛围营造项目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为庆祝中华人民共和国成立77周年，迎接伟大祖国的诞辰，现对重点路段以及重要场所悬挂国旗；对天汉楼广场、褒斜路口、街心花园等指定地点布置鲜花花坛摆放及景观造型，营造热烈的国庆节日氛围。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采购包1（2026年汉中市中心城区国庆氛围营造项目（国旗悬挂））：属于专门面向中小企业采购。</w:t>
      </w:r>
    </w:p>
    <w:p>
      <w:pPr>
        <w:pStyle w:val="null3"/>
      </w:pPr>
      <w:r>
        <w:rPr>
          <w:rFonts w:ascii="仿宋_GB2312" w:hAnsi="仿宋_GB2312" w:cs="仿宋_GB2312" w:eastAsia="仿宋_GB2312"/>
        </w:rPr>
        <w:t>采购包2（2026年汉中市中心城区国庆氛围营造项目（鲜花摆放））：属于专门面向中小企业采购。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 然人，并出具营业执照（事业法人证）或证明文件或自然人的身份证明；</w:t>
      </w:r>
    </w:p>
    <w:p>
      <w:pPr>
        <w:pStyle w:val="null3"/>
      </w:pPr>
      <w:r>
        <w:rPr>
          <w:rFonts w:ascii="仿宋_GB2312" w:hAnsi="仿宋_GB2312" w:cs="仿宋_GB2312" w:eastAsia="仿宋_GB2312"/>
        </w:rPr>
        <w:t>2、授权代表身份证明：法定代表人授权书（附法定代表人身份证复印件）及被授权人身份证（法定代表人直接参加磋商的只需提供法定代表人身份证）；</w:t>
      </w:r>
    </w:p>
    <w:p>
      <w:pPr>
        <w:pStyle w:val="null3"/>
      </w:pPr>
      <w:r>
        <w:rPr>
          <w:rFonts w:ascii="仿宋_GB2312" w:hAnsi="仿宋_GB2312" w:cs="仿宋_GB2312" w:eastAsia="仿宋_GB2312"/>
        </w:rPr>
        <w:t>3、拟派项目负责人专业要求：拟派项目负责人须具有工程类相关专业中级及以上工程师职称；</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号）文件要求，提供《汉中市政府采购供应商资格承诺函》并加盖公章；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1、有效的主体资格证明：供应商为具有独立承担民事责任能力的法人或其他组织或自 然人，并出具营业执照（事业法人证）或证明文件或自然人的身份证明；</w:t>
      </w:r>
    </w:p>
    <w:p>
      <w:pPr>
        <w:pStyle w:val="null3"/>
      </w:pPr>
      <w:r>
        <w:rPr>
          <w:rFonts w:ascii="仿宋_GB2312" w:hAnsi="仿宋_GB2312" w:cs="仿宋_GB2312" w:eastAsia="仿宋_GB2312"/>
        </w:rPr>
        <w:t>2、授权代表身份证明：法定代表人授权书（附法定代表人身份证复印件）及被授权人身份证（法定代表人直接参加磋商的只需提供法定代表人身份证）；</w:t>
      </w:r>
    </w:p>
    <w:p>
      <w:pPr>
        <w:pStyle w:val="null3"/>
      </w:pPr>
      <w:r>
        <w:rPr>
          <w:rFonts w:ascii="仿宋_GB2312" w:hAnsi="仿宋_GB2312" w:cs="仿宋_GB2312" w:eastAsia="仿宋_GB2312"/>
        </w:rPr>
        <w:t>3、拟派项目负责人专业要求：拟派项目负责人需具备园林绿化/风景园林/园艺/林学相关专业中级及以上职称；</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汉中市园林绿化管理处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汉台区将坛西路315号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汉中市园林绿化管理处经办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0916-2514459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采购包1：399,695.00元</w:t>
            </w:r>
          </w:p>
          <w:p>
            <w:pPr>
              <w:pStyle w:val="null3"/>
            </w:pPr>
            <w:r>
              <w:rPr>
                <w:rFonts w:ascii="仿宋_GB2312" w:hAnsi="仿宋_GB2312" w:cs="仿宋_GB2312" w:eastAsia="仿宋_GB2312"/>
              </w:rPr>
              <w:t>采购包2：349,935.00元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开户名称：陕西鼎慧源工程项目管理有限公司汉中分公司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 0503 0920 0271 036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供应商按《国家计委关于印发&lt;磋商代理服务收费管理暂⾏办法&gt;的通知》（计价格[2002]1980号）、发改价格〔2011〕534号⽂及《陕西省住房和城乡建设厅⽂件陕价⾏发【2014】88号》⽂收费标准向采购代理机构⼀次性⽀付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汉中市园林绿化管理处</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汉中市园林绿化管理处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汉中市园林绿化管理处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按照合同相关条约或补充协议执⾏。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以中标的响应文件为准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以中标的响应文件为准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联系人：徐女士</w:t>
      </w:r>
    </w:p>
    <w:p>
      <w:pPr>
        <w:pStyle w:val="null3"/>
      </w:pPr>
      <w:r>
        <w:rPr>
          <w:rFonts w:ascii="仿宋_GB2312" w:hAnsi="仿宋_GB2312" w:cs="仿宋_GB2312" w:eastAsia="仿宋_GB2312"/>
        </w:rPr>
        <w:t>联系电话：0916-8881950</w:t>
      </w:r>
    </w:p>
    <w:p>
      <w:pPr>
        <w:pStyle w:val="null3"/>
      </w:pPr>
      <w:r>
        <w:rPr>
          <w:rFonts w:ascii="仿宋_GB2312" w:hAnsi="仿宋_GB2312" w:cs="仿宋_GB2312" w:eastAsia="仿宋_GB2312"/>
        </w:rPr>
        <w:t>地址：陕西省汉中市汉台区滨江印象西门五楼505室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399,695.00</w:t>
      </w:r>
    </w:p>
    <w:p>
      <w:pPr>
        <w:pStyle w:val="null3"/>
      </w:pPr>
      <w:r>
        <w:rPr>
          <w:rFonts w:ascii="仿宋_GB2312" w:hAnsi="仿宋_GB2312" w:cs="仿宋_GB2312" w:eastAsia="仿宋_GB2312"/>
        </w:rPr>
        <w:t>采购包最高限价（元）: 399,695.00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道路灯杆悬挂4号国旗</w:t>
            </w:r>
          </w:p>
        </w:tc>
        <w:tc>
          <w:tcPr>
            <w:tcW w:type="dxa" w:w="1384"/>
          </w:tcPr>
          <w:p>
            <w:pPr>
              <w:pStyle w:val="null3"/>
              <w:jc w:val="right"/>
            </w:pPr>
            <w:r>
              <w:rPr>
                <w:rFonts w:ascii="仿宋_GB2312" w:hAnsi="仿宋_GB2312" w:cs="仿宋_GB2312" w:eastAsia="仿宋_GB2312"/>
              </w:rPr>
              <w:t>2,013.00</w:t>
            </w:r>
          </w:p>
        </w:tc>
        <w:tc>
          <w:tcPr>
            <w:tcW w:type="dxa" w:w="1384"/>
          </w:tcPr>
          <w:p>
            <w:pPr>
              <w:pStyle w:val="null3"/>
              <w:jc w:val="right"/>
            </w:pPr>
            <w:r>
              <w:rPr>
                <w:rFonts w:ascii="仿宋_GB2312" w:hAnsi="仿宋_GB2312" w:cs="仿宋_GB2312" w:eastAsia="仿宋_GB2312"/>
              </w:rPr>
              <w:t>301,950.00</w:t>
            </w:r>
          </w:p>
        </w:tc>
        <w:tc>
          <w:tcPr>
            <w:tcW w:type="dxa" w:w="1384"/>
          </w:tcPr>
          <w:p>
            <w:pPr>
              <w:pStyle w:val="null3"/>
            </w:pPr>
            <w:r>
              <w:rPr>
                <w:rFonts w:ascii="仿宋_GB2312" w:hAnsi="仿宋_GB2312" w:cs="仿宋_GB2312" w:eastAsia="仿宋_GB2312"/>
              </w:rPr>
              <w:t>套</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三座大桥桥柱护栏安装4号国旗</w:t>
            </w:r>
          </w:p>
        </w:tc>
        <w:tc>
          <w:tcPr>
            <w:tcW w:type="dxa" w:w="1384"/>
          </w:tcPr>
          <w:p>
            <w:pPr>
              <w:pStyle w:val="null3"/>
              <w:jc w:val="right"/>
            </w:pPr>
            <w:r>
              <w:rPr>
                <w:rFonts w:ascii="仿宋_GB2312" w:hAnsi="仿宋_GB2312" w:cs="仿宋_GB2312" w:eastAsia="仿宋_GB2312"/>
              </w:rPr>
              <w:t>981.00</w:t>
            </w:r>
          </w:p>
        </w:tc>
        <w:tc>
          <w:tcPr>
            <w:tcW w:type="dxa" w:w="1384"/>
          </w:tcPr>
          <w:p>
            <w:pPr>
              <w:pStyle w:val="null3"/>
              <w:jc w:val="right"/>
            </w:pPr>
            <w:r>
              <w:rPr>
                <w:rFonts w:ascii="仿宋_GB2312" w:hAnsi="仿宋_GB2312" w:cs="仿宋_GB2312" w:eastAsia="仿宋_GB2312"/>
              </w:rPr>
              <w:t>83,385.00</w:t>
            </w:r>
          </w:p>
        </w:tc>
        <w:tc>
          <w:tcPr>
            <w:tcW w:type="dxa" w:w="1384"/>
          </w:tcPr>
          <w:p>
            <w:pPr>
              <w:pStyle w:val="null3"/>
            </w:pPr>
            <w:r>
              <w:rPr>
                <w:rFonts w:ascii="仿宋_GB2312" w:hAnsi="仿宋_GB2312" w:cs="仿宋_GB2312" w:eastAsia="仿宋_GB2312"/>
              </w:rPr>
              <w:t>面</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3</w:t>
            </w:r>
          </w:p>
        </w:tc>
        <w:tc>
          <w:tcPr>
            <w:tcW w:type="dxa" w:w="1384"/>
          </w:tcPr>
          <w:p>
            <w:pPr>
              <w:pStyle w:val="null3"/>
            </w:pPr>
            <w:r>
              <w:rPr>
                <w:rFonts w:ascii="仿宋_GB2312" w:hAnsi="仿宋_GB2312" w:cs="仿宋_GB2312" w:eastAsia="仿宋_GB2312"/>
              </w:rPr>
              <w:t>2号国旗</w:t>
            </w:r>
          </w:p>
        </w:tc>
        <w:tc>
          <w:tcPr>
            <w:tcW w:type="dxa" w:w="1384"/>
          </w:tcPr>
          <w:p>
            <w:pPr>
              <w:pStyle w:val="null3"/>
              <w:jc w:val="right"/>
            </w:pPr>
            <w:r>
              <w:rPr>
                <w:rFonts w:ascii="仿宋_GB2312" w:hAnsi="仿宋_GB2312" w:cs="仿宋_GB2312" w:eastAsia="仿宋_GB2312"/>
              </w:rPr>
              <w:t>3.00</w:t>
            </w:r>
          </w:p>
        </w:tc>
        <w:tc>
          <w:tcPr>
            <w:tcW w:type="dxa" w:w="1384"/>
          </w:tcPr>
          <w:p>
            <w:pPr>
              <w:pStyle w:val="null3"/>
              <w:jc w:val="right"/>
            </w:pPr>
            <w:r>
              <w:rPr>
                <w:rFonts w:ascii="仿宋_GB2312" w:hAnsi="仿宋_GB2312" w:cs="仿宋_GB2312" w:eastAsia="仿宋_GB2312"/>
              </w:rPr>
              <w:t>300.00</w:t>
            </w:r>
          </w:p>
        </w:tc>
        <w:tc>
          <w:tcPr>
            <w:tcW w:type="dxa" w:w="1384"/>
          </w:tcPr>
          <w:p>
            <w:pPr>
              <w:pStyle w:val="null3"/>
            </w:pPr>
            <w:r>
              <w:rPr>
                <w:rFonts w:ascii="仿宋_GB2312" w:hAnsi="仿宋_GB2312" w:cs="仿宋_GB2312" w:eastAsia="仿宋_GB2312"/>
              </w:rPr>
              <w:t>面</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4</w:t>
            </w:r>
          </w:p>
        </w:tc>
        <w:tc>
          <w:tcPr>
            <w:tcW w:type="dxa" w:w="1384"/>
          </w:tcPr>
          <w:p>
            <w:pPr>
              <w:pStyle w:val="null3"/>
            </w:pPr>
            <w:r>
              <w:rPr>
                <w:rFonts w:ascii="仿宋_GB2312" w:hAnsi="仿宋_GB2312" w:cs="仿宋_GB2312" w:eastAsia="仿宋_GB2312"/>
              </w:rPr>
              <w:t>3号红色彩旗</w:t>
            </w:r>
          </w:p>
        </w:tc>
        <w:tc>
          <w:tcPr>
            <w:tcW w:type="dxa" w:w="1384"/>
          </w:tcPr>
          <w:p>
            <w:pPr>
              <w:pStyle w:val="null3"/>
              <w:jc w:val="right"/>
            </w:pPr>
            <w:r>
              <w:rPr>
                <w:rFonts w:ascii="仿宋_GB2312" w:hAnsi="仿宋_GB2312" w:cs="仿宋_GB2312" w:eastAsia="仿宋_GB2312"/>
              </w:rPr>
              <w:t>148.00</w:t>
            </w:r>
          </w:p>
        </w:tc>
        <w:tc>
          <w:tcPr>
            <w:tcW w:type="dxa" w:w="1384"/>
          </w:tcPr>
          <w:p>
            <w:pPr>
              <w:pStyle w:val="null3"/>
              <w:jc w:val="right"/>
            </w:pPr>
            <w:r>
              <w:rPr>
                <w:rFonts w:ascii="仿宋_GB2312" w:hAnsi="仿宋_GB2312" w:cs="仿宋_GB2312" w:eastAsia="仿宋_GB2312"/>
              </w:rPr>
              <w:t>14,060.00</w:t>
            </w:r>
          </w:p>
        </w:tc>
        <w:tc>
          <w:tcPr>
            <w:tcW w:type="dxa" w:w="1384"/>
          </w:tcPr>
          <w:p>
            <w:pPr>
              <w:pStyle w:val="null3"/>
            </w:pPr>
            <w:r>
              <w:rPr>
                <w:rFonts w:ascii="仿宋_GB2312" w:hAnsi="仿宋_GB2312" w:cs="仿宋_GB2312" w:eastAsia="仿宋_GB2312"/>
              </w:rPr>
              <w:t>面</w:t>
            </w:r>
          </w:p>
        </w:tc>
        <w:tc>
          <w:tcPr>
            <w:tcW w:type="dxa" w:w="1384"/>
          </w:tcPr>
          <w:p>
            <w:pPr>
              <w:pStyle w:val="null3"/>
            </w:pPr>
            <w:r>
              <w:rPr>
                <w:rFonts w:ascii="仿宋_GB2312" w:hAnsi="仿宋_GB2312" w:cs="仿宋_GB2312" w:eastAsia="仿宋_GB2312"/>
              </w:rPr>
              <w:t>其他未列明行业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349,935.00</w:t>
      </w:r>
    </w:p>
    <w:p>
      <w:pPr>
        <w:pStyle w:val="null3"/>
      </w:pPr>
      <w:r>
        <w:rPr>
          <w:rFonts w:ascii="仿宋_GB2312" w:hAnsi="仿宋_GB2312" w:cs="仿宋_GB2312" w:eastAsia="仿宋_GB2312"/>
        </w:rPr>
        <w:t>采购包最高限价（元）: 349,935.00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鲜花购买及摆放</w:t>
            </w:r>
          </w:p>
        </w:tc>
        <w:tc>
          <w:tcPr>
            <w:tcW w:type="dxa" w:w="1384"/>
          </w:tcPr>
          <w:p>
            <w:pPr>
              <w:pStyle w:val="null3"/>
              <w:jc w:val="right"/>
            </w:pPr>
            <w:r>
              <w:rPr>
                <w:rFonts w:ascii="仿宋_GB2312" w:hAnsi="仿宋_GB2312" w:cs="仿宋_GB2312" w:eastAsia="仿宋_GB2312"/>
              </w:rPr>
              <w:t>1,114.50</w:t>
            </w:r>
          </w:p>
        </w:tc>
        <w:tc>
          <w:tcPr>
            <w:tcW w:type="dxa" w:w="1384"/>
          </w:tcPr>
          <w:p>
            <w:pPr>
              <w:pStyle w:val="null3"/>
              <w:jc w:val="right"/>
            </w:pPr>
            <w:r>
              <w:rPr>
                <w:rFonts w:ascii="仿宋_GB2312" w:hAnsi="仿宋_GB2312" w:cs="仿宋_GB2312" w:eastAsia="仿宋_GB2312"/>
              </w:rPr>
              <w:t>256,335.00</w:t>
            </w:r>
          </w:p>
        </w:tc>
        <w:tc>
          <w:tcPr>
            <w:tcW w:type="dxa" w:w="1384"/>
          </w:tcPr>
          <w:p>
            <w:pPr>
              <w:pStyle w:val="null3"/>
            </w:pPr>
            <w:r>
              <w:rPr>
                <w:rFonts w:ascii="仿宋_GB2312" w:hAnsi="仿宋_GB2312" w:cs="仿宋_GB2312" w:eastAsia="仿宋_GB2312"/>
              </w:rPr>
              <w:t>㎡</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文字摆件</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w:t>
            </w:r>
          </w:p>
        </w:tc>
        <w:tc>
          <w:tcPr>
            <w:tcW w:type="dxa" w:w="1384"/>
          </w:tcPr>
          <w:p>
            <w:pPr>
              <w:pStyle w:val="null3"/>
            </w:pPr>
            <w:r>
              <w:rPr>
                <w:rFonts w:ascii="仿宋_GB2312" w:hAnsi="仿宋_GB2312" w:cs="仿宋_GB2312" w:eastAsia="仿宋_GB2312"/>
              </w:rPr>
              <w:t>套</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3</w:t>
            </w:r>
          </w:p>
        </w:tc>
        <w:tc>
          <w:tcPr>
            <w:tcW w:type="dxa" w:w="1384"/>
          </w:tcPr>
          <w:p>
            <w:pPr>
              <w:pStyle w:val="null3"/>
            </w:pPr>
            <w:r>
              <w:rPr>
                <w:rFonts w:ascii="仿宋_GB2312" w:hAnsi="仿宋_GB2312" w:cs="仿宋_GB2312" w:eastAsia="仿宋_GB2312"/>
              </w:rPr>
              <w:t>文字摆件</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1,600.00</w:t>
            </w:r>
          </w:p>
        </w:tc>
        <w:tc>
          <w:tcPr>
            <w:tcW w:type="dxa" w:w="1384"/>
          </w:tcPr>
          <w:p>
            <w:pPr>
              <w:pStyle w:val="null3"/>
            </w:pPr>
            <w:r>
              <w:rPr>
                <w:rFonts w:ascii="仿宋_GB2312" w:hAnsi="仿宋_GB2312" w:cs="仿宋_GB2312" w:eastAsia="仿宋_GB2312"/>
              </w:rPr>
              <w:t>套</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4</w:t>
            </w:r>
          </w:p>
        </w:tc>
        <w:tc>
          <w:tcPr>
            <w:tcW w:type="dxa" w:w="1384"/>
          </w:tcPr>
          <w:p>
            <w:pPr>
              <w:pStyle w:val="null3"/>
            </w:pPr>
            <w:r>
              <w:rPr>
                <w:rFonts w:ascii="仿宋_GB2312" w:hAnsi="仿宋_GB2312" w:cs="仿宋_GB2312" w:eastAsia="仿宋_GB2312"/>
              </w:rPr>
              <w:t>白色矮围栏</w:t>
            </w:r>
          </w:p>
        </w:tc>
        <w:tc>
          <w:tcPr>
            <w:tcW w:type="dxa" w:w="1384"/>
          </w:tcPr>
          <w:p>
            <w:pPr>
              <w:pStyle w:val="null3"/>
              <w:jc w:val="right"/>
            </w:pPr>
            <w:r>
              <w:rPr>
                <w:rFonts w:ascii="仿宋_GB2312" w:hAnsi="仿宋_GB2312" w:cs="仿宋_GB2312" w:eastAsia="仿宋_GB2312"/>
              </w:rPr>
              <w:t>280.00</w:t>
            </w:r>
          </w:p>
        </w:tc>
        <w:tc>
          <w:tcPr>
            <w:tcW w:type="dxa" w:w="1384"/>
          </w:tcPr>
          <w:p>
            <w:pPr>
              <w:pStyle w:val="null3"/>
              <w:jc w:val="right"/>
            </w:pPr>
            <w:r>
              <w:rPr>
                <w:rFonts w:ascii="仿宋_GB2312" w:hAnsi="仿宋_GB2312" w:cs="仿宋_GB2312" w:eastAsia="仿宋_GB2312"/>
              </w:rPr>
              <w:t>2,800.00</w:t>
            </w:r>
          </w:p>
        </w:tc>
        <w:tc>
          <w:tcPr>
            <w:tcW w:type="dxa" w:w="1384"/>
          </w:tcPr>
          <w:p>
            <w:pPr>
              <w:pStyle w:val="null3"/>
            </w:pPr>
            <w:r>
              <w:rPr>
                <w:rFonts w:ascii="仿宋_GB2312" w:hAnsi="仿宋_GB2312" w:cs="仿宋_GB2312" w:eastAsia="仿宋_GB2312"/>
              </w:rPr>
              <w:t>m</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5</w:t>
            </w:r>
          </w:p>
        </w:tc>
        <w:tc>
          <w:tcPr>
            <w:tcW w:type="dxa" w:w="1384"/>
          </w:tcPr>
          <w:p>
            <w:pPr>
              <w:pStyle w:val="null3"/>
            </w:pPr>
            <w:r>
              <w:rPr>
                <w:rFonts w:ascii="仿宋_GB2312" w:hAnsi="仿宋_GB2312" w:cs="仿宋_GB2312" w:eastAsia="仿宋_GB2312"/>
              </w:rPr>
              <w:t>景观造型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42,000.00</w:t>
            </w:r>
          </w:p>
        </w:tc>
        <w:tc>
          <w:tcPr>
            <w:tcW w:type="dxa" w:w="1384"/>
          </w:tcPr>
          <w:p>
            <w:pPr>
              <w:pStyle w:val="null3"/>
            </w:pPr>
            <w:r>
              <w:rPr>
                <w:rFonts w:ascii="仿宋_GB2312" w:hAnsi="仿宋_GB2312" w:cs="仿宋_GB2312" w:eastAsia="仿宋_GB2312"/>
              </w:rPr>
              <w:t>组</w:t>
            </w:r>
          </w:p>
        </w:tc>
        <w:tc>
          <w:tcPr>
            <w:tcW w:type="dxa" w:w="1384"/>
          </w:tcPr>
          <w:p>
            <w:pPr>
              <w:pStyle w:val="null3"/>
            </w:pPr>
            <w:r>
              <w:rPr>
                <w:rFonts w:ascii="仿宋_GB2312" w:hAnsi="仿宋_GB2312" w:cs="仿宋_GB2312" w:eastAsia="仿宋_GB2312"/>
              </w:rPr>
              <w:t>其他未列明行业</w:t>
            </w:r>
          </w:p>
        </w:tc>
      </w:tr>
      <w:tr>
        <w:tc>
          <w:tcPr>
            <w:tcW w:type="dxa" w:w="1384"/>
          </w:tcPr>
          <w:p>
            <w:pPr>
              <w:pStyle w:val="null3"/>
            </w:pPr>
            <w:r>
              <w:rPr>
                <w:rFonts w:ascii="仿宋_GB2312" w:hAnsi="仿宋_GB2312" w:cs="仿宋_GB2312" w:eastAsia="仿宋_GB2312"/>
              </w:rPr>
              <w:t>6</w:t>
            </w:r>
          </w:p>
        </w:tc>
        <w:tc>
          <w:tcPr>
            <w:tcW w:type="dxa" w:w="1384"/>
          </w:tcPr>
          <w:p>
            <w:pPr>
              <w:pStyle w:val="null3"/>
            </w:pPr>
            <w:r>
              <w:rPr>
                <w:rFonts w:ascii="仿宋_GB2312" w:hAnsi="仿宋_GB2312" w:cs="仿宋_GB2312" w:eastAsia="仿宋_GB2312"/>
              </w:rPr>
              <w:t>红旗造型</w:t>
            </w:r>
          </w:p>
        </w:tc>
        <w:tc>
          <w:tcPr>
            <w:tcW w:type="dxa" w:w="1384"/>
          </w:tcPr>
          <w:p>
            <w:pPr>
              <w:pStyle w:val="null3"/>
              <w:jc w:val="right"/>
            </w:pPr>
            <w:r>
              <w:rPr>
                <w:rFonts w:ascii="仿宋_GB2312" w:hAnsi="仿宋_GB2312" w:cs="仿宋_GB2312" w:eastAsia="仿宋_GB2312"/>
              </w:rPr>
              <w:t>2.00</w:t>
            </w:r>
          </w:p>
        </w:tc>
        <w:tc>
          <w:tcPr>
            <w:tcW w:type="dxa" w:w="1384"/>
          </w:tcPr>
          <w:p>
            <w:pPr>
              <w:pStyle w:val="null3"/>
              <w:jc w:val="right"/>
            </w:pPr>
            <w:r>
              <w:rPr>
                <w:rFonts w:ascii="仿宋_GB2312" w:hAnsi="仿宋_GB2312" w:cs="仿宋_GB2312" w:eastAsia="仿宋_GB2312"/>
              </w:rPr>
              <w:t>46,200.00</w:t>
            </w:r>
          </w:p>
        </w:tc>
        <w:tc>
          <w:tcPr>
            <w:tcW w:type="dxa" w:w="1384"/>
          </w:tcPr>
          <w:p>
            <w:pPr>
              <w:pStyle w:val="null3"/>
            </w:pPr>
            <w:r>
              <w:rPr>
                <w:rFonts w:ascii="仿宋_GB2312" w:hAnsi="仿宋_GB2312" w:cs="仿宋_GB2312" w:eastAsia="仿宋_GB2312"/>
              </w:rPr>
              <w:t>组</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标的名称：道路灯杆悬挂4号国旗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1、道路灯杆悬挂</w:t>
            </w:r>
            <w:r>
              <w:rPr>
                <w:rFonts w:ascii="仿宋_GB2312" w:hAnsi="仿宋_GB2312" w:cs="仿宋_GB2312" w:eastAsia="仿宋_GB2312"/>
                <w:sz w:val="24"/>
              </w:rPr>
              <w:t>4号国旗（1440*960mm）2013套（4026面）</w:t>
            </w:r>
          </w:p>
          <w:p>
            <w:pPr>
              <w:pStyle w:val="null3"/>
            </w:pPr>
            <w:r>
              <w:rPr>
                <w:rFonts w:ascii="仿宋_GB2312" w:hAnsi="仿宋_GB2312" w:cs="仿宋_GB2312" w:eastAsia="仿宋_GB2312"/>
                <w:sz w:val="24"/>
              </w:rPr>
              <w:t>2、</w:t>
            </w:r>
            <w:r>
              <w:rPr>
                <w:rFonts w:ascii="仿宋_GB2312" w:hAnsi="仿宋_GB2312" w:cs="仿宋_GB2312" w:eastAsia="仿宋_GB2312"/>
                <w:sz w:val="24"/>
              </w:rPr>
              <w:t>采购产品：中华人民共和国标准国旗（符合国家</w:t>
            </w:r>
            <w:r>
              <w:rPr>
                <w:rFonts w:ascii="仿宋_GB2312" w:hAnsi="仿宋_GB2312" w:cs="仿宋_GB2312" w:eastAsia="仿宋_GB2312"/>
                <w:sz w:val="24"/>
              </w:rPr>
              <w:t>GB 12982-2004 国旗制作标准）</w:t>
            </w:r>
          </w:p>
        </w:tc>
      </w:tr>
    </w:tbl>
    <w:p>
      <w:pPr>
        <w:pStyle w:val="null3"/>
      </w:pPr>
      <w:r>
        <w:rPr>
          <w:rFonts w:ascii="仿宋_GB2312" w:hAnsi="仿宋_GB2312" w:cs="仿宋_GB2312" w:eastAsia="仿宋_GB2312"/>
        </w:rPr>
        <w:t>标的名称：三座大桥桥柱护栏安装4号国旗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1、3座大桥安装4号国旗981面（4m-4.5m长镀锌钢立管）</w:t>
            </w:r>
          </w:p>
          <w:p>
            <w:pPr>
              <w:pStyle w:val="null3"/>
            </w:pPr>
            <w:r>
              <w:rPr>
                <w:rFonts w:ascii="仿宋_GB2312" w:hAnsi="仿宋_GB2312" w:cs="仿宋_GB2312" w:eastAsia="仿宋_GB2312"/>
                <w:sz w:val="24"/>
              </w:rPr>
              <w:t>2、</w:t>
            </w:r>
            <w:r>
              <w:rPr>
                <w:rFonts w:ascii="仿宋_GB2312" w:hAnsi="仿宋_GB2312" w:cs="仿宋_GB2312" w:eastAsia="仿宋_GB2312"/>
                <w:sz w:val="24"/>
              </w:rPr>
              <w:t>采购产品：中华人民共和国标准国旗（符合国家</w:t>
            </w:r>
            <w:r>
              <w:rPr>
                <w:rFonts w:ascii="仿宋_GB2312" w:hAnsi="仿宋_GB2312" w:cs="仿宋_GB2312" w:eastAsia="仿宋_GB2312"/>
                <w:sz w:val="24"/>
              </w:rPr>
              <w:t>GB 12982-2004 国旗制作标准）</w:t>
            </w:r>
          </w:p>
        </w:tc>
      </w:tr>
    </w:tbl>
    <w:p>
      <w:pPr>
        <w:pStyle w:val="null3"/>
      </w:pPr>
      <w:r>
        <w:rPr>
          <w:rFonts w:ascii="仿宋_GB2312" w:hAnsi="仿宋_GB2312" w:cs="仿宋_GB2312" w:eastAsia="仿宋_GB2312"/>
        </w:rPr>
        <w:t>标的名称：2号国旗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2号国旗3面（240cm*160cm，3.5m长镀锌钢立管）</w:t>
            </w:r>
          </w:p>
          <w:p>
            <w:pPr>
              <w:pStyle w:val="null3"/>
            </w:pPr>
            <w:r>
              <w:rPr>
                <w:rFonts w:ascii="仿宋_GB2312" w:hAnsi="仿宋_GB2312" w:cs="仿宋_GB2312" w:eastAsia="仿宋_GB2312"/>
                <w:sz w:val="24"/>
              </w:rPr>
              <w:t>2、</w:t>
            </w:r>
            <w:r>
              <w:rPr>
                <w:rFonts w:ascii="仿宋_GB2312" w:hAnsi="仿宋_GB2312" w:cs="仿宋_GB2312" w:eastAsia="仿宋_GB2312"/>
                <w:sz w:val="24"/>
              </w:rPr>
              <w:t>采购产品：中华人民共和国标准国旗（符合国家</w:t>
            </w:r>
            <w:r>
              <w:rPr>
                <w:rFonts w:ascii="仿宋_GB2312" w:hAnsi="仿宋_GB2312" w:cs="仿宋_GB2312" w:eastAsia="仿宋_GB2312"/>
                <w:sz w:val="24"/>
              </w:rPr>
              <w:t>GB 12982-2004 国旗制作标准）</w:t>
            </w:r>
          </w:p>
        </w:tc>
      </w:tr>
    </w:tbl>
    <w:p>
      <w:pPr>
        <w:pStyle w:val="null3"/>
      </w:pPr>
      <w:r>
        <w:rPr>
          <w:rFonts w:ascii="仿宋_GB2312" w:hAnsi="仿宋_GB2312" w:cs="仿宋_GB2312" w:eastAsia="仿宋_GB2312"/>
        </w:rPr>
        <w:t>标的名称：3号红色彩旗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市委、市政府、市人大、市政协楼顶安装</w:t>
            </w:r>
            <w:r>
              <w:rPr>
                <w:rFonts w:ascii="仿宋_GB2312" w:hAnsi="仿宋_GB2312" w:cs="仿宋_GB2312" w:eastAsia="仿宋_GB2312"/>
                <w:sz w:val="24"/>
              </w:rPr>
              <w:t>3号红色彩旗148面（192cm*128cm，3m长方钢立管）</w:t>
            </w:r>
          </w:p>
          <w:p>
            <w:pPr>
              <w:pStyle w:val="null3"/>
            </w:pPr>
            <w:r>
              <w:rPr>
                <w:rFonts w:ascii="仿宋_GB2312" w:hAnsi="仿宋_GB2312" w:cs="仿宋_GB2312" w:eastAsia="仿宋_GB2312"/>
                <w:sz w:val="24"/>
              </w:rPr>
              <w:t>2、</w:t>
            </w:r>
            <w:r>
              <w:rPr>
                <w:rFonts w:ascii="仿宋_GB2312" w:hAnsi="仿宋_GB2312" w:cs="仿宋_GB2312" w:eastAsia="仿宋_GB2312"/>
                <w:sz w:val="24"/>
              </w:rPr>
              <w:t>采购产品：中华人民共和国标准国旗（符合国家</w:t>
            </w:r>
            <w:r>
              <w:rPr>
                <w:rFonts w:ascii="仿宋_GB2312" w:hAnsi="仿宋_GB2312" w:cs="仿宋_GB2312" w:eastAsia="仿宋_GB2312"/>
                <w:sz w:val="24"/>
              </w:rPr>
              <w:t>GB 12982-2004 国旗制作标准）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标的名称：鲜花购买及摆放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鲜花摆放，计划在天汉楼广场、褒斜路路口（滨江西路）、街心花园</w:t>
            </w:r>
            <w:r>
              <w:rPr>
                <w:rFonts w:ascii="仿宋_GB2312" w:hAnsi="仿宋_GB2312" w:cs="仿宋_GB2312" w:eastAsia="仿宋_GB2312"/>
                <w:sz w:val="24"/>
              </w:rPr>
              <w:t>3个重要节点摆放鲜花花坛，景观造型1组，标识字体2组，共计鲜花摆放面积1114.5㎡。国庆期间主要使用鲜花品种：</w:t>
            </w:r>
            <w:r>
              <w:rPr>
                <w:rFonts w:ascii="仿宋_GB2312" w:hAnsi="仿宋_GB2312" w:cs="仿宋_GB2312" w:eastAsia="仿宋_GB2312"/>
                <w:sz w:val="24"/>
                <w:b/>
                <w:u w:val="single"/>
              </w:rPr>
              <w:t>孔雀草、一串红、青葙、西洋鹃、玻璃海棠、矮牵牛、彩叶草等时令花卉</w:t>
            </w:r>
            <w:r>
              <w:rPr>
                <w:rFonts w:ascii="仿宋_GB2312" w:hAnsi="仿宋_GB2312" w:cs="仿宋_GB2312" w:eastAsia="仿宋_GB2312"/>
                <w:sz w:val="24"/>
              </w:rPr>
              <w:t>（苗高约</w:t>
            </w:r>
            <w:r>
              <w:rPr>
                <w:rFonts w:ascii="仿宋_GB2312" w:hAnsi="仿宋_GB2312" w:cs="仿宋_GB2312" w:eastAsia="仿宋_GB2312"/>
                <w:sz w:val="24"/>
              </w:rPr>
              <w:t>20cm左右，杯径≥10cm，摆放密度100株/㎡）；</w:t>
            </w:r>
          </w:p>
        </w:tc>
      </w:tr>
    </w:tbl>
    <w:p>
      <w:pPr>
        <w:pStyle w:val="null3"/>
      </w:pPr>
      <w:r>
        <w:rPr>
          <w:rFonts w:ascii="仿宋_GB2312" w:hAnsi="仿宋_GB2312" w:cs="仿宋_GB2312" w:eastAsia="仿宋_GB2312"/>
        </w:rPr>
        <w:t>标的名称：文字摆件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1、字体长宽为1.5米，材质采用PVC板制作，骨架采用钢构件。</w:t>
            </w:r>
          </w:p>
        </w:tc>
      </w:tr>
    </w:tbl>
    <w:p>
      <w:pPr>
        <w:pStyle w:val="null3"/>
      </w:pPr>
      <w:r>
        <w:rPr>
          <w:rFonts w:ascii="仿宋_GB2312" w:hAnsi="仿宋_GB2312" w:cs="仿宋_GB2312" w:eastAsia="仿宋_GB2312"/>
        </w:rPr>
        <w:t>标的名称：文字摆件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1、字体长宽为1.5米，材质采用PVC板制作，骨架采用钢构件。</w:t>
            </w:r>
          </w:p>
        </w:tc>
      </w:tr>
    </w:tbl>
    <w:p>
      <w:pPr>
        <w:pStyle w:val="null3"/>
      </w:pPr>
      <w:r>
        <w:rPr>
          <w:rFonts w:ascii="仿宋_GB2312" w:hAnsi="仿宋_GB2312" w:cs="仿宋_GB2312" w:eastAsia="仿宋_GB2312"/>
        </w:rPr>
        <w:t>标的名称：白色矮围栏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1、设计长度280m，采用白色PVC材质板制作。</w:t>
            </w:r>
          </w:p>
        </w:tc>
      </w:tr>
    </w:tbl>
    <w:p>
      <w:pPr>
        <w:pStyle w:val="null3"/>
      </w:pPr>
      <w:r>
        <w:rPr>
          <w:rFonts w:ascii="仿宋_GB2312" w:hAnsi="仿宋_GB2312" w:cs="仿宋_GB2312" w:eastAsia="仿宋_GB2312"/>
        </w:rPr>
        <w:t>标的名称：景观造型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1、尺寸为1080长*540高*70宽cm，上部造型30cm厚。材质采用PVC板制作。骨架采用钢构件。</w:t>
            </w:r>
          </w:p>
        </w:tc>
      </w:tr>
    </w:tbl>
    <w:p>
      <w:pPr>
        <w:pStyle w:val="null3"/>
      </w:pPr>
      <w:r>
        <w:rPr>
          <w:rFonts w:ascii="仿宋_GB2312" w:hAnsi="仿宋_GB2312" w:cs="仿宋_GB2312" w:eastAsia="仿宋_GB2312"/>
        </w:rPr>
        <w:t>标的名称：红旗造型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1、红旗造型：尺寸为800长*440高*70宽cm，上部造型11cm厚。材质采用PVC板制作。骨架采用钢构件。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施工范围：工程量清单全部内容；竣工验收达到采购人需求合格标准。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施工范围：工程量清单全部内容；竣工验收达到采购人需求合格标准。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一、采购包1：1、施工日期：计划开工日期：合同签订后后次日开工，计划竣工日期：开工后 5 日历天完成。:2、工期总日历天数：5 日历天。3、后期维护天数：45日历天。 采购包2：1、施工日期：计划开工日期：合同签订后后次日开工，计划竣工日期：开工后 5 日历天完成。2、工期总日历天数：5 日历天。3、后期维护及养护天数：45日历天。 二、漏项处理：施工过程中发现工程量清单存在漏项工程的，该漏项工程作为本项目采购的组成部分，采购人和供应商可以按照双方合同的规定协商解决。 三、本项目工程量清单非软件版编制，供应商依据磋商文件附件中工程量清单表格及说明内容进行报价填写并加盖公章。供应商报价超过政府采购预算或最高限价的，其响应文件按无效处理。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1.特别注意:为顺利推进政府采购电⼦化交易平台应⽤⼯作，供应商需要在线提交所有通过电⼦化交易平台实施的政府采购项⽬的磋商响应⽂件。 2.成交供应商在采购结果发布后3个⼯作⽇内向代理机构提交纸质版响应⽂件以便于存档，响应⽂件正本1份，副本2份(可以使⽤签章⽂件直接打印)，电⼦版⽂件1份(以U盘为载体，PDF格式)，纸质响应⽂件均须A4纸打印，分别各⾃装订成册并编制⽬录和⻚码。线下递交响应⽂件地点：陕西⿍慧源⼯程项⽬管理有限公司(汉中市汉台区滨江印象西⻔五楼。 3.如磋商⽂件中融资相关内容与新政策要求有出⼊，按照最新要求执⾏。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属性为：⼯程类；本项⽬采购标的所属⾏业为：其他未列明行业；根据《政府采购促进中⼩企业发展管理办法》（财库﹝2020﹞46号）第⼗⼀条相关规定。中⼩企业参加政府采购活动，应当出具有效的《中⼩企业声明函》，才可以通过资格审查并享受中⼩企业扶持政策（声明函附进磋商响应⽂件内）。 注：供应商对所提交的《中⼩企业声明函》声明内容的真实性负责。如有虚假，将依法承担相应责任。</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属性为：⼯程类；本项⽬采购标的所属⾏业为：其他未列明行业；根据《政府采购促进中⼩企业发展管理办法》（财库﹝2020﹞46号）第⼗⼀条相关规定。中⼩企业参加政府采购活动，应当出具有效的《中⼩企业声明函》，才可以通过资格审查并享受中⼩企业扶持政策（声明函附进磋商响应⽂件内）。 注：供应商对所提交的《中⼩企业声明函》声明内容的真实性负责。如有虚假，将依法承担相应责任。</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 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供应商应提交的相关资格证明材料采购包1.pdf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供应商应提交的相关资格证明材料采购包1.pdf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拟派项目负责人专业要求</w:t>
            </w:r>
          </w:p>
        </w:tc>
        <w:tc>
          <w:tcPr>
            <w:tcW w:type="dxa" w:w="3322"/>
          </w:tcPr>
          <w:p>
            <w:pPr>
              <w:pStyle w:val="null3"/>
            </w:pPr>
            <w:r>
              <w:rPr>
                <w:rFonts w:ascii="仿宋_GB2312" w:hAnsi="仿宋_GB2312" w:cs="仿宋_GB2312" w:eastAsia="仿宋_GB2312"/>
              </w:rPr>
              <w:t>拟派项目负责人须具有工程类相关专业中级及以上工程师职称；</w:t>
            </w:r>
          </w:p>
        </w:tc>
        <w:tc>
          <w:tcPr>
            <w:tcW w:type="dxa" w:w="1661"/>
          </w:tcPr>
          <w:p>
            <w:pPr>
              <w:pStyle w:val="null3"/>
            </w:pPr>
            <w:r>
              <w:rPr>
                <w:rFonts w:ascii="仿宋_GB2312" w:hAnsi="仿宋_GB2312" w:cs="仿宋_GB2312" w:eastAsia="仿宋_GB2312"/>
              </w:rPr>
              <w:t>供应商应提交的相关资格证明材料采购包1.pdf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供应商应提交的相关资格证明材料采购包1.pdf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 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供应商应提交的相关资格证明材料采购包2.pdf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供应商应提交的相关资格证明材料采购包2.pdf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拟派项目负责人专业要求</w:t>
            </w:r>
          </w:p>
        </w:tc>
        <w:tc>
          <w:tcPr>
            <w:tcW w:type="dxa" w:w="3322"/>
          </w:tcPr>
          <w:p>
            <w:pPr>
              <w:pStyle w:val="null3"/>
            </w:pPr>
            <w:r>
              <w:rPr>
                <w:rFonts w:ascii="仿宋_GB2312" w:hAnsi="仿宋_GB2312" w:cs="仿宋_GB2312" w:eastAsia="仿宋_GB2312"/>
              </w:rPr>
              <w:t>拟派项目负责人需具备园林绿化/风景园林/园艺/林学相关专业中级及以上职称；</w:t>
            </w:r>
          </w:p>
        </w:tc>
        <w:tc>
          <w:tcPr>
            <w:tcW w:type="dxa" w:w="1661"/>
          </w:tcPr>
          <w:p>
            <w:pPr>
              <w:pStyle w:val="null3"/>
            </w:pPr>
            <w:r>
              <w:rPr>
                <w:rFonts w:ascii="仿宋_GB2312" w:hAnsi="仿宋_GB2312" w:cs="仿宋_GB2312" w:eastAsia="仿宋_GB2312"/>
              </w:rPr>
              <w:t>供应商应提交的相关资格证明材料采购包2.pdf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供应商应提交的相关资格证明材料采购包2.pdf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已标价工程量清单 其他材料及供应商认为有必要说明、阐述的事项.pdf 中小企业声明函 技术投标方案.pdf 业绩证明.pdf 响应文件封面 磋商项目技术、服务、商务及其他要求应答表.docx 残疾人福利性单位声明函 报价函 标的清单 响应函 供应商应提交的相关资格证明材料采购包1.pdf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 xml:space="preserve"> 响应文件是否符合竞争性磋商文件签字、盖章要求</w:t>
            </w:r>
          </w:p>
        </w:tc>
        <w:tc>
          <w:tcPr>
            <w:tcW w:type="dxa" w:w="1661"/>
          </w:tcPr>
          <w:p>
            <w:pPr>
              <w:pStyle w:val="null3"/>
            </w:pPr>
            <w:r>
              <w:rPr>
                <w:rFonts w:ascii="仿宋_GB2312" w:hAnsi="仿宋_GB2312" w:cs="仿宋_GB2312" w:eastAsia="仿宋_GB2312"/>
              </w:rPr>
              <w:t>已标价工程量清单 其他材料及供应商认为有必要说明、阐述的事项.pdf 中小企业声明函 供应商应提交的相关资格证明材料采购包2.pdf 技术投标方案.pdf 业绩证明.pdf 响应文件封面 磋商项目技术、服务、商务及其他要求应答表.docx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针对本项目提供施工方案，包含①项目总体概况表述；②施工方法；③工程重难点及解决措施；④施工质量通病防治措施。施工方案共4项。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针对本项目提供质量保证措施，包含①质量管理工作流程；②工程质量保障方案；③工程质量控制体系；④各施工阶段质量管理措施。质量保证措施共4项。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工期技术组织措施</w:t>
            </w:r>
          </w:p>
        </w:tc>
        <w:tc>
          <w:tcPr>
            <w:tcW w:type="dxa" w:w="2492"/>
          </w:tcPr>
          <w:p>
            <w:pPr>
              <w:pStyle w:val="null3"/>
            </w:pPr>
            <w:r>
              <w:rPr>
                <w:rFonts w:ascii="仿宋_GB2312" w:hAnsi="仿宋_GB2312" w:cs="仿宋_GB2312" w:eastAsia="仿宋_GB2312"/>
              </w:rPr>
              <w:t>针对本项目提供进度保证措施，包含①工期计划安排；②工期保障；③关键节点计划措施；④遇夜间、雨季、高温等情况的工期保证措施。进度保证措施共4项。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针对本项目提供安全文明施工保证措施，包含①安全文明施工管理制度；②安全文明施工措施；③安全应急预案；④安全生产教育培训。安全文明施工保证措施共4项。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项目部组成及劳动力安排计划</w:t>
            </w:r>
          </w:p>
        </w:tc>
        <w:tc>
          <w:tcPr>
            <w:tcW w:type="dxa" w:w="2492"/>
          </w:tcPr>
          <w:p>
            <w:pPr>
              <w:pStyle w:val="null3"/>
            </w:pPr>
            <w:r>
              <w:rPr>
                <w:rFonts w:ascii="仿宋_GB2312" w:hAnsi="仿宋_GB2312" w:cs="仿宋_GB2312" w:eastAsia="仿宋_GB2312"/>
              </w:rPr>
              <w:t>针对本项目提供项目管理机构，包含①项目部组成及劳动力安排；②人员职责分工；③专业作业队配置及实名制管理。项目管理机构共3项。 评审标准：以上内容切合本项目实际情况及实施要求，内容与要点相符、每个要点均有展开详细的阐述且能够适用于本项目的计6分。评审内容任意一项缺项扣2分，扣完为止；评审内容任意一项有缺陷扣0.5分。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针对本项目提供环境保护措施，包含①环境保护管理体系 ②环境保护管理要点③环境保护保障方案等。环境保护措施共3项。 评审标准：以上内容切合本项目实际情况及实施要求，内容与要点相符、每个要点均有展开详细的阐述且能够适用于本项目的计6分。评审内容任意一项缺项扣2分，扣完为止；评审内容任意一项有缺陷扣0.5分。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针对本项目作出合理有效的施工承诺（主要为不得拖欠施工人员工资、为施工人员缴纳保险等），每提供1项计2.5分，最高计5分；未提供不计分。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3.供应商报价得分=（评标基准价/报价）×30。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针对本项目提供施工方案，包含①项目总体概况表述；②施工方法；③工程重难点及解决措施；④施工质量通病防治措施。施工方案共4项。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针对本项目提供质量保证措施，包含①质量管理工作流程；②工程质量保障方案；③工程质量控制体系；④各施工阶段质量管理措施。质量保证措施共4项。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工期技术组织措施</w:t>
            </w:r>
          </w:p>
        </w:tc>
        <w:tc>
          <w:tcPr>
            <w:tcW w:type="dxa" w:w="2492"/>
          </w:tcPr>
          <w:p>
            <w:pPr>
              <w:pStyle w:val="null3"/>
            </w:pPr>
            <w:r>
              <w:rPr>
                <w:rFonts w:ascii="仿宋_GB2312" w:hAnsi="仿宋_GB2312" w:cs="仿宋_GB2312" w:eastAsia="仿宋_GB2312"/>
              </w:rPr>
              <w:t>针对本项目提供进度保证措施，包含①工期计划安排；②工期保障；③关键节点计划措施；④遇夜间、雨季、高温等情况的工期保证措施。进度保证措施共4项。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针对本项目提供安全文明施工保证措施，包含①安全文明施工管理制度；②安全文明施工措施；③安全应急预案；④安全生产教育培训。安全文明施工保证措施共4项。 评审标准：以上内容切合本项目实际情况及实施要求，内容与要点相符、每个要点均有展开详细的阐述且能够适用于本项目的计12分。评审内容任意一项缺项扣3分，扣完为止；评审内容任意一项有缺陷扣1分。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项目部组成及劳动力安排计划</w:t>
            </w:r>
          </w:p>
        </w:tc>
        <w:tc>
          <w:tcPr>
            <w:tcW w:type="dxa" w:w="2492"/>
          </w:tcPr>
          <w:p>
            <w:pPr>
              <w:pStyle w:val="null3"/>
            </w:pPr>
            <w:r>
              <w:rPr>
                <w:rFonts w:ascii="仿宋_GB2312" w:hAnsi="仿宋_GB2312" w:cs="仿宋_GB2312" w:eastAsia="仿宋_GB2312"/>
              </w:rPr>
              <w:t>针对本项目提供项目管理机构，包含①项目部组成及劳动力安排；②人员职责分工；③专业作业队配置及实名制管理。项目管理机构共3项。 评审标准：以上内容切合本项目实际情况及实施要求，内容与要点相符、每个要点均有展开详细的阐述且能够适用于本项目的计6分。评审内容任意一项缺项扣2分，扣完为止；评审内容任意一项有缺陷扣0.5分。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针对本项目提供环境保护措施，包含①环境保护管理体系 ②环境保护管理要点③环境保护保障方案等。环境保护措施共3项。 评审标准：以上内容切合本项目实际情况及实施要求，内容与要点相符、每个要点均有展开详细的阐述且能够适用于本项目的计6分。评审内容任意一项缺项扣2分，扣完为止；评审内容任意一项有缺陷扣0.5分。 未提供或只有标题没有实质性内容的不得分。注：“缺陷”是指⽅案内容有以下任意⼀种情形：① ⽅案中存在与本采购项⽬明显⽆关的 ⽂字内容或适⽤（引⽤）的规范及标准错误或已废⽌；②内容未根据本采购项⽬需求编写或与本采购项⽬需求不符或⽆关；③仅有框架或缺少关键环节点；④复制或套⽤其他项⽬内容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针对本项目作出合理有效的施工承诺（主要为不得拖欠施工人员工资、为施工人员缴纳保险等），每提供1项计2.5分，最高计5分；未提供不计分。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3.供应商报价得分=（评标基准价/报价）×30。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详见附件：供应商应提交的相关资格证明材料采购包1.pdf</w:t>
      </w:r>
    </w:p>
    <w:p>
      <w:pPr>
        <w:pStyle w:val="null3"/>
        <w:ind w:firstLine="960"/>
      </w:pPr>
      <w:r>
        <w:rPr>
          <w:rFonts w:ascii="仿宋_GB2312" w:hAnsi="仿宋_GB2312" w:cs="仿宋_GB2312" w:eastAsia="仿宋_GB2312"/>
        </w:rPr>
        <w:t>详见附件：磋商项目技术、服务、商务及其他要求应答表.docx</w:t>
      </w:r>
    </w:p>
    <w:p>
      <w:pPr>
        <w:pStyle w:val="null3"/>
        <w:ind w:firstLine="960"/>
      </w:pPr>
      <w:r>
        <w:rPr>
          <w:rFonts w:ascii="仿宋_GB2312" w:hAnsi="仿宋_GB2312" w:cs="仿宋_GB2312" w:eastAsia="仿宋_GB2312"/>
        </w:rPr>
        <w:t>详见附件：技术投标方案.pdf</w:t>
      </w:r>
    </w:p>
    <w:p>
      <w:pPr>
        <w:pStyle w:val="null3"/>
        <w:ind w:firstLine="960"/>
      </w:pPr>
      <w:r>
        <w:rPr>
          <w:rFonts w:ascii="仿宋_GB2312" w:hAnsi="仿宋_GB2312" w:cs="仿宋_GB2312" w:eastAsia="仿宋_GB2312"/>
        </w:rPr>
        <w:t>详见附件：业绩证明.pdf</w:t>
      </w:r>
    </w:p>
    <w:p>
      <w:pPr>
        <w:pStyle w:val="null3"/>
        <w:ind w:firstLine="960"/>
      </w:pPr>
      <w:r>
        <w:rPr>
          <w:rFonts w:ascii="仿宋_GB2312" w:hAnsi="仿宋_GB2312" w:cs="仿宋_GB2312" w:eastAsia="仿宋_GB2312"/>
        </w:rPr>
        <w:t>详见附件：其他材料及供应商认为有必要说明、阐述的事项.pdf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详见附件：供应商应提交的相关资格证明材料采购包2.pdf</w:t>
      </w:r>
    </w:p>
    <w:p>
      <w:pPr>
        <w:pStyle w:val="null3"/>
        <w:ind w:firstLine="960"/>
      </w:pPr>
      <w:r>
        <w:rPr>
          <w:rFonts w:ascii="仿宋_GB2312" w:hAnsi="仿宋_GB2312" w:cs="仿宋_GB2312" w:eastAsia="仿宋_GB2312"/>
        </w:rPr>
        <w:t>详见附件：磋商项目技术、服务、商务及其他要求应答表.docx</w:t>
      </w:r>
    </w:p>
    <w:p>
      <w:pPr>
        <w:pStyle w:val="null3"/>
        <w:ind w:firstLine="960"/>
      </w:pPr>
      <w:r>
        <w:rPr>
          <w:rFonts w:ascii="仿宋_GB2312" w:hAnsi="仿宋_GB2312" w:cs="仿宋_GB2312" w:eastAsia="仿宋_GB2312"/>
        </w:rPr>
        <w:t>详见附件：技术投标方案.pdf</w:t>
      </w:r>
    </w:p>
    <w:p>
      <w:pPr>
        <w:pStyle w:val="null3"/>
        <w:ind w:firstLine="960"/>
      </w:pPr>
      <w:r>
        <w:rPr>
          <w:rFonts w:ascii="仿宋_GB2312" w:hAnsi="仿宋_GB2312" w:cs="仿宋_GB2312" w:eastAsia="仿宋_GB2312"/>
        </w:rPr>
        <w:t>详见附件：业绩证明.pdf</w:t>
      </w:r>
    </w:p>
    <w:p>
      <w:pPr>
        <w:pStyle w:val="null3"/>
        <w:ind w:firstLine="960"/>
      </w:pPr>
      <w:r>
        <w:rPr>
          <w:rFonts w:ascii="仿宋_GB2312" w:hAnsi="仿宋_GB2312" w:cs="仿宋_GB2312" w:eastAsia="仿宋_GB2312"/>
        </w:rPr>
        <w:t>详见附件：其他材料及供应商认为有必要说明、阐述的事项.pdf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详见附件：2026年汉中市中心城区国庆氛围营造项目-合同.docx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