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版本号：ZJGS-ZB-2026（14）20260609001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阎良区聚宝小学运动场改造项目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ZJGS-ZB-2026（14）</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阎良区聚宝小学运动场改造项目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ZJGS-ZB-2026（14）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阎良区聚宝小学运动场改造项目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阎良区聚宝小学运动场改造项目主要包括拆除原有足球场地、跑道以及辅赛区面层至混凝土基层表面、拆除原有篮球场、羽毛球场地硅PU面层至混凝土基层表面、面层更新、运动场部分区域基层破损沉降需拆除并修复、运动场内原有铅球场地拆除,更新为跳远场地、运动场看台木座椅需更换、排水沟清淤、室外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采购包1（阎良区聚宝小学运动场改造项目）：属于专门面向中小企业采购。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1、供应商营业执照：供应商须具有独立承担民事责任能力的法人、其他组织或自然人，提供营业执照/事业单位法人证书/非企业专业服务机构执业许可证/自然人身份证。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供应商应授权合法的人员参加磋商全过程，其中法定代表人直接参加磋商的，须出具法人身份证复印件，并与营业执照上信息一致。法定代表人授权代表参加磋商的，须出具法定代表人授权书。</w:t>
      </w:r>
    </w:p>
    <w:p>
      <w:pPr>
        <w:pStyle w:val="null3"/>
      </w:pPr>
      <w:r>
        <w:rPr>
          <w:rFonts w:ascii="仿宋_GB2312" w:hAnsi="仿宋_GB2312" w:cs="仿宋_GB2312" w:eastAsia="仿宋_GB2312"/>
        </w:rPr>
        <w:t>3、财务状况报告：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p>
      <w:pPr>
        <w:pStyle w:val="null3"/>
      </w:pPr>
      <w:r>
        <w:rPr>
          <w:rFonts w:ascii="仿宋_GB2312" w:hAnsi="仿宋_GB2312" w:cs="仿宋_GB2312" w:eastAsia="仿宋_GB2312"/>
        </w:rPr>
        <w:t>4、税收缴纳证明：供应商提交响应文件截止时间前一年内至少一个月的纳税证明或完税证明，纳税证明或完税证明上应有代收机构或税务机关的公章或业务专用章。（依法免税的供应商应提供相应文件证明）。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保缴纳证明：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6、企业资质：供应商具备建设行政主管部门颁发的建筑工程施工总承包三级及以上资质；同时具有合格有效的安全生产许可证。</w:t>
      </w:r>
    </w:p>
    <w:p>
      <w:pPr>
        <w:pStyle w:val="null3"/>
      </w:pPr>
      <w:r>
        <w:rPr>
          <w:rFonts w:ascii="仿宋_GB2312" w:hAnsi="仿宋_GB2312" w:cs="仿宋_GB2312" w:eastAsia="仿宋_GB2312"/>
        </w:rPr>
        <w:t>7、拟派项目经理：拟派项目经理须具有建筑工程专业二级及以上注册建造师证书及有效的安全生产考核证书（B证）在本单位注册，且无在建工程（提供无在建工程承诺书）。</w:t>
      </w:r>
    </w:p>
    <w:p>
      <w:pPr>
        <w:pStyle w:val="null3"/>
      </w:pPr>
      <w:r>
        <w:rPr>
          <w:rFonts w:ascii="仿宋_GB2312" w:hAnsi="仿宋_GB2312" w:cs="仿宋_GB2312" w:eastAsia="仿宋_GB2312"/>
        </w:rPr>
        <w:t>8、信用查询：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p>
      <w:pPr>
        <w:pStyle w:val="null3"/>
      </w:pPr>
      <w:r>
        <w:rPr>
          <w:rFonts w:ascii="仿宋_GB2312" w:hAnsi="仿宋_GB2312" w:cs="仿宋_GB2312" w:eastAsia="仿宋_GB2312"/>
        </w:rPr>
        <w:t>9、书面声明：提供参加政府采购活动前3年内在经营活动中没有重大违法记录的书面声明。</w:t>
      </w:r>
    </w:p>
    <w:p>
      <w:pPr>
        <w:pStyle w:val="null3"/>
      </w:pPr>
      <w:r>
        <w:rPr>
          <w:rFonts w:ascii="仿宋_GB2312" w:hAnsi="仿宋_GB2312" w:cs="仿宋_GB2312" w:eastAsia="仿宋_GB2312"/>
        </w:rPr>
        <w:t>10、履行合同承诺函：具有履行合同所必需的设备和专业技术能力，提供承诺书。</w:t>
      </w:r>
    </w:p>
    <w:p>
      <w:pPr>
        <w:pStyle w:val="null3"/>
      </w:pPr>
      <w:r>
        <w:rPr>
          <w:rFonts w:ascii="仿宋_GB2312" w:hAnsi="仿宋_GB2312" w:cs="仿宋_GB2312" w:eastAsia="仿宋_GB2312"/>
        </w:rPr>
        <w:t>11、控股管理关系：本项目不接受联合体磋商，单位负责人为同一人或者存在控股、管理关系的不同单位不得同时参加磋商，提供承诺或相关说明并加盖公章。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13891991776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李彤、杨梅英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17792053809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采购包1：1,422,395.86元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国家计划委员会文件《招标代理服务收费管理暂行办法》（计价格[2002]1980号）规定的标准计取；造价咨询服务费按陕西省物价局陕西省住房和城乡建设厅文件《关于我省工程造价咨询服务收费标准有关问题的通知》（陕价行发〔2014〕88号）规定的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联系人：李彤、杨梅英</w:t>
      </w:r>
    </w:p>
    <w:p>
      <w:pPr>
        <w:pStyle w:val="null3"/>
      </w:pPr>
      <w:r>
        <w:rPr>
          <w:rFonts w:ascii="仿宋_GB2312" w:hAnsi="仿宋_GB2312" w:cs="仿宋_GB2312" w:eastAsia="仿宋_GB2312"/>
        </w:rPr>
        <w:t>联系电话：17792053809</w:t>
      </w:r>
    </w:p>
    <w:p>
      <w:pPr>
        <w:pStyle w:val="null3"/>
      </w:pPr>
      <w:r>
        <w:rPr>
          <w:rFonts w:ascii="仿宋_GB2312" w:hAnsi="仿宋_GB2312" w:cs="仿宋_GB2312" w:eastAsia="仿宋_GB2312"/>
        </w:rPr>
        <w:t>地址：西安市未央区文景广场C座18层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1,422,395.86</w:t>
      </w:r>
    </w:p>
    <w:p>
      <w:pPr>
        <w:pStyle w:val="null3"/>
      </w:pPr>
      <w:r>
        <w:rPr>
          <w:rFonts w:ascii="仿宋_GB2312" w:hAnsi="仿宋_GB2312" w:cs="仿宋_GB2312" w:eastAsia="仿宋_GB2312"/>
        </w:rPr>
        <w:t>采购包最高限价（元）: 1,422,395.86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阎良区聚宝小学运动场改造项目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1,422,395.86</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标的名称：阎良区聚宝小学运动场改造项目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阎良区聚宝小学运动场改造项目主要包括拆除原有足球场地、跑道以及辅赛区面层至混凝土基层表面、拆除原有篮球场、羽毛球场地硅PU面层至混凝土基层表面、面层更新、运动场部分区域基层破损沉降需拆除并修复、运动场内原有铅球场地拆除,更新为跳远场地、运动场看台木座椅需更换、排水沟清淤、室外改造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二、工程内容和施工地点、计划工期、缺陷责任期、质量保修期</w:t>
            </w:r>
          </w:p>
          <w:p>
            <w:pPr>
              <w:pStyle w:val="null3"/>
            </w:pPr>
            <w:r>
              <w:rPr>
                <w:rFonts w:ascii="仿宋_GB2312" w:hAnsi="仿宋_GB2312" w:cs="仿宋_GB2312" w:eastAsia="仿宋_GB2312"/>
                <w:sz w:val="21"/>
              </w:rPr>
              <w:t>（一）工程内容：工程量清单及图纸的全部内容；</w:t>
            </w:r>
          </w:p>
          <w:p>
            <w:pPr>
              <w:pStyle w:val="null3"/>
            </w:pPr>
            <w:r>
              <w:rPr>
                <w:rFonts w:ascii="仿宋_GB2312" w:hAnsi="仿宋_GB2312" w:cs="仿宋_GB2312" w:eastAsia="仿宋_GB2312"/>
                <w:sz w:val="21"/>
              </w:rPr>
              <w:t>（二）工程地点：阎良区聚宝小学内。</w:t>
            </w:r>
          </w:p>
          <w:p>
            <w:pPr>
              <w:pStyle w:val="null3"/>
            </w:pPr>
            <w:r>
              <w:rPr>
                <w:rFonts w:ascii="仿宋_GB2312" w:hAnsi="仿宋_GB2312" w:cs="仿宋_GB2312" w:eastAsia="仿宋_GB2312"/>
                <w:sz w:val="21"/>
              </w:rPr>
              <w:t>（三）计划工期：自进场之日起40个日历日内竣工。</w:t>
            </w:r>
          </w:p>
          <w:p>
            <w:pPr>
              <w:pStyle w:val="null3"/>
            </w:pPr>
            <w:r>
              <w:rPr>
                <w:rFonts w:ascii="仿宋_GB2312" w:hAnsi="仿宋_GB2312" w:cs="仿宋_GB2312" w:eastAsia="仿宋_GB2312"/>
                <w:sz w:val="21"/>
              </w:rPr>
              <w:t>（四）缺陷责任期：质保期间履行好质保责任。</w:t>
            </w:r>
          </w:p>
          <w:p>
            <w:pPr>
              <w:pStyle w:val="null3"/>
            </w:pPr>
            <w:r>
              <w:rPr>
                <w:rFonts w:ascii="仿宋_GB2312" w:hAnsi="仿宋_GB2312" w:cs="仿宋_GB2312" w:eastAsia="仿宋_GB2312"/>
                <w:sz w:val="21"/>
              </w:rPr>
              <w:t>（五）质量保修期：见《建设工程质量管理条例》。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三、工程量清单和计价依据</w:t>
            </w:r>
          </w:p>
          <w:p>
            <w:pPr>
              <w:pStyle w:val="null3"/>
            </w:pPr>
            <w:r>
              <w:rPr>
                <w:rFonts w:ascii="仿宋_GB2312" w:hAnsi="仿宋_GB2312" w:cs="仿宋_GB2312" w:eastAsia="仿宋_GB2312"/>
                <w:sz w:val="21"/>
              </w:rPr>
              <w:t>（一）计价依据：</w:t>
            </w:r>
          </w:p>
          <w:p>
            <w:pPr>
              <w:pStyle w:val="null3"/>
            </w:pPr>
            <w:r>
              <w:rPr>
                <w:rFonts w:ascii="仿宋_GB2312" w:hAnsi="仿宋_GB2312" w:cs="仿宋_GB2312" w:eastAsia="仿宋_GB2312"/>
                <w:sz w:val="21"/>
              </w:rPr>
              <w:t>1、《建设工程工程量清单计价标准》（DB61/T5126—2025）、《房屋建筑与装饰工程工程量计算标准》（DB61/T5129—2025）、《市政工程工程量计算标准》（DB61/T5128—2025）；</w:t>
            </w:r>
          </w:p>
          <w:p>
            <w:pPr>
              <w:pStyle w:val="null3"/>
            </w:pPr>
            <w:r>
              <w:rPr>
                <w:rFonts w:ascii="仿宋_GB2312" w:hAnsi="仿宋_GB2312" w:cs="仿宋_GB2312" w:eastAsia="仿宋_GB2312"/>
                <w:sz w:val="21"/>
              </w:rPr>
              <w:t>2、《陕西省房屋建筑与装饰工程消耗量定额》2025、《陕西省市政工程消耗量定额》2025、《陕西省建设工程施工机械台班费用定额》2025、《陕西省建设工程施工仪器仪表台班费用定额》2025；</w:t>
            </w:r>
          </w:p>
          <w:p>
            <w:pPr>
              <w:pStyle w:val="null3"/>
            </w:pPr>
            <w:r>
              <w:rPr>
                <w:rFonts w:ascii="仿宋_GB2312" w:hAnsi="仿宋_GB2312" w:cs="仿宋_GB2312" w:eastAsia="仿宋_GB2312"/>
                <w:sz w:val="21"/>
              </w:rPr>
              <w:t>3、《陕西省房屋建筑与装饰工程基价表》2025、《陕西省市政工程基价表》2025；</w:t>
            </w:r>
          </w:p>
          <w:p>
            <w:pPr>
              <w:pStyle w:val="null3"/>
            </w:pPr>
            <w:r>
              <w:rPr>
                <w:rFonts w:ascii="仿宋_GB2312" w:hAnsi="仿宋_GB2312" w:cs="仿宋_GB2312" w:eastAsia="仿宋_GB2312"/>
                <w:sz w:val="21"/>
              </w:rPr>
              <w:t>4、材料价格参考2025年第12期《西安工程造价信息》(阎良区)及《陕西省工程造价管理信息》材料信息价并结合市场价计入；</w:t>
            </w:r>
          </w:p>
          <w:p>
            <w:pPr>
              <w:pStyle w:val="null3"/>
            </w:pPr>
            <w:r>
              <w:rPr>
                <w:rFonts w:ascii="仿宋_GB2312" w:hAnsi="仿宋_GB2312" w:cs="仿宋_GB2312" w:eastAsia="仿宋_GB2312"/>
                <w:sz w:val="21"/>
              </w:rPr>
              <w:t>5、本工程计价软件采用广联达计价软件GBQ7.0陕西地区7.5000.23.3；</w:t>
            </w:r>
          </w:p>
          <w:p>
            <w:pPr>
              <w:pStyle w:val="null3"/>
            </w:pPr>
            <w:r>
              <w:rPr>
                <w:rFonts w:ascii="仿宋_GB2312" w:hAnsi="仿宋_GB2312" w:cs="仿宋_GB2312" w:eastAsia="仿宋_GB2312"/>
                <w:sz w:val="21"/>
              </w:rPr>
              <w:t>6、其他相关资料；</w:t>
            </w:r>
          </w:p>
          <w:p>
            <w:pPr>
              <w:pStyle w:val="null3"/>
            </w:pPr>
            <w:r>
              <w:rPr>
                <w:rFonts w:ascii="仿宋_GB2312" w:hAnsi="仿宋_GB2312" w:cs="仿宋_GB2312" w:eastAsia="仿宋_GB2312"/>
                <w:sz w:val="21"/>
              </w:rPr>
              <w:t>7、室外改造需破除恢复原水泥混凝土路面220㎡（做法:20cmC25水泥混凝土路面；30cm3:7灰土基层）；</w:t>
            </w:r>
          </w:p>
          <w:p>
            <w:pPr>
              <w:pStyle w:val="null3"/>
            </w:pPr>
            <w:r>
              <w:rPr>
                <w:rFonts w:ascii="仿宋_GB2312" w:hAnsi="仿宋_GB2312" w:cs="仿宋_GB2312" w:eastAsia="仿宋_GB2312"/>
                <w:sz w:val="21"/>
              </w:rPr>
              <w:t>8、从W8井开始至W15井，需破除原管道，重新敷设新管道；</w:t>
            </w:r>
          </w:p>
          <w:p>
            <w:pPr>
              <w:pStyle w:val="null3"/>
            </w:pPr>
            <w:r>
              <w:rPr>
                <w:rFonts w:ascii="仿宋_GB2312" w:hAnsi="仿宋_GB2312" w:cs="仿宋_GB2312" w:eastAsia="仿宋_GB2312"/>
                <w:sz w:val="21"/>
              </w:rPr>
              <w:t>9、从W8井开始至W15井，需拆除原砖砌检查井，新做高刚度、高韧性、结构筋HDPE塑料检查井；</w:t>
            </w:r>
          </w:p>
          <w:p>
            <w:pPr>
              <w:pStyle w:val="null3"/>
            </w:pPr>
            <w:r>
              <w:rPr>
                <w:rFonts w:ascii="仿宋_GB2312" w:hAnsi="仿宋_GB2312" w:cs="仿宋_GB2312" w:eastAsia="仿宋_GB2312"/>
                <w:sz w:val="21"/>
              </w:rPr>
              <w:t>10、压力废水管道采用球墨铸铁管道DN150；</w:t>
            </w:r>
          </w:p>
          <w:p>
            <w:pPr>
              <w:pStyle w:val="null3"/>
            </w:pPr>
            <w:r>
              <w:rPr>
                <w:rFonts w:ascii="仿宋_GB2312" w:hAnsi="仿宋_GB2312" w:cs="仿宋_GB2312" w:eastAsia="仿宋_GB2312"/>
                <w:sz w:val="21"/>
              </w:rPr>
              <w:t>11、化粪池采用成品预制钢筋混凝土；</w:t>
            </w:r>
          </w:p>
          <w:p>
            <w:pPr>
              <w:pStyle w:val="null3"/>
            </w:pPr>
            <w:r>
              <w:rPr>
                <w:rFonts w:ascii="仿宋_GB2312" w:hAnsi="仿宋_GB2312" w:cs="仿宋_GB2312" w:eastAsia="仿宋_GB2312"/>
                <w:sz w:val="21"/>
              </w:rPr>
              <w:t>12、暂列金额67306.13元在其他项目费中计入；</w:t>
            </w:r>
          </w:p>
          <w:p>
            <w:pPr>
              <w:pStyle w:val="null3"/>
            </w:pPr>
            <w:r>
              <w:rPr>
                <w:rFonts w:ascii="仿宋_GB2312" w:hAnsi="仿宋_GB2312" w:cs="仿宋_GB2312" w:eastAsia="仿宋_GB2312"/>
                <w:sz w:val="21"/>
              </w:rPr>
              <w:t>13、招标代理服务费及工程量清单编制及计价18841.00在其他项目费中计入。</w:t>
            </w:r>
          </w:p>
          <w:p>
            <w:pPr>
              <w:pStyle w:val="null3"/>
            </w:pPr>
            <w:r>
              <w:rPr>
                <w:rFonts w:ascii="仿宋_GB2312" w:hAnsi="仿宋_GB2312" w:cs="仿宋_GB2312" w:eastAsia="仿宋_GB2312"/>
                <w:sz w:val="21"/>
              </w:rPr>
              <w:t>（二）工程量清单：详见附件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四、施工要求</w:t>
            </w:r>
          </w:p>
          <w:p>
            <w:pPr>
              <w:pStyle w:val="null3"/>
            </w:pPr>
            <w:r>
              <w:rPr>
                <w:rFonts w:ascii="仿宋_GB2312" w:hAnsi="仿宋_GB2312" w:cs="仿宋_GB2312" w:eastAsia="仿宋_GB2312"/>
                <w:sz w:val="21"/>
              </w:rPr>
              <w:t>在施工期间，中标供应商必须注意施工人员安全，加强安全措施，并对施工人员进行安全教育。施工人员必须持证上岗。因采购人工作的特殊性，要求中标供应商在施工中做到封闭性施工。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五、商务要求</w:t>
            </w:r>
          </w:p>
          <w:p>
            <w:pPr>
              <w:pStyle w:val="null3"/>
            </w:pPr>
            <w:r>
              <w:rPr>
                <w:rFonts w:ascii="仿宋_GB2312" w:hAnsi="仿宋_GB2312" w:cs="仿宋_GB2312" w:eastAsia="仿宋_GB2312"/>
                <w:sz w:val="21"/>
              </w:rPr>
              <w:t>合同签订后，项目完成并验收合格后甲方向乙方支付合同款的70%，待结算审计完成后甲方向乙方支付至项目结算价款的100%，乙方要在项目质保期间严格履行好质保责任。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供应商营业执照</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拟派项目经理须具有建筑工程专业二级及以上注册建造师证书及有效的安全生产考核证书（B证）在本单位注册，且无在建工程（提供无在建工程承诺书）。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供应商名称：与营业执照一致；响应函签字盖章：有法定代表人或其委托代理人签字或加盖单位章；响应文件格式：符合第七章“响应文件格式”的要求。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工期：自进场之日起40个日历日内竣工；工程质量：按国家及省市相关建设工程质量标准的规定，达到“合格”要求； 投标有效期：自提交响应文件的截止之日起90个日历日；已标价工程量清单：符合“工程量清单”给出的子目名称、计量单位、工程量、子目备注说明；投标价格：不得高于最高限价。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 1、完整性：方案必须全面，对评审内容中的各项要求有详细描述；2、可实施性：切合本项目实际情况，提出步骤清晰、合理的方案； 3、针对性：方案能够紧扣项目实际情况，内容科学合理。三、赋分标准（满分 9 分） ①施工目标：每完全满足一个评审标准得 1 分，满分 3 分； ②施工准备：每完全满足一个评审标准得 1 分，满分 3 分； ③施工平面布置与安排：每完全满足一个评审标准得 1 分，满分 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供应商针对本项目编制完善的施工进度计划，内容包含：①施工进度计划横道图②进度计划保证措施③工期保证措施。二、评审标准 1、完整性：方案必须全面，对评审内容中的各项要求有详细描述；2、可实施性：切合本项目实际情况，提出步骤清晰、合理的方案； 3、针对性：方案能够紧扣项目实际情况，内容科学合理。三、赋分标准（满分 9 分） ①施工进度计划横道图：每完全满足一个评审标准得 1 分，满分 3 分； ②进度计划保证措施：每完全满足一个评审标准得 1 分，满分 3 分； ③工期保证措施：每完全满足一个评审标准得 1 分，满分 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①工程重难点及解决措施②分部分项工程施工方法③施工质量通病防治措施。二、评审标准 1、完整性：方案必须全面，对评审内容中的各项要求有详细描述；2、可实施性：切合本项目实际情况，提出步骤清晰、合理的方案； 3、针对性：方案能够紧扣项目实际情况，内容科学合理。三、赋分标准（满分 9 分）①工程重难点及解决措施：每完全满足一个评审标准得 1 分，满分 3 分； ②分部分项工程施工方法：每完全满足一个评审标准得 1 分，满分 3 分； ③施工质量通病防治措施：每完全满足一个评审标准得 1 分，满分 3 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 施工质量控制措施。二、评审标准 1、完整性：方案必须全面，对评审内容中的各项要求有详细描述； 2、可实施性：切合本项目实际情况，提出步骤清晰、合理的方案； 3、针对性：方案能够紧扣项目实际情况，内容科学合理。 三、赋分标准（满分 6 分） ①质量目标管理体系：每完全满足一个评审标准得 0.5 分，满分 1.5 分； ②施工质量的检验制度：每完全满足一个评审标准得 0.5 分，满分1.5 分； ③确保质量的技术组织措施：每完全满足一个评审标准得 0.5 分， 满分 1.5 分； ④施工质量控制措施：每完全满足一个评审标准得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 内容科学合理。 三、赋分标准（满分 6 分） ①安全生产管理制度：每完全满足一个评审标准得 0.5 分，满分 1.5 分； ②安全施工措施：每完全满足一个评审标准得 0.5 分，满分 1.5 分； ③安全应急预案：每完全满足一个评审标准得 0.5 分，满分 1.5 分； ④安全生产教育：每完全满足一个评审标准得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 内容科学合理。 三、赋分标准（满分 6 分） ①成品保护措施：每完全满足一个评审标准得 0.5 分，满分 1.5 分； ②季节性施工措施：每完全满足一个评审标准得 0.5 分，满分 1.5 分； ③消防保卫措施：每完全满足一个评审标准得 0.5 分，满分 1.5 分； ④环境保护措施：每完全满足一个评审标准得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 内容科学合理。 三、赋分标准（满分 3 分） ①文明施工管理目标及技术措施：每完全满足一个评审标准得 0.5 分，满分 1.5 分； ②文明施工现场管理：每完全满足一个评审标准得 0.5 分，满分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 内容科学合理。 三、赋分标准（满分 3 分） ①管理机构的配备计划：每完全满足一个评审标准得 0.5 分，满分 1.5 分； ②组织机构的岗位职责：每完全满足一个评审标准得 0.5 分，满分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 3 分） ①新材料的应用情况：每完全满足一个评审标准得 0.5 分，满分 1.5 分； ②新技术和新工艺的应用情况：每完全满足一个评审标准得 0.5 分， 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结合本项目的实际，供应商应依据国家相关规定提出工程验收维护方案，内容包含：①验收方案②维修措施③保修责任及保修承诺。 二、评审标准 1、完整性：内容必须全面，对评审内容中的各项要求有详细描述； 2、落实性：切合项目具体情况，提出责任明确、要求具体的方案； 3、针对性： 内容能够紧扣项目实际情况， 内容科学合理。 三、赋分标准（满分 4.5 分） ①验收方案：每完全满足一个评审标准得 0.5 分，满分 1.5 分； ②维修措施：每完全满足一个评审标准得 0.5 分，满分 1.5 分； ③保修责任及保修承诺：每完全满足一个评审标准得 0.5 分，满分 1.5 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供应商提供所用材料属于环境标志产品政府采购清单中的产品（包括但不限于水、暖、电、水泥等施工所需的所有基础材料），每提供1种环保产品的环境标志产品认证证书得1分，满分2分。 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针对实际需求，在保证完成本项目的基础上，对降低工程造价、缩短施工周期等提供实质性承诺，每提供一条得 0.5 分，满分 1.5 分。未提供不得分。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 2023年1月1日至今的类似项目业绩合同（以合同签订日期为准），每提供一份得2分，最高得8分。投标响应文件中附有说明其业绩证明材料（业绩以合同为依据）。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