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版本号：SXLX26-02-106Z(G)20260706001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教学楼室内改造项目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SXLX26-02-106Z(G)</w:t>
      </w:r>
      <w:r>
        <w:br/>
      </w:r>
      <w:r>
        <w:br/>
      </w:r>
      <w:r>
        <w:br/>
      </w:r>
    </w:p>
    <w:p>
      <w:pPr>
        <w:pStyle w:val="null3"/>
        <w:jc w:val="center"/>
        <w:outlineLvl w:val="2"/>
      </w:pPr>
      <w:r>
        <w:rPr>
          <w:rFonts w:ascii="仿宋_GB2312" w:hAnsi="仿宋_GB2312" w:cs="仿宋_GB2312" w:eastAsia="仿宋_GB2312"/>
          <w:sz w:val="28"/>
          <w:b/>
        </w:rPr>
        <w:t>西安市第六中学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西安市第六中学</w:t>
      </w:r>
      <w:r>
        <w:rPr>
          <w:rFonts w:ascii="仿宋_GB2312" w:hAnsi="仿宋_GB2312" w:cs="仿宋_GB2312" w:eastAsia="仿宋_GB2312"/>
        </w:rPr>
        <w:t>委托，拟对</w:t>
      </w:r>
      <w:r>
        <w:rPr>
          <w:rFonts w:ascii="仿宋_GB2312" w:hAnsi="仿宋_GB2312" w:cs="仿宋_GB2312" w:eastAsia="仿宋_GB2312"/>
        </w:rPr>
        <w:t>教学楼室内改造项目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SXLX26-02-106Z(G)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教学楼室内改造项目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本项目主要内容包含房屋建筑与装饰工程、电气工程、弱电工程、消防工程等各专业内容，具体以工程量清单为准。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采购包1（教学楼室内改造项目）：属于专门面向中小企业采购。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西安市碑林区五味十字31号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陕西省西安市雁塔区雁翔路111号赛格·中京坊公寓A座一单元二层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任甜、王小琼、梁嘉峰、杜航、郑婧婧、魏晴霏、王真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①条形灯（环境标志产品政府采购品目清单中名称：室内照明灯具） ②石膏板（环境标志产品政府采购品目清单中名称：石膏板）</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开户名称：陕西隆信项目管理有限公司开户行：招商银行股份有限公司西安土门支行账号：129904064810902财务部电话：029-88489979-8501。 注：代理服务费包含在报价中，不需单独列项。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西安市第六中学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联系人：王小琼任甜梁嘉峰</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地址：陕西省西安市雁塔区雁翔路111号赛格·中京坊公寓A座一单元二层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3,939,000.00</w:t>
      </w:r>
    </w:p>
    <w:p>
      <w:pPr>
        <w:pStyle w:val="null3"/>
      </w:pPr>
      <w:r>
        <w:rPr>
          <w:rFonts w:ascii="仿宋_GB2312" w:hAnsi="仿宋_GB2312" w:cs="仿宋_GB2312" w:eastAsia="仿宋_GB2312"/>
        </w:rPr>
        <w:t>采购包最高限价（元）: 3,710,244.61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教学楼室内改造项目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3,939,000.00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标的名称：教学楼室内改造项目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left"/>
            </w:pPr>
            <w:r>
              <w:rPr>
                <w:rFonts w:ascii="仿宋_GB2312" w:hAnsi="仿宋_GB2312" w:cs="仿宋_GB2312" w:eastAsia="仿宋_GB2312"/>
                <w:sz w:val="20"/>
                <w:color w:val="0000FF"/>
              </w:rPr>
              <w:t>本项目所属行业为</w:t>
            </w:r>
            <w:r>
              <w:rPr>
                <w:rFonts w:ascii="仿宋_GB2312" w:hAnsi="仿宋_GB2312" w:cs="仿宋_GB2312" w:eastAsia="仿宋_GB2312"/>
                <w:sz w:val="20"/>
                <w:b/>
                <w:color w:val="0000FF"/>
                <w:u w:val="single"/>
              </w:rPr>
              <w:t>建筑业</w:t>
            </w:r>
            <w:r>
              <w:rPr>
                <w:rFonts w:ascii="仿宋_GB2312" w:hAnsi="仿宋_GB2312" w:cs="仿宋_GB2312" w:eastAsia="仿宋_GB2312"/>
                <w:sz w:val="20"/>
                <w:b/>
                <w:color w:val="0000FF"/>
              </w:rPr>
              <w:t>。</w:t>
            </w:r>
            <w:r>
              <w:rPr>
                <w:rFonts w:ascii="仿宋_GB2312" w:hAnsi="仿宋_GB2312" w:cs="仿宋_GB2312" w:eastAsia="仿宋_GB2312"/>
                <w:sz w:val="20"/>
                <w:color w:val="0000FF"/>
              </w:rPr>
              <w:t>（营业收入</w:t>
            </w:r>
            <w:r>
              <w:rPr>
                <w:rFonts w:ascii="仿宋_GB2312" w:hAnsi="仿宋_GB2312" w:cs="仿宋_GB2312" w:eastAsia="仿宋_GB2312"/>
                <w:sz w:val="20"/>
                <w:color w:val="0000FF"/>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left"/>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、工程内容和施工地点、计划工期、缺陷责任期、质量保修期</w:t>
            </w:r>
          </w:p>
          <w:p>
            <w:pPr>
              <w:pStyle w:val="null3"/>
              <w:ind w:firstLine="400"/>
              <w:jc w:val="left"/>
            </w:pPr>
            <w:r>
              <w:rPr>
                <w:rFonts w:ascii="仿宋_GB2312" w:hAnsi="仿宋_GB2312" w:cs="仿宋_GB2312" w:eastAsia="仿宋_GB2312"/>
                <w:sz w:val="20"/>
                <w:color w:val="0000FF"/>
              </w:rPr>
              <w:t>（一）工程内容：本项目主要内容包含房屋建筑与装饰工程、电气工程、弱电工程、消防工程等各专业内容，具体以工程量清单为准。</w:t>
            </w:r>
          </w:p>
          <w:p>
            <w:pPr>
              <w:pStyle w:val="null3"/>
              <w:ind w:firstLine="400"/>
              <w:jc w:val="left"/>
            </w:pPr>
            <w:r>
              <w:rPr>
                <w:rFonts w:ascii="仿宋_GB2312" w:hAnsi="仿宋_GB2312" w:cs="仿宋_GB2312" w:eastAsia="仿宋_GB2312"/>
                <w:sz w:val="20"/>
                <w:color w:val="0000FF"/>
              </w:rPr>
              <w:t>（二）工程地点：西安市碑林区五味什字</w:t>
            </w:r>
            <w:r>
              <w:rPr>
                <w:rFonts w:ascii="仿宋_GB2312" w:hAnsi="仿宋_GB2312" w:cs="仿宋_GB2312" w:eastAsia="仿宋_GB2312"/>
                <w:sz w:val="20"/>
                <w:color w:val="0000FF"/>
              </w:rPr>
              <w:t>31号。</w:t>
            </w:r>
          </w:p>
          <w:p>
            <w:pPr>
              <w:pStyle w:val="null3"/>
              <w:ind w:firstLine="400"/>
              <w:jc w:val="left"/>
            </w:pPr>
            <w:r>
              <w:rPr>
                <w:rFonts w:ascii="仿宋_GB2312" w:hAnsi="仿宋_GB2312" w:cs="仿宋_GB2312" w:eastAsia="仿宋_GB2312"/>
                <w:sz w:val="20"/>
                <w:color w:val="0000FF"/>
              </w:rPr>
              <w:t>（三）计划工期：自进场之日起</w:t>
            </w:r>
            <w:r>
              <w:rPr>
                <w:rFonts w:ascii="仿宋_GB2312" w:hAnsi="仿宋_GB2312" w:cs="仿宋_GB2312" w:eastAsia="仿宋_GB2312"/>
                <w:sz w:val="20"/>
                <w:color w:val="0000FF"/>
              </w:rPr>
              <w:t>40</w:t>
            </w:r>
            <w:r>
              <w:rPr>
                <w:rFonts w:ascii="仿宋_GB2312" w:hAnsi="仿宋_GB2312" w:cs="仿宋_GB2312" w:eastAsia="仿宋_GB2312"/>
                <w:sz w:val="20"/>
                <w:color w:val="0000FF"/>
              </w:rPr>
              <w:t>个日历日内竣工。</w:t>
            </w:r>
          </w:p>
          <w:p>
            <w:pPr>
              <w:pStyle w:val="null3"/>
              <w:ind w:firstLine="400"/>
              <w:jc w:val="left"/>
            </w:pPr>
            <w:r>
              <w:rPr>
                <w:rFonts w:ascii="仿宋_GB2312" w:hAnsi="仿宋_GB2312" w:cs="仿宋_GB2312" w:eastAsia="仿宋_GB2312"/>
                <w:sz w:val="20"/>
                <w:color w:val="0000FF"/>
              </w:rPr>
              <w:t>（四）缺陷责任期：本工程缺陷责任期为</w:t>
            </w:r>
            <w:r>
              <w:rPr>
                <w:rFonts w:ascii="仿宋_GB2312" w:hAnsi="仿宋_GB2312" w:cs="仿宋_GB2312" w:eastAsia="仿宋_GB2312"/>
                <w:sz w:val="20"/>
                <w:color w:val="0000FF"/>
              </w:rPr>
              <w:t>2年，缺陷责任期自工程竣工验收合格之日起计算。</w:t>
            </w:r>
          </w:p>
          <w:p>
            <w:pPr>
              <w:pStyle w:val="null3"/>
              <w:ind w:firstLine="400"/>
              <w:jc w:val="left"/>
            </w:pPr>
            <w:r>
              <w:rPr>
                <w:rFonts w:ascii="仿宋_GB2312" w:hAnsi="仿宋_GB2312" w:cs="仿宋_GB2312" w:eastAsia="仿宋_GB2312"/>
                <w:sz w:val="20"/>
                <w:color w:val="0000FF"/>
              </w:rPr>
              <w:t>（五）质量保修期：按照国家民用建筑相关规定执行。</w:t>
            </w:r>
          </w:p>
          <w:p>
            <w:pPr>
              <w:pStyle w:val="null3"/>
              <w:ind w:firstLine="400"/>
              <w:jc w:val="left"/>
            </w:pPr>
            <w:r>
              <w:rPr>
                <w:rFonts w:ascii="仿宋_GB2312" w:hAnsi="仿宋_GB2312" w:cs="仿宋_GB2312" w:eastAsia="仿宋_GB2312"/>
                <w:sz w:val="20"/>
                <w:color w:val="0000FF"/>
              </w:rPr>
              <w:t>（六）质量要求：合格。</w:t>
            </w:r>
          </w:p>
          <w:p>
            <w:pPr>
              <w:pStyle w:val="null3"/>
              <w:jc w:val="left"/>
            </w:pPr>
            <w:r>
              <w:rPr>
                <w:rFonts w:ascii="仿宋_GB2312" w:hAnsi="仿宋_GB2312" w:cs="仿宋_GB2312" w:eastAsia="仿宋_GB2312"/>
                <w:sz w:val="20"/>
                <w:b/>
                <w:color w:val="0000FF"/>
              </w:rPr>
              <w:t>三、工程量清单和编制依据</w:t>
            </w:r>
          </w:p>
          <w:p>
            <w:pPr>
              <w:pStyle w:val="null3"/>
              <w:ind w:firstLine="400"/>
              <w:jc w:val="left"/>
            </w:pPr>
            <w:r>
              <w:rPr>
                <w:rFonts w:ascii="仿宋_GB2312" w:hAnsi="仿宋_GB2312" w:cs="仿宋_GB2312" w:eastAsia="仿宋_GB2312"/>
                <w:sz w:val="20"/>
                <w:color w:val="0000FF"/>
              </w:rPr>
              <w:t>（一）编制依据：</w:t>
            </w:r>
          </w:p>
          <w:p>
            <w:pPr>
              <w:pStyle w:val="null3"/>
              <w:ind w:firstLine="400"/>
              <w:jc w:val="left"/>
            </w:pPr>
            <w:r>
              <w:rPr>
                <w:rFonts w:ascii="仿宋_GB2312" w:hAnsi="仿宋_GB2312" w:cs="仿宋_GB2312" w:eastAsia="仿宋_GB2312"/>
                <w:sz w:val="20"/>
                <w:color w:val="0000FF"/>
              </w:rPr>
              <w:t>1、《陕西省建设工程工程量计价计算标准》（2025）；</w:t>
            </w:r>
          </w:p>
          <w:p>
            <w:pPr>
              <w:pStyle w:val="null3"/>
              <w:ind w:firstLine="400"/>
              <w:jc w:val="left"/>
            </w:pPr>
            <w:r>
              <w:rPr>
                <w:rFonts w:ascii="仿宋_GB2312" w:hAnsi="仿宋_GB2312" w:cs="仿宋_GB2312" w:eastAsia="仿宋_GB2312"/>
                <w:sz w:val="20"/>
                <w:color w:val="0000FF"/>
              </w:rPr>
              <w:t>2、陕西省、西安市建设主管部门及造价管理部门颁发的相关计价规定；</w:t>
            </w:r>
          </w:p>
          <w:p>
            <w:pPr>
              <w:pStyle w:val="null3"/>
              <w:ind w:firstLine="400"/>
              <w:jc w:val="left"/>
            </w:pPr>
            <w:r>
              <w:rPr>
                <w:rFonts w:ascii="仿宋_GB2312" w:hAnsi="仿宋_GB2312" w:cs="仿宋_GB2312" w:eastAsia="仿宋_GB2312"/>
                <w:sz w:val="20"/>
                <w:color w:val="0000FF"/>
              </w:rPr>
              <w:t>3、本项目依据建设单位提供的图纸及答疑（答疑详见附件）；</w:t>
            </w:r>
          </w:p>
          <w:p>
            <w:pPr>
              <w:pStyle w:val="null3"/>
              <w:ind w:firstLine="400"/>
              <w:jc w:val="left"/>
            </w:pPr>
            <w:r>
              <w:rPr>
                <w:rFonts w:ascii="仿宋_GB2312" w:hAnsi="仿宋_GB2312" w:cs="仿宋_GB2312" w:eastAsia="仿宋_GB2312"/>
                <w:sz w:val="20"/>
                <w:color w:val="0000FF"/>
              </w:rPr>
              <w:t>4、与本项目有关的标准、规范、技术资料；</w:t>
            </w:r>
          </w:p>
          <w:p>
            <w:pPr>
              <w:pStyle w:val="null3"/>
              <w:ind w:firstLine="400"/>
              <w:jc w:val="left"/>
            </w:pPr>
            <w:r>
              <w:rPr>
                <w:rFonts w:ascii="仿宋_GB2312" w:hAnsi="仿宋_GB2312" w:cs="仿宋_GB2312" w:eastAsia="仿宋_GB2312"/>
                <w:sz w:val="20"/>
                <w:color w:val="0000FF"/>
              </w:rPr>
              <w:t>5、施工现场情况、工程特点及常规施工方案；</w:t>
            </w:r>
          </w:p>
          <w:p>
            <w:pPr>
              <w:pStyle w:val="null3"/>
              <w:ind w:firstLine="400"/>
              <w:jc w:val="left"/>
            </w:pPr>
            <w:r>
              <w:rPr>
                <w:rFonts w:ascii="仿宋_GB2312" w:hAnsi="仿宋_GB2312" w:cs="仿宋_GB2312" w:eastAsia="仿宋_GB2312"/>
                <w:sz w:val="20"/>
                <w:color w:val="0000FF"/>
              </w:rPr>
              <w:t>6、《陕西省房屋建筑与装饰工程基价表》（2025）、《陕西省市政工程基价表》（2025）、《陕西省通用安装工程基价表》（2025）、《陕西省房屋建筑与装饰工程消耗量定额》（2025）、《陕西省市政工程消耗量定额》（2025）《陕西省通用安装工程消耗量定额》（2025）；</w:t>
            </w:r>
          </w:p>
          <w:p>
            <w:pPr>
              <w:pStyle w:val="null3"/>
              <w:ind w:firstLine="400"/>
              <w:jc w:val="left"/>
            </w:pPr>
            <w:r>
              <w:rPr>
                <w:rFonts w:ascii="仿宋_GB2312" w:hAnsi="仿宋_GB2312" w:cs="仿宋_GB2312" w:eastAsia="仿宋_GB2312"/>
                <w:sz w:val="20"/>
                <w:color w:val="0000FF"/>
              </w:rPr>
              <w:t>7.软件使用广联达云计价平台GCCP7.0(版本号：7.5000.23.3）。</w:t>
            </w:r>
          </w:p>
          <w:p>
            <w:pPr>
              <w:pStyle w:val="null3"/>
              <w:ind w:firstLine="400"/>
              <w:jc w:val="left"/>
            </w:pPr>
            <w:r>
              <w:rPr>
                <w:rFonts w:ascii="仿宋_GB2312" w:hAnsi="仿宋_GB2312" w:cs="仿宋_GB2312" w:eastAsia="仿宋_GB2312"/>
                <w:sz w:val="20"/>
                <w:color w:val="0000FF"/>
              </w:rPr>
              <w:t>8.“分部分项工程量清单”、“措施项目清单”、“其他项目清单”、 “材料、设备暂估价明细表”、“暂列金额明细表”按照《陕西省工程量清单计价规则》(2025) 规定格式编制。</w:t>
            </w:r>
          </w:p>
          <w:p>
            <w:pPr>
              <w:pStyle w:val="null3"/>
              <w:ind w:firstLine="400"/>
              <w:jc w:val="left"/>
            </w:pPr>
            <w:r>
              <w:rPr>
                <w:rFonts w:ascii="仿宋_GB2312" w:hAnsi="仿宋_GB2312" w:cs="仿宋_GB2312" w:eastAsia="仿宋_GB2312"/>
                <w:sz w:val="20"/>
                <w:color w:val="0000FF"/>
              </w:rPr>
              <w:t>（二）暂列金额：暂列金额暂按</w:t>
            </w:r>
            <w:r>
              <w:rPr>
                <w:rFonts w:ascii="仿宋_GB2312" w:hAnsi="仿宋_GB2312" w:cs="仿宋_GB2312" w:eastAsia="仿宋_GB2312"/>
                <w:sz w:val="20"/>
                <w:color w:val="0000FF"/>
              </w:rPr>
              <w:t>340000.00元计入；</w:t>
            </w:r>
          </w:p>
          <w:p>
            <w:pPr>
              <w:pStyle w:val="null3"/>
              <w:ind w:firstLine="400"/>
              <w:jc w:val="left"/>
            </w:pPr>
            <w:r>
              <w:rPr>
                <w:rFonts w:ascii="仿宋_GB2312" w:hAnsi="仿宋_GB2312" w:cs="仿宋_GB2312" w:eastAsia="仿宋_GB2312"/>
                <w:sz w:val="20"/>
                <w:color w:val="0000FF"/>
              </w:rPr>
              <w:t>（三）新作门：专业工程暂估价</w:t>
            </w:r>
            <w:r>
              <w:rPr>
                <w:rFonts w:ascii="仿宋_GB2312" w:hAnsi="仿宋_GB2312" w:cs="仿宋_GB2312" w:eastAsia="仿宋_GB2312"/>
                <w:sz w:val="20"/>
                <w:color w:val="0000FF"/>
              </w:rPr>
              <w:t>130000.00元（不含税），增值税16900元。</w:t>
            </w:r>
          </w:p>
          <w:p>
            <w:pPr>
              <w:pStyle w:val="null3"/>
              <w:jc w:val="left"/>
            </w:pPr>
            <w:r>
              <w:rPr>
                <w:rFonts w:ascii="仿宋_GB2312" w:hAnsi="仿宋_GB2312" w:cs="仿宋_GB2312" w:eastAsia="仿宋_GB2312"/>
                <w:sz w:val="20"/>
                <w:b/>
                <w:color w:val="0000FF"/>
              </w:rPr>
              <w:t>四、施工要求</w:t>
            </w:r>
          </w:p>
          <w:p>
            <w:pPr>
              <w:pStyle w:val="null3"/>
              <w:ind w:firstLine="400"/>
              <w:jc w:val="left"/>
            </w:pPr>
            <w:r>
              <w:rPr>
                <w:rFonts w:ascii="仿宋_GB2312" w:hAnsi="仿宋_GB2312" w:cs="仿宋_GB2312" w:eastAsia="仿宋_GB2312"/>
                <w:sz w:val="20"/>
                <w:color w:val="0000FF"/>
              </w:rPr>
              <w:t>1.在施工期间，供应商必须注意施工现场人员安全，加强安全措施，并对施工人员进行安全教育。施工人员必须持证上岗。</w:t>
            </w:r>
          </w:p>
          <w:p>
            <w:pPr>
              <w:pStyle w:val="null3"/>
              <w:ind w:firstLine="400"/>
              <w:jc w:val="left"/>
            </w:pPr>
            <w:r>
              <w:rPr>
                <w:rFonts w:ascii="仿宋_GB2312" w:hAnsi="仿宋_GB2312" w:cs="仿宋_GB2312" w:eastAsia="仿宋_GB2312"/>
                <w:sz w:val="20"/>
                <w:color w:val="0000FF"/>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ind w:firstLine="400"/>
              <w:jc w:val="left"/>
            </w:pPr>
            <w:r>
              <w:rPr>
                <w:rFonts w:ascii="仿宋_GB2312" w:hAnsi="仿宋_GB2312" w:cs="仿宋_GB2312" w:eastAsia="仿宋_GB2312"/>
                <w:sz w:val="20"/>
                <w:color w:val="0000FF"/>
              </w:rPr>
              <w:t>3.施工过程中，严格遵守采购人各种管理规定及规章制度，做到文明施工。发生工伤及意外事故由施工单位负责。</w:t>
            </w:r>
          </w:p>
          <w:p>
            <w:pPr>
              <w:pStyle w:val="null3"/>
              <w:ind w:firstLine="400"/>
              <w:jc w:val="left"/>
            </w:pPr>
            <w:r>
              <w:rPr>
                <w:rFonts w:ascii="仿宋_GB2312" w:hAnsi="仿宋_GB2312" w:cs="仿宋_GB2312" w:eastAsia="仿宋_GB2312"/>
                <w:sz w:val="20"/>
                <w:color w:val="0000FF"/>
              </w:rPr>
              <w:t>4.严格按照国家和省上有关规定施工、规范施工，确保工程合格，如有更改须事先征得有关方面的同意，并在采购人落实后实施，并出具书面说明。</w:t>
            </w:r>
          </w:p>
          <w:p>
            <w:pPr>
              <w:pStyle w:val="null3"/>
              <w:ind w:firstLine="400"/>
              <w:jc w:val="left"/>
            </w:pPr>
            <w:r>
              <w:rPr>
                <w:rFonts w:ascii="仿宋_GB2312" w:hAnsi="仿宋_GB2312" w:cs="仿宋_GB2312" w:eastAsia="仿宋_GB2312"/>
                <w:sz w:val="20"/>
                <w:color w:val="0000FF"/>
              </w:rPr>
              <w:t>5.工程实行包工包料，供应商必须具备相应的资质，不得转包、分包。</w:t>
            </w:r>
          </w:p>
          <w:p>
            <w:pPr>
              <w:pStyle w:val="null3"/>
              <w:ind w:firstLine="400"/>
              <w:jc w:val="left"/>
            </w:pPr>
            <w:r>
              <w:rPr>
                <w:rFonts w:ascii="仿宋_GB2312" w:hAnsi="仿宋_GB2312" w:cs="仿宋_GB2312" w:eastAsia="仿宋_GB2312"/>
                <w:sz w:val="20"/>
                <w:color w:val="0000FF"/>
              </w:rPr>
              <w:t>6.供应商根据工程实际情况编制施工方案，制定工期进度安排表，并随磋商响应文件一并提交。</w:t>
            </w:r>
          </w:p>
          <w:p>
            <w:pPr>
              <w:pStyle w:val="null3"/>
              <w:ind w:firstLine="400"/>
              <w:jc w:val="left"/>
            </w:pPr>
            <w:r>
              <w:rPr>
                <w:rFonts w:ascii="仿宋_GB2312" w:hAnsi="仿宋_GB2312" w:cs="仿宋_GB2312" w:eastAsia="仿宋_GB2312"/>
                <w:sz w:val="20"/>
                <w:color w:val="0000FF"/>
              </w:rPr>
              <w:t>7.所有进场材料需携带合格证等质量证明文件，所有提供的材料均需使用环保产品，对</w:t>
            </w:r>
            <w:r>
              <w:rPr>
                <w:rFonts w:ascii="仿宋_GB2312" w:hAnsi="仿宋_GB2312" w:cs="仿宋_GB2312" w:eastAsia="仿宋_GB2312"/>
                <w:sz w:val="20"/>
                <w:color w:val="0000FF"/>
              </w:rPr>
              <w:t>学校师生</w:t>
            </w:r>
            <w:r>
              <w:rPr>
                <w:rFonts w:ascii="仿宋_GB2312" w:hAnsi="仿宋_GB2312" w:cs="仿宋_GB2312" w:eastAsia="仿宋_GB2312"/>
                <w:sz w:val="20"/>
                <w:color w:val="0000FF"/>
              </w:rPr>
              <w:t>无危害，由采购人现场代表对所进场材料予以验收并签字确认。</w:t>
            </w:r>
          </w:p>
          <w:p>
            <w:pPr>
              <w:pStyle w:val="null3"/>
              <w:ind w:firstLine="400"/>
              <w:jc w:val="left"/>
            </w:pPr>
            <w:r>
              <w:rPr>
                <w:rFonts w:ascii="仿宋_GB2312" w:hAnsi="仿宋_GB2312" w:cs="仿宋_GB2312" w:eastAsia="仿宋_GB2312"/>
                <w:sz w:val="20"/>
                <w:color w:val="0000FF"/>
              </w:rPr>
              <w:t>8.施工期间需采取必要措施确保现场正常运行。</w:t>
            </w:r>
          </w:p>
          <w:p>
            <w:pPr>
              <w:pStyle w:val="null3"/>
              <w:ind w:firstLine="400"/>
              <w:jc w:val="left"/>
            </w:pPr>
            <w:r>
              <w:rPr>
                <w:rFonts w:ascii="仿宋_GB2312" w:hAnsi="仿宋_GB2312" w:cs="仿宋_GB2312" w:eastAsia="仿宋_GB2312"/>
                <w:sz w:val="20"/>
                <w:color w:val="0000FF"/>
              </w:rPr>
              <w:t>9.所有施工人员需统一着装统一单位标识，严禁随意通行。</w:t>
            </w:r>
          </w:p>
          <w:p>
            <w:pPr>
              <w:pStyle w:val="null3"/>
              <w:ind w:firstLine="400"/>
              <w:jc w:val="left"/>
            </w:pPr>
            <w:r>
              <w:rPr>
                <w:rFonts w:ascii="仿宋_GB2312" w:hAnsi="仿宋_GB2312" w:cs="仿宋_GB2312" w:eastAsia="仿宋_GB2312"/>
                <w:sz w:val="20"/>
                <w:color w:val="0000FF"/>
              </w:rPr>
              <w:t>10.选用的主材、设备、辅材必须使用</w:t>
            </w:r>
            <w:r>
              <w:rPr>
                <w:rFonts w:ascii="仿宋_GB2312" w:hAnsi="仿宋_GB2312" w:cs="仿宋_GB2312" w:eastAsia="仿宋_GB2312"/>
                <w:sz w:val="20"/>
                <w:color w:val="0000FF"/>
              </w:rPr>
              <w:t>合格</w:t>
            </w:r>
            <w:r>
              <w:rPr>
                <w:rFonts w:ascii="仿宋_GB2312" w:hAnsi="仿宋_GB2312" w:cs="仿宋_GB2312" w:eastAsia="仿宋_GB2312"/>
                <w:sz w:val="20"/>
                <w:color w:val="0000FF"/>
              </w:rPr>
              <w:t>产品，并明确其品牌、规格、型号、产地，并附鉴定证书，对主要设备材料需先提交样品，经认质后，方可订货，不得使用未经检验或不合格的设备、材料，若发生此种情况，将追究相关人员责任，并赔偿由此造成的一切经济损失。</w:t>
            </w:r>
          </w:p>
          <w:p>
            <w:pPr>
              <w:pStyle w:val="null3"/>
              <w:ind w:firstLine="400"/>
              <w:jc w:val="left"/>
            </w:pPr>
            <w:r>
              <w:rPr>
                <w:rFonts w:ascii="仿宋_GB2312" w:hAnsi="仿宋_GB2312" w:cs="仿宋_GB2312" w:eastAsia="仿宋_GB2312"/>
                <w:sz w:val="20"/>
                <w:color w:val="0000FF"/>
              </w:rPr>
              <w:t>11.供应商必须向采购人及时提供合格证及材料检验单。在征得有关方面认可后，方可进行施工，并做好相应的检验环节。</w:t>
            </w:r>
          </w:p>
          <w:p>
            <w:pPr>
              <w:pStyle w:val="null3"/>
              <w:ind w:firstLine="400"/>
              <w:jc w:val="left"/>
            </w:pPr>
            <w:r>
              <w:rPr>
                <w:rFonts w:ascii="仿宋_GB2312" w:hAnsi="仿宋_GB2312" w:cs="仿宋_GB2312" w:eastAsia="仿宋_GB2312"/>
                <w:sz w:val="20"/>
                <w:color w:val="0000FF"/>
              </w:rPr>
              <w:t>12.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left"/>
            </w:pPr>
            <w:r>
              <w:rPr>
                <w:rFonts w:ascii="仿宋_GB2312" w:hAnsi="仿宋_GB2312" w:cs="仿宋_GB2312" w:eastAsia="仿宋_GB2312"/>
                <w:sz w:val="20"/>
                <w:b/>
                <w:color w:val="0000FF"/>
              </w:rPr>
              <w:t>五、其他要求</w:t>
            </w:r>
          </w:p>
          <w:p>
            <w:pPr>
              <w:pStyle w:val="null3"/>
              <w:ind w:firstLine="400"/>
              <w:jc w:val="left"/>
            </w:pPr>
            <w:r>
              <w:rPr>
                <w:rFonts w:ascii="仿宋_GB2312" w:hAnsi="仿宋_GB2312" w:cs="仿宋_GB2312" w:eastAsia="仿宋_GB2312"/>
                <w:sz w:val="20"/>
                <w:color w:val="0000FF"/>
              </w:rPr>
              <w:t>1.需严格遵循行业规程，地层划分准确，清表工作完整，无遗漏、无破坏。</w:t>
            </w:r>
          </w:p>
          <w:p>
            <w:pPr>
              <w:pStyle w:val="null3"/>
              <w:ind w:firstLine="400"/>
              <w:jc w:val="left"/>
            </w:pPr>
            <w:r>
              <w:rPr>
                <w:rFonts w:ascii="仿宋_GB2312" w:hAnsi="仿宋_GB2312" w:cs="仿宋_GB2312" w:eastAsia="仿宋_GB2312"/>
                <w:sz w:val="20"/>
                <w:color w:val="0000FF"/>
              </w:rPr>
              <w:t>2.所有记录资料、图纸、影像需规范归档，编号统一，内容对应，能够完整反映全过程及成果；</w:t>
            </w:r>
          </w:p>
          <w:p>
            <w:pPr>
              <w:pStyle w:val="null3"/>
              <w:ind w:firstLine="400"/>
              <w:jc w:val="left"/>
            </w:pPr>
            <w:r>
              <w:rPr>
                <w:rFonts w:ascii="仿宋_GB2312" w:hAnsi="仿宋_GB2312" w:cs="仿宋_GB2312" w:eastAsia="仿宋_GB2312"/>
                <w:sz w:val="20"/>
                <w:color w:val="0000FF"/>
              </w:rPr>
              <w:t>3.工作报告需符合行业编制规范，内容涵盖项目概况、清表过程等，经采购人组织专家评审合格后方可正式交付。</w:t>
            </w:r>
          </w:p>
          <w:p>
            <w:pPr>
              <w:pStyle w:val="null3"/>
              <w:jc w:val="left"/>
            </w:pPr>
            <w:r>
              <w:rPr>
                <w:rFonts w:ascii="仿宋_GB2312" w:hAnsi="仿宋_GB2312" w:cs="仿宋_GB2312" w:eastAsia="仿宋_GB2312"/>
                <w:sz w:val="20"/>
                <w:b/>
                <w:color w:val="0000FF"/>
              </w:rPr>
              <w:t>六、商务要求（如合同价款及结算方式等）</w:t>
            </w:r>
          </w:p>
          <w:p>
            <w:pPr>
              <w:pStyle w:val="null3"/>
            </w:pPr>
            <w:r>
              <w:rPr>
                <w:rFonts w:ascii="仿宋_GB2312" w:hAnsi="仿宋_GB2312" w:cs="仿宋_GB2312" w:eastAsia="仿宋_GB2312"/>
                <w:sz w:val="20"/>
                <w:color w:val="0000FF"/>
              </w:rPr>
              <w:t>款项结算：合同签订后</w:t>
            </w:r>
            <w:r>
              <w:rPr>
                <w:rFonts w:ascii="仿宋_GB2312" w:hAnsi="仿宋_GB2312" w:cs="仿宋_GB2312" w:eastAsia="仿宋_GB2312"/>
                <w:sz w:val="20"/>
                <w:color w:val="0000FF"/>
              </w:rPr>
              <w:t>15 个工作日内支付合同总价（扣除暂列金额、安全文明施工费</w:t>
            </w:r>
            <w:r>
              <w:rPr>
                <w:rFonts w:ascii="仿宋_GB2312" w:hAnsi="仿宋_GB2312" w:cs="仿宋_GB2312" w:eastAsia="仿宋_GB2312"/>
                <w:sz w:val="20"/>
                <w:color w:val="0000FF"/>
              </w:rPr>
              <w:t>、专业工程暂估价</w:t>
            </w:r>
            <w:r>
              <w:rPr>
                <w:rFonts w:ascii="仿宋_GB2312" w:hAnsi="仿宋_GB2312" w:cs="仿宋_GB2312" w:eastAsia="仿宋_GB2312"/>
                <w:sz w:val="20"/>
                <w:color w:val="0000FF"/>
              </w:rPr>
              <w:t>）</w:t>
            </w:r>
            <w:r>
              <w:rPr>
                <w:rFonts w:ascii="仿宋_GB2312" w:hAnsi="仿宋_GB2312" w:cs="仿宋_GB2312" w:eastAsia="仿宋_GB2312"/>
                <w:sz w:val="20"/>
                <w:color w:val="0000FF"/>
              </w:rPr>
              <w:t>40%的工程预付款；工程进度达100%，竣工验收合格后，由成交供应商报送完整结算资料，竣工结算审计完成后15日内，发包人支付至审定结算工程总价的100%。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及行业现行建设工程施工质量验收规范；（2）符合《建设工程安全生产管理条例》及建筑施工、安全生产相关管理规定；（3）工程验收标准：双方约定，在符合采购文件中本工程项目施工要求的前提下，以采购人和用地单位现场验收合格为准；（4）供应商作为验收的责任主体，负责牵头组织本项目验收的全部工作，承担验收相关全部费用（包括但不限于检测费、专家评审费、资料编制费、现场整改费等），确保本项目顺利通过主管部门的验收，取得合格的验收意见书或备案凭证等。采购人负责配合供应商开展验收工作，提供必要的相关资料，协助协调现场验收相关事宜，验收过程中，供应商需严格遵守西安市验收相关规定，配合验收部门及采购人的检查工作。2.本项目交付竣工验收工程，须达到国家及行业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使用。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二、成交供应商在领取成交通知书时提供纸质版投标文件2套，应通过专用制作软件直接打印，确保与电子投标文件保持一致，不允许修改和补充。提交地点：陕西省西安市雁塔区雁翔路111号赛格·中京坊公寓A座一单元二层招标二部。三、供应商的磋商报价包括施工设备费、人工费、管理费、材料与设备费、安装费、维护费、保险费、采购代理服务费、税金、利润、风险、责任等所有费用，并符合建设工程计价规则。四、磋商有效期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五、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七、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八、签名是指手写签名或者加盖名章(含电子)，盖章是指加盖单位印章。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注：资格审查小组，由经采购人授权的采购人代表和采购代理机构工作人员组成，由采购代理机构项目经理担任资格审查小组组长，资格审查小组成立后，全体小组成员应当在签到表中签到。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（1）供应商须具备建设行政主管部门颁发的建筑装修装饰工程专业承包二级（及以上）资质，并具备有效的安全生产许可证； （2）供应商拟派项目经理具备建筑工程专业二级（及以上）注册建造师证书和有效的安全生产考核合格证书（B证）且在本单位注册，并提供未担任其他在建工程项目经理和无不良记录承诺；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商务技术文件.docx 报价函 标的清单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暂列金额、专业工程暂估价</w:t>
            </w:r>
          </w:p>
        </w:tc>
        <w:tc>
          <w:tcPr>
            <w:tcW w:type="dxa" w:w="3322"/>
          </w:tcPr>
          <w:p>
            <w:pPr>
              <w:pStyle w:val="null3"/>
            </w:pPr>
            <w:r>
              <w:rPr>
                <w:rFonts w:ascii="仿宋_GB2312" w:hAnsi="仿宋_GB2312" w:cs="仿宋_GB2312" w:eastAsia="仿宋_GB2312"/>
              </w:rPr>
              <w:t>按磋商文件规定计取</w:t>
            </w:r>
          </w:p>
        </w:tc>
        <w:tc>
          <w:tcPr>
            <w:tcW w:type="dxa" w:w="1661"/>
          </w:tcPr>
          <w:p>
            <w:pPr>
              <w:pStyle w:val="null3"/>
            </w:pPr>
            <w:r>
              <w:rPr>
                <w:rFonts w:ascii="仿宋_GB2312" w:hAnsi="仿宋_GB2312" w:cs="仿宋_GB2312" w:eastAsia="仿宋_GB2312"/>
              </w:rPr>
              <w:t>响应文件封面 商务技术文件.docx 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1.原材料检验； 2.按清单工序分段管控，明确每道工序自检、交接检流程； 3.成品验收方案； 4.结合教学楼改造高频通病：门窗密封渗水、墙面涂料开裂脱落、吊顶变形、地砖空鼓、电路接线不规范等制定专项防治手段。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1.安全生产管理体系； 2.拆除工程安全专项措施； 3.安全检查与隐患排查措施； 4.用电安全专项措施及安全应急预案。 二、评分标准 每提供一项计2分，最高计8分。每有一处内容存在缺陷扣0.5分，扣完为止，每缺一项，或内容直接复制其他项目，或无针对性内容，或仅列标题/框架，或无具体落地措施，该项得0分。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1.建材与建筑垃圾分区隔离； 2.制定静音、降噪制度； 3.现场环境管理； 4.文明施工管理。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1.匹配清单大量铲除拆除工序制定拆除扬尘管控措施； 2.拆除作业泥浆、施工废水处理处置方案； 二、评分标准 每提供一项计3.5分，最高计7分。每有一处内容存在缺陷扣0.5分，扣完为止，每缺一项，或内容直接复制其他项目，或无针对性内容，或仅列标题/框架，或无具体落地措施，该项得0分。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1.工期保障体系； 2.分楼层编制总进度计划编制； 3.匹配各分项工程量的人工班组、机械设备、主材进场时序保障方案； 4.关键节点控制； 5.遇校方因教学工作，临时压缩工期、材料供货滞后的增派班组、延长错峰作业赶工方案； 6.扬尘管控停工、材料延期、设备故障、校园临时管控等延误工况的处置方案。 二、评分标准 每提供一项计1分，最高计6分。每有一处内容存在缺陷扣0.5分，扣完为止，每缺一项，或内容直接复制其他项目，或无针对性内容，或仅列标题/框架，或无具体落地措施，该项得0分。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1.设置有针对本项目的管理机构； 2.项目部制定完善岗位权责划分、日常管理、奖惩约束全套内部管理制度、岗位职责清晰流程闭环 3.项目部配备属地化常驻管理、应急作业人员，建立现场应急物资、设备储备，具备独立快速本地突发事件处置能力； 4.建立劳动力动态调度、进退场、储备补充机制，可根据施工进度灵活调整作业人员数量，保障施工连续推进。 5.针对房屋建筑与装饰工程、电气工程、弱电工程、消防工程、拆除及建筑垃圾清运专项工程分阶段配置对应工种班组，各工种岗位职责清晰，人员配置贴合项目全周期各施工阶段作业需求。 二、评分标准 每提供一项计1分，最高计5分。每有一处内容存在缺陷扣0.5分，扣完为止，每缺一项，或内容直接复制其他项目，或无针对性内容，或仅列标题/框架，或无具体落地措施，该项得0分。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针对本工程提供具体可行并符合国家相关保修规范的售后服务承诺，包括但不限于： 1.保修期限承诺； 2.校园施工维修极速响应处置机制： 3.保修期内免费维修范围； 4.常用备品备件储备及供应方案等。 二、评分标准 每提供一项计1.5分，最高计6分。每有一处内容存在缺陷扣0.5分，扣完为止。每缺一项，或内容直接复制其他项目，或无针对性内容，或仅列标题/框架，或无具体落地措施，该项得0分。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一、评审内容 结合项目实际情况编制施工进度计划，提供施工进度表或施工网络图。 1.进度计划编制说明，提供施工进度表或施工网络图；2.各阶段工期安排合理； 3.进度计划与资源配置匹配。 二、评分标准 每提供一项计2分，最高计6分。每有一处内容存在缺陷扣0.5分，扣完为止，每缺一项，或内容直接复制其他项目，或无针对性内容，或仅列标题/框架，或无具体落地措施，该项得0分。 备注：缺陷包括但不限于存在项目名称错误、地点区域错误、内容与本项目需求无关、方案内容矛盾或表述前后不一致、仅有框架或标题、适用的标准（方法）错误、明显复制其他项目内容等情形。 独立一条不符合要求、一处文字错误、一处逻辑矛盾，计1处缺陷；同一自然段内多处同类瑕疵，合并计1处缺陷。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供应商针对本项目提供： 1.施工机械配置清单； 2.机械进场时间计划； 3.全套机械日常检修、现场维护保养计划； 4.材料进场批次计划； 5.材料质量保障承诺。 每提供一项计1.5分，最高计5分，每缺一项，或内容直接复制其他项目，或无针对性内容，或仅列标题/框架，或无具体落地措施，该项得0分。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劳动力充足保障承诺</w:t>
            </w:r>
          </w:p>
        </w:tc>
        <w:tc>
          <w:tcPr>
            <w:tcW w:type="dxa" w:w="2492"/>
          </w:tcPr>
          <w:p>
            <w:pPr>
              <w:pStyle w:val="null3"/>
            </w:pPr>
            <w:r>
              <w:rPr>
                <w:rFonts w:ascii="仿宋_GB2312" w:hAnsi="仿宋_GB2312" w:cs="仿宋_GB2312" w:eastAsia="仿宋_GB2312"/>
              </w:rPr>
              <w:t>根据工程量动态调配人员不出现人员不足、停工待工情况，保证工期节点，提供承诺的得1.5分，无承诺或承诺内容与上述无关的得0分。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每种产品得0.5分，最高得1分，没有不得分。（产品名称详见采购文件第二章：落实节能、环保产品政策第3项，供应商需提供优先采购产品认证证书）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具有2022年1月1日至今同类（装修改造）项目业绩(以合同签订日期为准)，业绩以合同复印件为依据，缺一不可。每个业绩计2分，5个以上(含5个)计10分。未提供计0分。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