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版本号：DQA-2026097-CS.1B120260824001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陕西省“十五五”固体废物污染防治规划编制项目(二次)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DQA-2026097-CS.1B1</w:t>
      </w:r>
      <w:r>
        <w:br/>
      </w:r>
      <w:r>
        <w:br/>
      </w:r>
      <w:r>
        <w:br/>
      </w:r>
    </w:p>
    <w:p>
      <w:pPr>
        <w:pStyle w:val="null3"/>
        <w:jc w:val="center"/>
        <w:outlineLvl w:val="2"/>
      </w:pPr>
      <w:r>
        <w:rPr>
          <w:rFonts w:ascii="仿宋_GB2312" w:hAnsi="仿宋_GB2312" w:cs="仿宋_GB2312" w:eastAsia="仿宋_GB2312"/>
          <w:sz w:val="28"/>
          <w:b/>
        </w:rPr>
        <w:t>陕西省生态环境厅机关</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陕西省生态环境厅机关</w:t>
      </w:r>
      <w:r>
        <w:rPr>
          <w:rFonts w:ascii="仿宋_GB2312" w:hAnsi="仿宋_GB2312" w:cs="仿宋_GB2312" w:eastAsia="仿宋_GB2312"/>
        </w:rPr>
        <w:t>委托，拟对</w:t>
      </w:r>
      <w:r>
        <w:rPr>
          <w:rFonts w:ascii="仿宋_GB2312" w:hAnsi="仿宋_GB2312" w:cs="仿宋_GB2312" w:eastAsia="仿宋_GB2312"/>
        </w:rPr>
        <w:t>陕西省“十五五”固体废物污染防治规划编制项目(二次)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DQA-2026097-CS.1B1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陕西省“十五五”固体废物污染防治规划编制项目(二次)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系统梳理陕西省“十四五”期间固体废物污染环境防治工作成效与短板，分析研判“十五五”时期面临的时代背景和新形势、新挑战，以推动固体废物减量化、资源化、无害化为核心主线，以构建源头减量、过程管控、末端利用和全链条无害化管理的综合治理体系为总体目标，科学提出陕西省“十五五”时期固体废物污染环境防治的基本原则、目标指标、重点任务和重大工程，形成《陕西省“十四五”固体废物污染防治评估报告》《陕西省“十五五”固体废物污染防治规划》。</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1、营业执照等主体资格证明文件：提供有效存续的企业营业执照（副本）/事业单位法人证书/专业服务机构执业许可证/民办非企业单位登记证书等主体资格证明文件，自然人提供身份证明。</w:t>
      </w:r>
    </w:p>
    <w:p>
      <w:pPr>
        <w:pStyle w:val="null3"/>
      </w:pPr>
      <w:r>
        <w:rPr>
          <w:rFonts w:ascii="仿宋_GB2312" w:hAnsi="仿宋_GB2312" w:cs="仿宋_GB2312" w:eastAsia="仿宋_GB2312"/>
        </w:rPr>
        <w:t>2、财务状况报告：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8、法定代表人授权委托书：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法人的分支机构参与磋商时，除提供《法定代表人授权委托书》外，还须同时提供法人给分支机构出具的授权书。响应文件中凡是需要法定代表人盖章之处，非法人单位的负责人均参照执行。</w:t>
      </w:r>
    </w:p>
    <w:p>
      <w:pPr>
        <w:pStyle w:val="null3"/>
      </w:pPr>
      <w:r>
        <w:rPr>
          <w:rFonts w:ascii="仿宋_GB2312" w:hAnsi="仿宋_GB2312" w:cs="仿宋_GB2312" w:eastAsia="仿宋_GB2312"/>
        </w:rPr>
        <w:t>9、本项目不接受联合体磋商：供应商应提供《非联合体不分包磋商声明》，视为独立磋商，不分包。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陕西省生态环境厅机关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省政府前大楼10层西侧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029-63916243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银行账号：52880188000167983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代理服务费收费标准：参照国家计委颁发的《招标代理服务收费管理暂行办法》（计价格[2002]1980号）和国家发展和改革委员发改价格【2011】534号文规定，由成交供应商向采购代理机构支付招标代理服务费。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陕西省生态环境厅机关</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陕西省生态环境厅机关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陕西省生态环境厅机关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系统梳理陕西省“十四五”期间固体废物污染环境防治工作成效与短板，分析研判“十五五”时期面临的时代背景和新形势、新挑战，以推动固体废物减量化、资源化、无害化为核心主线，以构建源头减量、过程管控、末端利用和全链条无害化管理的综合治理体系为总体目标，科学提出陕西省“十五五”时期固体废物污染环境防治的基本原则、目标指标、重点任务和重大工程，形成《陕西省“十四五”固体废物污染防治评估报告》《陕西省“十五五”固体废物污染防治规划》。</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陕西省“十五五”固体废物污染防治规划编制项目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标的名称：陕西省“十五五”固体废物污染防治规划编制项目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color w:val="000000"/>
              </w:rPr>
              <w:t>“十五五”时期是贯彻落实全面推进美丽中国建设各项目标任务要求、加快建设美丽陕西的关键时期，也是实现生态环境根本好转的关键时期</w:t>
            </w:r>
            <w:r>
              <w:rPr>
                <w:rFonts w:ascii="仿宋_GB2312" w:hAnsi="仿宋_GB2312" w:cs="仿宋_GB2312" w:eastAsia="仿宋_GB2312"/>
                <w:sz w:val="24"/>
                <w:color w:val="000000"/>
              </w:rPr>
              <w:t>，</w:t>
            </w:r>
            <w:r>
              <w:rPr>
                <w:rFonts w:ascii="仿宋_GB2312" w:hAnsi="仿宋_GB2312" w:cs="仿宋_GB2312" w:eastAsia="仿宋_GB2312"/>
                <w:sz w:val="24"/>
                <w:color w:val="000000"/>
              </w:rPr>
              <w:t>开展陕西省</w:t>
            </w:r>
            <w:r>
              <w:rPr>
                <w:rFonts w:ascii="仿宋_GB2312" w:hAnsi="仿宋_GB2312" w:cs="仿宋_GB2312" w:eastAsia="仿宋_GB2312"/>
                <w:sz w:val="24"/>
                <w:color w:val="000000"/>
              </w:rPr>
              <w:t>“十五五”固体废物污染</w:t>
            </w:r>
            <w:r>
              <w:rPr>
                <w:rFonts w:ascii="仿宋_GB2312" w:hAnsi="仿宋_GB2312" w:cs="仿宋_GB2312" w:eastAsia="仿宋_GB2312"/>
                <w:sz w:val="24"/>
                <w:color w:val="000000"/>
              </w:rPr>
              <w:t>防治规划</w:t>
            </w:r>
            <w:r>
              <w:rPr>
                <w:rFonts w:ascii="仿宋_GB2312" w:hAnsi="仿宋_GB2312" w:cs="仿宋_GB2312" w:eastAsia="仿宋_GB2312"/>
                <w:sz w:val="24"/>
                <w:color w:val="000000"/>
              </w:rPr>
              <w:t>编制工作，是陕西省主动对标对表国家顶层设计，将国家战略部署转化为具体行动的重要举措，是提升生态环境质量、筑牢生态安全屏障的应有之义，也是高水平建设美丽中国的现实需要</w:t>
            </w:r>
            <w:r>
              <w:rPr>
                <w:rFonts w:ascii="仿宋_GB2312" w:hAnsi="仿宋_GB2312" w:cs="仿宋_GB2312" w:eastAsia="仿宋_GB2312"/>
                <w:sz w:val="24"/>
                <w:color w:val="000000"/>
              </w:rPr>
              <w:t>。</w:t>
            </w:r>
          </w:p>
          <w:p>
            <w:pPr>
              <w:pStyle w:val="null3"/>
              <w:ind w:firstLine="482"/>
              <w:jc w:val="both"/>
            </w:pPr>
            <w:r>
              <w:rPr>
                <w:rFonts w:ascii="仿宋_GB2312" w:hAnsi="仿宋_GB2312" w:cs="仿宋_GB2312" w:eastAsia="仿宋_GB2312"/>
                <w:sz w:val="24"/>
                <w:b/>
                <w:color w:val="000000"/>
              </w:rPr>
              <w:t>主要</w:t>
            </w:r>
            <w:r>
              <w:rPr>
                <w:rFonts w:ascii="仿宋_GB2312" w:hAnsi="仿宋_GB2312" w:cs="仿宋_GB2312" w:eastAsia="仿宋_GB2312"/>
                <w:sz w:val="24"/>
                <w:b/>
                <w:color w:val="000000"/>
              </w:rPr>
              <w:t>采购需求：</w:t>
            </w:r>
          </w:p>
          <w:p>
            <w:pPr>
              <w:pStyle w:val="null3"/>
              <w:ind w:firstLine="482"/>
              <w:jc w:val="both"/>
            </w:pPr>
            <w:r>
              <w:rPr>
                <w:rFonts w:ascii="仿宋_GB2312" w:hAnsi="仿宋_GB2312" w:cs="仿宋_GB2312" w:eastAsia="仿宋_GB2312"/>
                <w:sz w:val="24"/>
                <w:b/>
                <w:color w:val="000000"/>
              </w:rPr>
              <w:t>（一）完成现状调查与问题研判</w:t>
            </w:r>
          </w:p>
          <w:p>
            <w:pPr>
              <w:pStyle w:val="null3"/>
              <w:ind w:firstLine="480"/>
              <w:jc w:val="both"/>
            </w:pPr>
            <w:r>
              <w:rPr>
                <w:rFonts w:ascii="仿宋_GB2312" w:hAnsi="仿宋_GB2312" w:cs="仿宋_GB2312" w:eastAsia="仿宋_GB2312"/>
                <w:sz w:val="24"/>
                <w:color w:val="000000"/>
              </w:rPr>
              <w:t>1.开展全省固体废物污染</w:t>
            </w:r>
            <w:r>
              <w:rPr>
                <w:rFonts w:ascii="仿宋_GB2312" w:hAnsi="仿宋_GB2312" w:cs="仿宋_GB2312" w:eastAsia="仿宋_GB2312"/>
                <w:sz w:val="24"/>
                <w:color w:val="000000"/>
              </w:rPr>
              <w:t>防治现状调查</w:t>
            </w:r>
            <w:r>
              <w:rPr>
                <w:rFonts w:ascii="仿宋_GB2312" w:hAnsi="仿宋_GB2312" w:cs="仿宋_GB2312" w:eastAsia="仿宋_GB2312"/>
                <w:sz w:val="24"/>
                <w:color w:val="000000"/>
              </w:rPr>
              <w:t>，</w:t>
            </w:r>
            <w:r>
              <w:rPr>
                <w:rFonts w:ascii="仿宋_GB2312" w:hAnsi="仿宋_GB2312" w:cs="仿宋_GB2312" w:eastAsia="仿宋_GB2312"/>
                <w:sz w:val="24"/>
                <w:color w:val="000000"/>
              </w:rPr>
              <w:t>系统梳理工业固体废物、危险废物（含医疗废物）</w:t>
            </w:r>
            <w:r>
              <w:rPr>
                <w:rFonts w:ascii="仿宋_GB2312" w:hAnsi="仿宋_GB2312" w:cs="仿宋_GB2312" w:eastAsia="仿宋_GB2312"/>
                <w:sz w:val="24"/>
                <w:color w:val="000000"/>
              </w:rPr>
              <w:t>等各类固废的产生、收集、转运、贮存、利用、处置情况，建立</w:t>
            </w:r>
            <w:r>
              <w:rPr>
                <w:rFonts w:ascii="仿宋_GB2312" w:hAnsi="仿宋_GB2312" w:cs="仿宋_GB2312" w:eastAsia="仿宋_GB2312"/>
                <w:sz w:val="24"/>
                <w:color w:val="000000"/>
              </w:rPr>
              <w:t>翔实</w:t>
            </w:r>
            <w:r>
              <w:rPr>
                <w:rFonts w:ascii="仿宋_GB2312" w:hAnsi="仿宋_GB2312" w:cs="仿宋_GB2312" w:eastAsia="仿宋_GB2312"/>
                <w:sz w:val="24"/>
                <w:color w:val="000000"/>
              </w:rPr>
              <w:t>的基础数据库。</w:t>
            </w:r>
          </w:p>
          <w:p>
            <w:pPr>
              <w:pStyle w:val="null3"/>
              <w:ind w:firstLine="480"/>
              <w:jc w:val="both"/>
            </w:pPr>
            <w:r>
              <w:rPr>
                <w:rFonts w:ascii="仿宋_GB2312" w:hAnsi="仿宋_GB2312" w:cs="仿宋_GB2312" w:eastAsia="仿宋_GB2312"/>
                <w:sz w:val="24"/>
                <w:color w:val="000000"/>
              </w:rPr>
              <w:t>2.总结“十四五”期间</w:t>
            </w:r>
            <w:r>
              <w:rPr>
                <w:rFonts w:ascii="仿宋_GB2312" w:hAnsi="仿宋_GB2312" w:cs="仿宋_GB2312" w:eastAsia="仿宋_GB2312"/>
                <w:sz w:val="24"/>
                <w:color w:val="000000"/>
              </w:rPr>
              <w:t>陕西</w:t>
            </w:r>
            <w:r>
              <w:rPr>
                <w:rFonts w:ascii="仿宋_GB2312" w:hAnsi="仿宋_GB2312" w:cs="仿宋_GB2312" w:eastAsia="仿宋_GB2312"/>
                <w:sz w:val="24"/>
                <w:color w:val="000000"/>
              </w:rPr>
              <w:t>省在</w:t>
            </w:r>
            <w:r>
              <w:rPr>
                <w:rFonts w:ascii="仿宋_GB2312" w:hAnsi="仿宋_GB2312" w:cs="仿宋_GB2312" w:eastAsia="仿宋_GB2312"/>
                <w:sz w:val="24"/>
                <w:color w:val="000000"/>
              </w:rPr>
              <w:t>固体废物污染</w:t>
            </w:r>
            <w:r>
              <w:rPr>
                <w:rFonts w:ascii="仿宋_GB2312" w:hAnsi="仿宋_GB2312" w:cs="仿宋_GB2312" w:eastAsia="仿宋_GB2312"/>
                <w:sz w:val="24"/>
                <w:color w:val="000000"/>
              </w:rPr>
              <w:t>防治方面的政策成效、技术成果、管理经验及重大工程项目</w:t>
            </w:r>
            <w:r>
              <w:rPr>
                <w:rFonts w:ascii="仿宋_GB2312" w:hAnsi="仿宋_GB2312" w:cs="仿宋_GB2312" w:eastAsia="仿宋_GB2312"/>
                <w:sz w:val="24"/>
                <w:color w:val="000000"/>
              </w:rPr>
              <w:t>建设与</w:t>
            </w:r>
            <w:r>
              <w:rPr>
                <w:rFonts w:ascii="仿宋_GB2312" w:hAnsi="仿宋_GB2312" w:cs="仿宋_GB2312" w:eastAsia="仿宋_GB2312"/>
                <w:sz w:val="24"/>
                <w:color w:val="000000"/>
              </w:rPr>
              <w:t>实施情况。</w:t>
            </w:r>
          </w:p>
          <w:p>
            <w:pPr>
              <w:pStyle w:val="null3"/>
              <w:ind w:firstLine="480"/>
              <w:jc w:val="both"/>
            </w:pPr>
            <w:r>
              <w:rPr>
                <w:rFonts w:ascii="仿宋_GB2312" w:hAnsi="仿宋_GB2312" w:cs="仿宋_GB2312" w:eastAsia="仿宋_GB2312"/>
                <w:sz w:val="24"/>
                <w:color w:val="000000"/>
              </w:rPr>
              <w:t>3.深入分析当前存在的突出问题与薄弱环节，</w:t>
            </w:r>
            <w:r>
              <w:rPr>
                <w:rFonts w:ascii="仿宋_GB2312" w:hAnsi="仿宋_GB2312" w:cs="仿宋_GB2312" w:eastAsia="仿宋_GB2312"/>
                <w:sz w:val="24"/>
                <w:color w:val="000000"/>
              </w:rPr>
              <w:t>精准研判</w:t>
            </w:r>
            <w:r>
              <w:rPr>
                <w:rFonts w:ascii="仿宋_GB2312" w:hAnsi="仿宋_GB2312" w:cs="仿宋_GB2312" w:eastAsia="仿宋_GB2312"/>
                <w:sz w:val="24"/>
                <w:color w:val="000000"/>
              </w:rPr>
              <w:t>“十五五”时期</w:t>
            </w:r>
            <w:r>
              <w:rPr>
                <w:rFonts w:ascii="仿宋_GB2312" w:hAnsi="仿宋_GB2312" w:cs="仿宋_GB2312" w:eastAsia="仿宋_GB2312"/>
                <w:sz w:val="24"/>
                <w:color w:val="000000"/>
              </w:rPr>
              <w:t>陕西省在固体废物污染</w:t>
            </w:r>
            <w:r>
              <w:rPr>
                <w:rFonts w:ascii="仿宋_GB2312" w:hAnsi="仿宋_GB2312" w:cs="仿宋_GB2312" w:eastAsia="仿宋_GB2312"/>
                <w:sz w:val="24"/>
                <w:color w:val="000000"/>
              </w:rPr>
              <w:t>防治</w:t>
            </w:r>
            <w:r>
              <w:rPr>
                <w:rFonts w:ascii="仿宋_GB2312" w:hAnsi="仿宋_GB2312" w:cs="仿宋_GB2312" w:eastAsia="仿宋_GB2312"/>
                <w:sz w:val="24"/>
                <w:color w:val="000000"/>
              </w:rPr>
              <w:t>方面</w:t>
            </w:r>
            <w:r>
              <w:rPr>
                <w:rFonts w:ascii="仿宋_GB2312" w:hAnsi="仿宋_GB2312" w:cs="仿宋_GB2312" w:eastAsia="仿宋_GB2312"/>
                <w:sz w:val="24"/>
                <w:color w:val="000000"/>
              </w:rPr>
              <w:t>面临的新形势、新挑战</w:t>
            </w:r>
            <w:r>
              <w:rPr>
                <w:rFonts w:ascii="仿宋_GB2312" w:hAnsi="仿宋_GB2312" w:cs="仿宋_GB2312" w:eastAsia="仿宋_GB2312"/>
                <w:sz w:val="24"/>
                <w:color w:val="000000"/>
              </w:rPr>
              <w:t>。</w:t>
            </w:r>
          </w:p>
          <w:p>
            <w:pPr>
              <w:pStyle w:val="null3"/>
              <w:ind w:firstLine="482"/>
              <w:jc w:val="both"/>
            </w:pPr>
            <w:r>
              <w:rPr>
                <w:rFonts w:ascii="仿宋_GB2312" w:hAnsi="仿宋_GB2312" w:cs="仿宋_GB2312" w:eastAsia="仿宋_GB2312"/>
                <w:sz w:val="24"/>
                <w:b/>
                <w:color w:val="000000"/>
              </w:rPr>
              <w:t>（二）开展规划编制基础研究</w:t>
            </w:r>
          </w:p>
          <w:p>
            <w:pPr>
              <w:pStyle w:val="null3"/>
              <w:ind w:firstLine="480"/>
              <w:jc w:val="both"/>
            </w:pPr>
            <w:r>
              <w:rPr>
                <w:rFonts w:ascii="仿宋_GB2312" w:hAnsi="仿宋_GB2312" w:cs="仿宋_GB2312" w:eastAsia="仿宋_GB2312"/>
                <w:sz w:val="24"/>
                <w:color w:val="000000"/>
              </w:rPr>
              <w:t>1.政策对标研究：</w:t>
            </w:r>
            <w:r>
              <w:rPr>
                <w:rFonts w:ascii="仿宋_GB2312" w:hAnsi="仿宋_GB2312" w:cs="仿宋_GB2312" w:eastAsia="仿宋_GB2312"/>
                <w:sz w:val="24"/>
                <w:color w:val="000000"/>
              </w:rPr>
              <w:t>系统梳理国家及地方相关法律法规、政策文件、技术标准，</w:t>
            </w:r>
            <w:r>
              <w:rPr>
                <w:rFonts w:ascii="仿宋_GB2312" w:hAnsi="仿宋_GB2312" w:cs="仿宋_GB2312" w:eastAsia="仿宋_GB2312"/>
                <w:sz w:val="24"/>
                <w:color w:val="000000"/>
              </w:rPr>
              <w:t>明确规划编制政策依据、核心要求和重点方向。</w:t>
            </w:r>
          </w:p>
          <w:p>
            <w:pPr>
              <w:pStyle w:val="null3"/>
              <w:ind w:firstLine="480"/>
              <w:jc w:val="both"/>
            </w:pPr>
            <w:r>
              <w:rPr>
                <w:rFonts w:ascii="仿宋_GB2312" w:hAnsi="仿宋_GB2312" w:cs="仿宋_GB2312" w:eastAsia="仿宋_GB2312"/>
                <w:sz w:val="24"/>
                <w:color w:val="000000"/>
              </w:rPr>
              <w:t>2.重点领域专题研究：围绕</w:t>
            </w:r>
            <w:r>
              <w:rPr>
                <w:rFonts w:ascii="仿宋_GB2312" w:hAnsi="仿宋_GB2312" w:cs="仿宋_GB2312" w:eastAsia="仿宋_GB2312"/>
                <w:sz w:val="24"/>
                <w:color w:val="000000"/>
              </w:rPr>
              <w:t>工业固废源头减量与大宗固废综合利用、危险废物全链条风险管控</w:t>
            </w:r>
            <w:r>
              <w:rPr>
                <w:rFonts w:ascii="仿宋_GB2312" w:hAnsi="仿宋_GB2312" w:cs="仿宋_GB2312" w:eastAsia="仿宋_GB2312"/>
                <w:sz w:val="24"/>
                <w:color w:val="000000"/>
              </w:rPr>
              <w:t>和</w:t>
            </w:r>
            <w:r>
              <w:rPr>
                <w:rFonts w:ascii="仿宋_GB2312" w:hAnsi="仿宋_GB2312" w:cs="仿宋_GB2312" w:eastAsia="仿宋_GB2312"/>
                <w:sz w:val="24"/>
                <w:color w:val="000000"/>
              </w:rPr>
              <w:t>信息化</w:t>
            </w:r>
            <w:r>
              <w:rPr>
                <w:rFonts w:ascii="仿宋_GB2312" w:hAnsi="仿宋_GB2312" w:cs="仿宋_GB2312" w:eastAsia="仿宋_GB2312"/>
                <w:sz w:val="24"/>
                <w:color w:val="000000"/>
              </w:rPr>
              <w:t>环境</w:t>
            </w:r>
            <w:r>
              <w:rPr>
                <w:rFonts w:ascii="仿宋_GB2312" w:hAnsi="仿宋_GB2312" w:cs="仿宋_GB2312" w:eastAsia="仿宋_GB2312"/>
                <w:sz w:val="24"/>
                <w:color w:val="000000"/>
              </w:rPr>
              <w:t>监管能力建设</w:t>
            </w:r>
            <w:r>
              <w:rPr>
                <w:rFonts w:ascii="仿宋_GB2312" w:hAnsi="仿宋_GB2312" w:cs="仿宋_GB2312" w:eastAsia="仿宋_GB2312"/>
                <w:sz w:val="24"/>
                <w:color w:val="000000"/>
              </w:rPr>
              <w:t>和</w:t>
            </w:r>
            <w:r>
              <w:rPr>
                <w:rFonts w:ascii="仿宋_GB2312" w:hAnsi="仿宋_GB2312" w:cs="仿宋_GB2312" w:eastAsia="仿宋_GB2312"/>
                <w:sz w:val="24"/>
                <w:color w:val="000000"/>
              </w:rPr>
              <w:t>固废堆场、</w:t>
            </w:r>
            <w:r>
              <w:rPr>
                <w:rFonts w:ascii="仿宋_GB2312" w:hAnsi="仿宋_GB2312" w:cs="仿宋_GB2312" w:eastAsia="仿宋_GB2312"/>
                <w:sz w:val="24"/>
                <w:color w:val="000000"/>
              </w:rPr>
              <w:t>生活垃圾</w:t>
            </w:r>
            <w:r>
              <w:rPr>
                <w:rFonts w:ascii="仿宋_GB2312" w:hAnsi="仿宋_GB2312" w:cs="仿宋_GB2312" w:eastAsia="仿宋_GB2312"/>
                <w:sz w:val="24"/>
                <w:color w:val="000000"/>
              </w:rPr>
              <w:t>填埋场专项排查整治</w:t>
            </w:r>
            <w:r>
              <w:rPr>
                <w:rFonts w:ascii="仿宋_GB2312" w:hAnsi="仿宋_GB2312" w:cs="仿宋_GB2312" w:eastAsia="仿宋_GB2312"/>
                <w:sz w:val="24"/>
                <w:color w:val="000000"/>
              </w:rPr>
              <w:t>等重点领域开展专题研究，提出针对性</w:t>
            </w:r>
            <w:r>
              <w:rPr>
                <w:rFonts w:ascii="仿宋_GB2312" w:hAnsi="仿宋_GB2312" w:cs="仿宋_GB2312" w:eastAsia="仿宋_GB2312"/>
                <w:sz w:val="24"/>
                <w:color w:val="000000"/>
              </w:rPr>
              <w:t>的治理技术路线和政策措施。</w:t>
            </w:r>
          </w:p>
          <w:p>
            <w:pPr>
              <w:pStyle w:val="null3"/>
              <w:jc w:val="both"/>
            </w:pPr>
            <w:r>
              <w:rPr>
                <w:rFonts w:ascii="仿宋_GB2312" w:hAnsi="仿宋_GB2312" w:cs="仿宋_GB2312" w:eastAsia="仿宋_GB2312"/>
                <w:sz w:val="24"/>
                <w:color w:val="000000"/>
              </w:rPr>
              <w:t>3.目标指标测算：</w:t>
            </w:r>
            <w:r>
              <w:rPr>
                <w:rFonts w:ascii="仿宋_GB2312" w:hAnsi="仿宋_GB2312" w:cs="仿宋_GB2312" w:eastAsia="仿宋_GB2312"/>
                <w:sz w:val="24"/>
                <w:color w:val="000000"/>
              </w:rPr>
              <w:t>结合国家、陕西省</w:t>
            </w:r>
            <w:r>
              <w:rPr>
                <w:rFonts w:ascii="仿宋_GB2312" w:hAnsi="仿宋_GB2312" w:cs="仿宋_GB2312" w:eastAsia="仿宋_GB2312"/>
                <w:sz w:val="24"/>
                <w:color w:val="000000"/>
              </w:rPr>
              <w:t>相关</w:t>
            </w:r>
            <w:r>
              <w:rPr>
                <w:rFonts w:ascii="仿宋_GB2312" w:hAnsi="仿宋_GB2312" w:cs="仿宋_GB2312" w:eastAsia="仿宋_GB2312"/>
                <w:sz w:val="24"/>
                <w:color w:val="000000"/>
              </w:rPr>
              <w:t>“十五五”</w:t>
            </w:r>
            <w:r>
              <w:rPr>
                <w:rFonts w:ascii="仿宋_GB2312" w:hAnsi="仿宋_GB2312" w:cs="仿宋_GB2312" w:eastAsia="仿宋_GB2312"/>
                <w:sz w:val="24"/>
                <w:color w:val="000000"/>
              </w:rPr>
              <w:t>规划</w:t>
            </w:r>
            <w:r>
              <w:rPr>
                <w:rFonts w:ascii="仿宋_GB2312" w:hAnsi="仿宋_GB2312" w:cs="仿宋_GB2312" w:eastAsia="仿宋_GB2312"/>
                <w:sz w:val="24"/>
                <w:color w:val="000000"/>
              </w:rPr>
              <w:t>目标</w:t>
            </w:r>
            <w:r>
              <w:rPr>
                <w:rFonts w:ascii="仿宋_GB2312" w:hAnsi="仿宋_GB2312" w:cs="仿宋_GB2312" w:eastAsia="仿宋_GB2312"/>
                <w:sz w:val="24"/>
                <w:color w:val="000000"/>
              </w:rPr>
              <w:t>和陕西</w:t>
            </w:r>
            <w:r>
              <w:rPr>
                <w:rFonts w:ascii="仿宋_GB2312" w:hAnsi="仿宋_GB2312" w:cs="仿宋_GB2312" w:eastAsia="仿宋_GB2312"/>
                <w:sz w:val="24"/>
                <w:color w:val="000000"/>
              </w:rPr>
              <w:t>省经济社会发展预期及治理能力现状，科学测算</w:t>
            </w:r>
            <w:r>
              <w:rPr>
                <w:rFonts w:ascii="仿宋_GB2312" w:hAnsi="仿宋_GB2312" w:cs="仿宋_GB2312" w:eastAsia="仿宋_GB2312"/>
                <w:sz w:val="24"/>
                <w:color w:val="000000"/>
              </w:rPr>
              <w:t>“十五五”时期</w:t>
            </w:r>
            <w:r>
              <w:rPr>
                <w:rFonts w:ascii="仿宋_GB2312" w:hAnsi="仿宋_GB2312" w:cs="仿宋_GB2312" w:eastAsia="仿宋_GB2312"/>
                <w:sz w:val="24"/>
                <w:color w:val="000000"/>
              </w:rPr>
              <w:t>固体废物</w:t>
            </w:r>
            <w:r>
              <w:rPr>
                <w:rFonts w:ascii="仿宋_GB2312" w:hAnsi="仿宋_GB2312" w:cs="仿宋_GB2312" w:eastAsia="仿宋_GB2312"/>
                <w:sz w:val="24"/>
                <w:color w:val="000000"/>
              </w:rPr>
              <w:t>污染</w:t>
            </w:r>
            <w:r>
              <w:rPr>
                <w:rFonts w:ascii="仿宋_GB2312" w:hAnsi="仿宋_GB2312" w:cs="仿宋_GB2312" w:eastAsia="仿宋_GB2312"/>
                <w:sz w:val="24"/>
                <w:color w:val="000000"/>
              </w:rPr>
              <w:t>环境</w:t>
            </w:r>
            <w:r>
              <w:rPr>
                <w:rFonts w:ascii="仿宋_GB2312" w:hAnsi="仿宋_GB2312" w:cs="仿宋_GB2312" w:eastAsia="仿宋_GB2312"/>
                <w:sz w:val="24"/>
                <w:color w:val="000000"/>
              </w:rPr>
              <w:t>防治核心指标，</w:t>
            </w:r>
            <w:r>
              <w:rPr>
                <w:rFonts w:ascii="仿宋_GB2312" w:hAnsi="仿宋_GB2312" w:cs="仿宋_GB2312" w:eastAsia="仿宋_GB2312"/>
                <w:sz w:val="24"/>
                <w:color w:val="000000"/>
              </w:rPr>
              <w:t>制定</w:t>
            </w:r>
            <w:r>
              <w:rPr>
                <w:rFonts w:ascii="仿宋_GB2312" w:hAnsi="仿宋_GB2312" w:cs="仿宋_GB2312" w:eastAsia="仿宋_GB2312"/>
                <w:sz w:val="24"/>
                <w:color w:val="000000"/>
              </w:rPr>
              <w:t>陕北</w:t>
            </w:r>
            <w:r>
              <w:rPr>
                <w:rFonts w:ascii="仿宋_GB2312" w:hAnsi="仿宋_GB2312" w:cs="仿宋_GB2312" w:eastAsia="仿宋_GB2312"/>
                <w:sz w:val="24"/>
                <w:color w:val="000000"/>
              </w:rPr>
              <w:t>地区</w:t>
            </w:r>
            <w:r>
              <w:rPr>
                <w:rFonts w:ascii="仿宋_GB2312" w:hAnsi="仿宋_GB2312" w:cs="仿宋_GB2312" w:eastAsia="仿宋_GB2312"/>
                <w:sz w:val="24"/>
                <w:color w:val="000000"/>
              </w:rPr>
              <w:t>、关中</w:t>
            </w:r>
            <w:r>
              <w:rPr>
                <w:rFonts w:ascii="仿宋_GB2312" w:hAnsi="仿宋_GB2312" w:cs="仿宋_GB2312" w:eastAsia="仿宋_GB2312"/>
                <w:sz w:val="24"/>
                <w:color w:val="000000"/>
              </w:rPr>
              <w:t>地区</w:t>
            </w:r>
            <w:r>
              <w:rPr>
                <w:rFonts w:ascii="仿宋_GB2312" w:hAnsi="仿宋_GB2312" w:cs="仿宋_GB2312" w:eastAsia="仿宋_GB2312"/>
                <w:sz w:val="24"/>
                <w:color w:val="000000"/>
              </w:rPr>
              <w:t>、陕南</w:t>
            </w:r>
            <w:r>
              <w:rPr>
                <w:rFonts w:ascii="仿宋_GB2312" w:hAnsi="仿宋_GB2312" w:cs="仿宋_GB2312" w:eastAsia="仿宋_GB2312"/>
                <w:sz w:val="24"/>
                <w:color w:val="000000"/>
              </w:rPr>
              <w:t>地区分地域落实指标，</w:t>
            </w:r>
            <w:r>
              <w:rPr>
                <w:rFonts w:ascii="仿宋_GB2312" w:hAnsi="仿宋_GB2312" w:cs="仿宋_GB2312" w:eastAsia="仿宋_GB2312"/>
                <w:sz w:val="24"/>
                <w:color w:val="000000"/>
              </w:rPr>
              <w:t>确保指标兼具科学性、前瞻性和可实现性。</w:t>
            </w:r>
          </w:p>
          <w:p>
            <w:pPr>
              <w:pStyle w:val="null3"/>
              <w:ind w:firstLine="482"/>
              <w:jc w:val="both"/>
            </w:pPr>
            <w:r>
              <w:rPr>
                <w:rFonts w:ascii="仿宋_GB2312" w:hAnsi="仿宋_GB2312" w:cs="仿宋_GB2312" w:eastAsia="仿宋_GB2312"/>
                <w:sz w:val="24"/>
                <w:b/>
                <w:color w:val="000000"/>
              </w:rPr>
              <w:t>（三）组织编制规划文本</w:t>
            </w:r>
          </w:p>
          <w:p>
            <w:pPr>
              <w:pStyle w:val="null3"/>
              <w:ind w:firstLine="480"/>
              <w:jc w:val="both"/>
            </w:pPr>
            <w:r>
              <w:rPr>
                <w:rFonts w:ascii="仿宋_GB2312" w:hAnsi="仿宋_GB2312" w:cs="仿宋_GB2312" w:eastAsia="仿宋_GB2312"/>
                <w:sz w:val="24"/>
                <w:color w:val="000000"/>
              </w:rPr>
              <w:t>1.明确规划总体思路：</w:t>
            </w:r>
            <w:r>
              <w:rPr>
                <w:rFonts w:ascii="仿宋_GB2312" w:hAnsi="仿宋_GB2312" w:cs="仿宋_GB2312" w:eastAsia="仿宋_GB2312"/>
                <w:sz w:val="24"/>
                <w:color w:val="000000"/>
              </w:rPr>
              <w:t>确立</w:t>
            </w:r>
            <w:r>
              <w:rPr>
                <w:rFonts w:ascii="仿宋_GB2312" w:hAnsi="仿宋_GB2312" w:cs="仿宋_GB2312" w:eastAsia="仿宋_GB2312"/>
                <w:sz w:val="24"/>
                <w:color w:val="000000"/>
              </w:rPr>
              <w:t>固体废物</w:t>
            </w:r>
            <w:r>
              <w:rPr>
                <w:rFonts w:ascii="仿宋_GB2312" w:hAnsi="仿宋_GB2312" w:cs="仿宋_GB2312" w:eastAsia="仿宋_GB2312"/>
                <w:sz w:val="24"/>
                <w:color w:val="000000"/>
              </w:rPr>
              <w:t>“减量化、资源化、无害化”</w:t>
            </w:r>
            <w:r>
              <w:rPr>
                <w:rFonts w:ascii="仿宋_GB2312" w:hAnsi="仿宋_GB2312" w:cs="仿宋_GB2312" w:eastAsia="仿宋_GB2312"/>
                <w:sz w:val="24"/>
                <w:color w:val="000000"/>
              </w:rPr>
              <w:t>的总体</w:t>
            </w:r>
            <w:r>
              <w:rPr>
                <w:rFonts w:ascii="仿宋_GB2312" w:hAnsi="仿宋_GB2312" w:cs="仿宋_GB2312" w:eastAsia="仿宋_GB2312"/>
                <w:sz w:val="24"/>
                <w:color w:val="000000"/>
              </w:rPr>
              <w:t>原则，明确规划编制的总体目标、基本原则和实施范围。</w:t>
            </w:r>
          </w:p>
          <w:p>
            <w:pPr>
              <w:pStyle w:val="null3"/>
              <w:ind w:firstLine="420"/>
              <w:jc w:val="both"/>
            </w:pPr>
            <w:r>
              <w:rPr>
                <w:rFonts w:ascii="仿宋_GB2312" w:hAnsi="仿宋_GB2312" w:cs="仿宋_GB2312" w:eastAsia="仿宋_GB2312"/>
                <w:sz w:val="24"/>
              </w:rPr>
              <w:t>2.制定重点任务举措：</w:t>
            </w:r>
            <w:r>
              <w:rPr>
                <w:rFonts w:ascii="仿宋_GB2312" w:hAnsi="仿宋_GB2312" w:cs="仿宋_GB2312" w:eastAsia="仿宋_GB2312"/>
                <w:sz w:val="24"/>
              </w:rPr>
              <w:t>分领域提出</w:t>
            </w:r>
            <w:r>
              <w:rPr>
                <w:rFonts w:ascii="仿宋_GB2312" w:hAnsi="仿宋_GB2312" w:cs="仿宋_GB2312" w:eastAsia="仿宋_GB2312"/>
                <w:sz w:val="24"/>
              </w:rPr>
              <w:t>“十五五”时期核心工作任务：</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强化工业领域源头管控</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完善收集转运体系</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提升</w:t>
            </w:r>
            <w:r>
              <w:rPr>
                <w:rFonts w:ascii="仿宋_GB2312" w:hAnsi="仿宋_GB2312" w:cs="仿宋_GB2312" w:eastAsia="仿宋_GB2312"/>
                <w:sz w:val="24"/>
              </w:rPr>
              <w:t>综合</w:t>
            </w:r>
            <w:r>
              <w:rPr>
                <w:rFonts w:ascii="仿宋_GB2312" w:hAnsi="仿宋_GB2312" w:cs="仿宋_GB2312" w:eastAsia="仿宋_GB2312"/>
                <w:sz w:val="24"/>
              </w:rPr>
              <w:t>利用水平</w:t>
            </w:r>
            <w:r>
              <w:rPr>
                <w:rFonts w:ascii="仿宋_GB2312" w:hAnsi="仿宋_GB2312" w:cs="仿宋_GB2312" w:eastAsia="仿宋_GB2312"/>
                <w:sz w:val="24"/>
              </w:rPr>
              <w:t>。</w:t>
            </w:r>
            <w:r>
              <w:rPr>
                <w:rFonts w:ascii="仿宋_GB2312" w:hAnsi="仿宋_GB2312" w:cs="仿宋_GB2312" w:eastAsia="仿宋_GB2312"/>
                <w:sz w:val="24"/>
              </w:rPr>
              <w:t>推动</w:t>
            </w:r>
            <w:r>
              <w:rPr>
                <w:rFonts w:ascii="仿宋_GB2312" w:hAnsi="仿宋_GB2312" w:cs="仿宋_GB2312" w:eastAsia="仿宋_GB2312"/>
                <w:sz w:val="24"/>
              </w:rPr>
              <w:t>煤矸石、尾矿、气化渣等</w:t>
            </w:r>
            <w:r>
              <w:rPr>
                <w:rFonts w:ascii="仿宋_GB2312" w:hAnsi="仿宋_GB2312" w:cs="仿宋_GB2312" w:eastAsia="仿宋_GB2312"/>
                <w:sz w:val="24"/>
              </w:rPr>
              <w:t>大宗固废多元化利用，</w:t>
            </w:r>
            <w:r>
              <w:rPr>
                <w:rFonts w:ascii="仿宋_GB2312" w:hAnsi="仿宋_GB2312" w:cs="仿宋_GB2312" w:eastAsia="仿宋_GB2312"/>
                <w:sz w:val="24"/>
              </w:rPr>
              <w:t>探索井下充填、矿坑回填、生态修复等规模化消纳利用途径。</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优化</w:t>
            </w:r>
            <w:r>
              <w:rPr>
                <w:rFonts w:ascii="仿宋_GB2312" w:hAnsi="仿宋_GB2312" w:cs="仿宋_GB2312" w:eastAsia="仿宋_GB2312"/>
                <w:sz w:val="24"/>
              </w:rPr>
              <w:t>调整利用处置能力结构。优化大宗固废利用能力布局</w:t>
            </w:r>
            <w:r>
              <w:rPr>
                <w:rFonts w:ascii="仿宋_GB2312" w:hAnsi="仿宋_GB2312" w:cs="仿宋_GB2312" w:eastAsia="仿宋_GB2312"/>
                <w:sz w:val="24"/>
              </w:rPr>
              <w:t>和</w:t>
            </w:r>
            <w:r>
              <w:rPr>
                <w:rFonts w:ascii="仿宋_GB2312" w:hAnsi="仿宋_GB2312" w:cs="仿宋_GB2312" w:eastAsia="仿宋_GB2312"/>
                <w:sz w:val="24"/>
              </w:rPr>
              <w:t>危险废物处置能力布局，</w:t>
            </w:r>
            <w:r>
              <w:rPr>
                <w:rFonts w:ascii="仿宋_GB2312" w:hAnsi="仿宋_GB2312" w:cs="仿宋_GB2312" w:eastAsia="仿宋_GB2312"/>
                <w:sz w:val="24"/>
              </w:rPr>
              <w:t>开展危险废物设施环境风险绩效评价</w:t>
            </w:r>
            <w:r>
              <w:rPr>
                <w:rFonts w:ascii="仿宋_GB2312" w:hAnsi="仿宋_GB2312" w:cs="仿宋_GB2312" w:eastAsia="仿宋_GB2312"/>
                <w:sz w:val="24"/>
              </w:rPr>
              <w:t>，</w:t>
            </w:r>
            <w:r>
              <w:rPr>
                <w:rFonts w:ascii="仿宋_GB2312" w:hAnsi="仿宋_GB2312" w:cs="仿宋_GB2312" w:eastAsia="仿宋_GB2312"/>
                <w:sz w:val="24"/>
              </w:rPr>
              <w:t>推动技术水平低、运行管理不稳定的设施逐步淘汰，</w:t>
            </w:r>
            <w:r>
              <w:rPr>
                <w:rFonts w:ascii="仿宋_GB2312" w:hAnsi="仿宋_GB2312" w:cs="仿宋_GB2312" w:eastAsia="仿宋_GB2312"/>
                <w:sz w:val="24"/>
              </w:rPr>
              <w:t>防范环境风险</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开展重点领域专项整治</w:t>
            </w:r>
            <w:r>
              <w:rPr>
                <w:rFonts w:ascii="仿宋_GB2312" w:hAnsi="仿宋_GB2312" w:cs="仿宋_GB2312" w:eastAsia="仿宋_GB2312"/>
                <w:sz w:val="24"/>
              </w:rPr>
              <w:t>。</w:t>
            </w:r>
            <w:r>
              <w:rPr>
                <w:rFonts w:ascii="仿宋_GB2312" w:hAnsi="仿宋_GB2312" w:cs="仿宋_GB2312" w:eastAsia="仿宋_GB2312"/>
                <w:sz w:val="24"/>
              </w:rPr>
              <w:t>推进历史遗留问题治理，针对陕北历史遗留矸石场、陕南汉江丹江流域涉重金属矿渣，实施</w:t>
            </w:r>
            <w:r>
              <w:rPr>
                <w:rFonts w:ascii="仿宋_GB2312" w:hAnsi="仿宋_GB2312" w:cs="仿宋_GB2312" w:eastAsia="仿宋_GB2312"/>
                <w:sz w:val="24"/>
              </w:rPr>
              <w:t>“一矿一策、一场一策”精准治理。推进生活垃圾填埋场污染治理。</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推进治理能力现代化</w:t>
            </w:r>
            <w:r>
              <w:rPr>
                <w:rFonts w:ascii="仿宋_GB2312" w:hAnsi="仿宋_GB2312" w:cs="仿宋_GB2312" w:eastAsia="仿宋_GB2312"/>
                <w:sz w:val="24"/>
              </w:rPr>
              <w:t>。</w:t>
            </w:r>
            <w:r>
              <w:rPr>
                <w:rFonts w:ascii="仿宋_GB2312" w:hAnsi="仿宋_GB2312" w:cs="仿宋_GB2312" w:eastAsia="仿宋_GB2312"/>
                <w:sz w:val="24"/>
              </w:rPr>
              <w:t>推进危险废物全过程实时动态监控</w:t>
            </w:r>
            <w:r>
              <w:rPr>
                <w:rFonts w:ascii="仿宋_GB2312" w:hAnsi="仿宋_GB2312" w:cs="仿宋_GB2312" w:eastAsia="仿宋_GB2312"/>
                <w:sz w:val="24"/>
              </w:rPr>
              <w:t>。</w:t>
            </w:r>
            <w:r>
              <w:rPr>
                <w:rFonts w:ascii="仿宋_GB2312" w:hAnsi="仿宋_GB2312" w:cs="仿宋_GB2312" w:eastAsia="仿宋_GB2312"/>
                <w:sz w:val="24"/>
              </w:rPr>
              <w:t>推动一般工业固体废物信息化应纳尽纳，通过固废系统申报产生、贮存、利用、处置情况，</w:t>
            </w:r>
            <w:r>
              <w:rPr>
                <w:rFonts w:ascii="仿宋_GB2312" w:hAnsi="仿宋_GB2312" w:cs="仿宋_GB2312" w:eastAsia="仿宋_GB2312"/>
                <w:sz w:val="24"/>
              </w:rPr>
              <w:t>提升信息化监管能力。</w:t>
            </w:r>
          </w:p>
          <w:p>
            <w:pPr>
              <w:pStyle w:val="null3"/>
              <w:ind w:firstLine="480"/>
              <w:jc w:val="both"/>
            </w:pPr>
            <w:r>
              <w:rPr>
                <w:rFonts w:ascii="仿宋_GB2312" w:hAnsi="仿宋_GB2312" w:cs="仿宋_GB2312" w:eastAsia="仿宋_GB2312"/>
                <w:sz w:val="24"/>
                <w:color w:val="000000"/>
              </w:rPr>
              <w:t>3.谋划重大工程项目：</w:t>
            </w:r>
            <w:r>
              <w:rPr>
                <w:rFonts w:ascii="仿宋_GB2312" w:hAnsi="仿宋_GB2312" w:cs="仿宋_GB2312" w:eastAsia="仿宋_GB2312"/>
                <w:sz w:val="24"/>
                <w:color w:val="000000"/>
              </w:rPr>
              <w:t>结合</w:t>
            </w:r>
            <w:r>
              <w:rPr>
                <w:rFonts w:ascii="仿宋_GB2312" w:hAnsi="仿宋_GB2312" w:cs="仿宋_GB2312" w:eastAsia="仿宋_GB2312"/>
                <w:sz w:val="24"/>
                <w:color w:val="000000"/>
              </w:rPr>
              <w:t>陕西</w:t>
            </w:r>
            <w:r>
              <w:rPr>
                <w:rFonts w:ascii="仿宋_GB2312" w:hAnsi="仿宋_GB2312" w:cs="仿宋_GB2312" w:eastAsia="仿宋_GB2312"/>
                <w:sz w:val="24"/>
                <w:color w:val="000000"/>
              </w:rPr>
              <w:t>省实际，梳理形成</w:t>
            </w:r>
            <w:r>
              <w:rPr>
                <w:rFonts w:ascii="仿宋_GB2312" w:hAnsi="仿宋_GB2312" w:cs="仿宋_GB2312" w:eastAsia="仿宋_GB2312"/>
                <w:sz w:val="24"/>
                <w:color w:val="000000"/>
              </w:rPr>
              <w:t>“十五五”</w:t>
            </w:r>
            <w:r>
              <w:rPr>
                <w:rFonts w:ascii="仿宋_GB2312" w:hAnsi="仿宋_GB2312" w:cs="仿宋_GB2312" w:eastAsia="仿宋_GB2312"/>
                <w:sz w:val="24"/>
                <w:color w:val="000000"/>
              </w:rPr>
              <w:t>固体废物</w:t>
            </w:r>
            <w:r>
              <w:rPr>
                <w:rFonts w:ascii="仿宋_GB2312" w:hAnsi="仿宋_GB2312" w:cs="仿宋_GB2312" w:eastAsia="仿宋_GB2312"/>
                <w:sz w:val="24"/>
                <w:color w:val="000000"/>
              </w:rPr>
              <w:t>污染</w:t>
            </w:r>
            <w:r>
              <w:rPr>
                <w:rFonts w:ascii="仿宋_GB2312" w:hAnsi="仿宋_GB2312" w:cs="仿宋_GB2312" w:eastAsia="仿宋_GB2312"/>
                <w:sz w:val="24"/>
                <w:color w:val="000000"/>
              </w:rPr>
              <w:t>防治重大工程项目</w:t>
            </w:r>
            <w:r>
              <w:rPr>
                <w:rFonts w:ascii="仿宋_GB2312" w:hAnsi="仿宋_GB2312" w:cs="仿宋_GB2312" w:eastAsia="仿宋_GB2312"/>
                <w:sz w:val="24"/>
                <w:color w:val="000000"/>
              </w:rPr>
              <w:t>清单</w:t>
            </w:r>
            <w:r>
              <w:rPr>
                <w:rFonts w:ascii="仿宋_GB2312" w:hAnsi="仿宋_GB2312" w:cs="仿宋_GB2312" w:eastAsia="仿宋_GB2312"/>
                <w:sz w:val="24"/>
                <w:color w:val="000000"/>
              </w:rPr>
              <w:t>，明确项目内容、实施主体、建设周期、投资估算及预期效益，</w:t>
            </w:r>
            <w:r>
              <w:rPr>
                <w:rFonts w:ascii="仿宋_GB2312" w:hAnsi="仿宋_GB2312" w:cs="仿宋_GB2312" w:eastAsia="仿宋_GB2312"/>
                <w:sz w:val="24"/>
                <w:color w:val="000000"/>
              </w:rPr>
              <w:t>推进</w:t>
            </w:r>
            <w:r>
              <w:rPr>
                <w:rFonts w:ascii="仿宋_GB2312" w:hAnsi="仿宋_GB2312" w:cs="仿宋_GB2312" w:eastAsia="仿宋_GB2312"/>
                <w:sz w:val="24"/>
                <w:color w:val="000000"/>
              </w:rPr>
              <w:t>纳入国家和省级重大生态环境工程储备</w:t>
            </w:r>
            <w:r>
              <w:rPr>
                <w:rFonts w:ascii="仿宋_GB2312" w:hAnsi="仿宋_GB2312" w:cs="仿宋_GB2312" w:eastAsia="仿宋_GB2312"/>
                <w:sz w:val="24"/>
                <w:color w:val="000000"/>
              </w:rPr>
              <w:t>，</w:t>
            </w:r>
            <w:r>
              <w:rPr>
                <w:rFonts w:ascii="仿宋_GB2312" w:hAnsi="仿宋_GB2312" w:cs="仿宋_GB2312" w:eastAsia="仿宋_GB2312"/>
                <w:sz w:val="24"/>
                <w:color w:val="000000"/>
              </w:rPr>
              <w:t>推动高水平固体废物利用处置项目建设。</w:t>
            </w:r>
          </w:p>
          <w:p>
            <w:pPr>
              <w:pStyle w:val="null3"/>
              <w:ind w:firstLine="480"/>
              <w:jc w:val="both"/>
            </w:pPr>
            <w:r>
              <w:rPr>
                <w:rFonts w:ascii="仿宋_GB2312" w:hAnsi="仿宋_GB2312" w:cs="仿宋_GB2312" w:eastAsia="仿宋_GB2312"/>
                <w:sz w:val="24"/>
                <w:color w:val="000000"/>
              </w:rPr>
              <w:t>4.制定</w:t>
            </w:r>
            <w:r>
              <w:rPr>
                <w:rFonts w:ascii="仿宋_GB2312" w:hAnsi="仿宋_GB2312" w:cs="仿宋_GB2312" w:eastAsia="仿宋_GB2312"/>
                <w:sz w:val="24"/>
                <w:color w:val="000000"/>
              </w:rPr>
              <w:t>工作</w:t>
            </w:r>
            <w:r>
              <w:rPr>
                <w:rFonts w:ascii="仿宋_GB2312" w:hAnsi="仿宋_GB2312" w:cs="仿宋_GB2312" w:eastAsia="仿宋_GB2312"/>
                <w:sz w:val="24"/>
                <w:color w:val="000000"/>
              </w:rPr>
              <w:t>保障措施：</w:t>
            </w:r>
            <w:r>
              <w:rPr>
                <w:rFonts w:ascii="仿宋_GB2312" w:hAnsi="仿宋_GB2312" w:cs="仿宋_GB2312" w:eastAsia="仿宋_GB2312"/>
                <w:sz w:val="24"/>
                <w:color w:val="000000"/>
              </w:rPr>
              <w:t>从组织领导、政策支持</w:t>
            </w:r>
            <w:r>
              <w:rPr>
                <w:rFonts w:ascii="仿宋_GB2312" w:hAnsi="仿宋_GB2312" w:cs="仿宋_GB2312" w:eastAsia="仿宋_GB2312"/>
                <w:sz w:val="24"/>
                <w:color w:val="000000"/>
              </w:rPr>
              <w:t>等方面</w:t>
            </w:r>
            <w:r>
              <w:rPr>
                <w:rFonts w:ascii="仿宋_GB2312" w:hAnsi="仿宋_GB2312" w:cs="仿宋_GB2312" w:eastAsia="仿宋_GB2312"/>
                <w:sz w:val="24"/>
                <w:color w:val="000000"/>
              </w:rPr>
              <w:t>提出具体保障措施，明确各部门职责分工，建立规划实施协同推进机制。</w:t>
            </w:r>
          </w:p>
          <w:p>
            <w:pPr>
              <w:pStyle w:val="null3"/>
              <w:ind w:firstLine="482"/>
              <w:jc w:val="both"/>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交付成果</w:t>
            </w:r>
          </w:p>
          <w:p>
            <w:pPr>
              <w:pStyle w:val="null3"/>
              <w:ind w:firstLine="480"/>
              <w:jc w:val="both"/>
            </w:pP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“十四五”固体废物污染</w:t>
            </w:r>
            <w:r>
              <w:rPr>
                <w:rFonts w:ascii="仿宋_GB2312" w:hAnsi="仿宋_GB2312" w:cs="仿宋_GB2312" w:eastAsia="仿宋_GB2312"/>
                <w:sz w:val="24"/>
                <w:color w:val="000000"/>
              </w:rPr>
              <w:t>防治评估报告》</w:t>
            </w:r>
          </w:p>
          <w:p>
            <w:pPr>
              <w:pStyle w:val="null3"/>
            </w:pP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“十五五”固体废物污染</w:t>
            </w:r>
            <w:r>
              <w:rPr>
                <w:rFonts w:ascii="仿宋_GB2312" w:hAnsi="仿宋_GB2312" w:cs="仿宋_GB2312" w:eastAsia="仿宋_GB2312"/>
                <w:sz w:val="24"/>
                <w:color w:val="000000"/>
              </w:rPr>
              <w:t>防治规划》</w:t>
            </w:r>
            <w:r>
              <w:rPr>
                <w:rFonts w:ascii="仿宋_GB2312" w:hAnsi="仿宋_GB2312" w:cs="仿宋_GB2312" w:eastAsia="仿宋_GB2312"/>
                <w:sz w:val="24"/>
                <w:color w:val="000000"/>
              </w:rPr>
              <w:t>（</w:t>
            </w:r>
            <w:r>
              <w:rPr>
                <w:rFonts w:ascii="仿宋_GB2312" w:hAnsi="仿宋_GB2312" w:cs="仿宋_GB2312" w:eastAsia="仿宋_GB2312"/>
                <w:sz w:val="24"/>
                <w:color w:val="000000"/>
              </w:rPr>
              <w:t>报批稿</w:t>
            </w:r>
            <w:r>
              <w:rPr>
                <w:rFonts w:ascii="仿宋_GB2312" w:hAnsi="仿宋_GB2312" w:cs="仿宋_GB2312" w:eastAsia="仿宋_GB2312"/>
                <w:sz w:val="24"/>
                <w:color w:val="00000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1.项目负责人须为本单位正式员工，须全过程参与本项目，非因不可抗力或采购人书面同意，不得更换项目负责人。确需更换的，拟更换人选须具有同等或以上资格水平，并报采购人审批同意。 2.项目负责人及团队成员须具有相应专业能力，供应商须在响应文件中提供项目团队人员清单。</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供应商应按照采购需求提供完成本项目服务所必须的设施设备。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1.保密要求 供应商对在工作过程中知悉的采购人及项目相关的所有信息负有保密义务，未经采购人书面同意，不得向任何第三方披露或用于本项目之外的任何目的。保密义务不因合同终止而免除。</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本项目服务期限为自合同签订之日起至2026年12月31日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1.服务期结束后，成交人向采购人提交验收申请。 2.采购人收到验收申请后组织验收，验收时成交人应无条件予以配合并提供验收所需的全部资料，若成交人不配合或者未按合同要求提供服务的，采购人将拒绝验收。 3.验收依据：磋商文件、响应文件、合同文本、国内相应的标准、规范。 4.所有成果文件均须符合国家及陕西省现行技术标准、规范规程的要求，且满足采购人实际工作需要。成果文件存在缺陷或不符合要求的，供应商须在采购人要求期限内无偿修改完善。</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进度款，项目验收无质量问题后，达到付款条件起10个工作日内，支付合同总金额的30.0%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 2.成交人未按合同要求提供服务或服务质量不能满足技术要求，且在规定时间内未使采购人满意的，采购人有权终止合同，同时报请监管部门对其违约行为进行追究。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1）供应商需要在线提交所有通过电子化交易平台实施的政府采购项目的响应文件，同时，线下提交纸质响应文件正本壹份、副本壹份。若电子响应文件与纸质响应文件不一致的，以电子响应文件为准。（2）响应文件，正、副本分别各自装订成册密封。在封口处加盖供应商公章。（3）线下响应文件递交截止时间与线上开评标时间一致。（4）纸质响应文件可邮寄递交，应于递交响应文件截止时间前邮寄到西安市高新区丈八一路1号汇鑫中心D座2206室（陕西德勤招标有限公司）。 2.磋商保证金注意事项：（1）磋商保证金须从供应商户名支付，如从个人户名或非供应商户名支付，将被拒绝，视为自动放弃投标权利（响应供应商为自然人的情形除外）；以保函形式交纳磋商保证金的，供应商应在响应截止时间前将保函扫描成清晰的PDF文件，发送至邮箱deqinjxm@126.com（邮件命名：项目编号）；供应商应在响应文件中附保函扫描件。保函必须由具有开具投标保函资格的单位开具；若成交人违约，开具保函单位承担连带责任；（2）磋商保证金的提交金额、时间不满足磋商文件要求的，响应无效；（3）未按指定账户提交的，我公司将退回，供应商须在响应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提供有效存续的企业营业执照（副本）/事业单位法人证书/专业服务机构执业许可证/民办非企业单位登记证书等主体资格证明文件，自然人提供身份证明。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法人的分支机构参与磋商时，除提供《法定代表人授权委托书》外，还须同时提供法人给分支机构出具的授权书。响应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非联合体不分包磋商声明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按磋商文件要求签字、盖章（评分标准中要求提供的证明材料除外）。</w:t>
            </w:r>
          </w:p>
        </w:tc>
        <w:tc>
          <w:tcPr>
            <w:tcW w:type="dxa" w:w="1661"/>
          </w:tcPr>
          <w:p>
            <w:pPr>
              <w:pStyle w:val="null3"/>
            </w:pPr>
            <w:r>
              <w:rPr>
                <w:rFonts w:ascii="仿宋_GB2312" w:hAnsi="仿宋_GB2312" w:cs="仿宋_GB2312" w:eastAsia="仿宋_GB2312"/>
              </w:rPr>
              <w:t>法定代表人授权委托书 分项报价表 保证金汇款声明函 中小企业声明函 商务应答表 供应商应提交的相关资格证明材料 服务内容及服务要求应答表 报价表 控股管理关系 响应文件封面 近三年无重大违法、违纪书面声明 非联合体不分包磋商声明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报价表</w:t>
            </w:r>
          </w:p>
        </w:tc>
        <w:tc>
          <w:tcPr>
            <w:tcW w:type="dxa" w:w="3322"/>
          </w:tcPr>
          <w:p>
            <w:pPr>
              <w:pStyle w:val="null3"/>
            </w:pPr>
            <w:r>
              <w:rPr>
                <w:rFonts w:ascii="仿宋_GB2312" w:hAnsi="仿宋_GB2312" w:cs="仿宋_GB2312" w:eastAsia="仿宋_GB2312"/>
              </w:rPr>
              <w:t>（1）响应报价符合唯一性要求：（2）报价表填写符合要求；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完全理解接受磋商文件商务条款。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法定代表人授权委托书 分项报价表 保证金汇款声明函 中小企业声明函 商务应答表 供应商应提交的相关资格证明材料 服务内容及服务要求应答表 报价表 控股管理关系 响应文件封面 近三年无重大违法、违纪书面声明 非联合体不分包磋商声明 残疾人福利性单位声明函 服务方案 标的清单 响应函 书面声明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项目理解与工作思路</w:t>
            </w:r>
          </w:p>
        </w:tc>
        <w:tc>
          <w:tcPr>
            <w:tcW w:type="dxa" w:w="2492"/>
          </w:tcPr>
          <w:p>
            <w:pPr>
              <w:pStyle w:val="null3"/>
            </w:pPr>
            <w:r>
              <w:rPr>
                <w:rFonts w:ascii="仿宋_GB2312" w:hAnsi="仿宋_GB2312" w:cs="仿宋_GB2312" w:eastAsia="仿宋_GB2312"/>
              </w:rPr>
              <w:t>一、评审内容 供应商针对本项目提出总体工作方案，方案内容应包含：①对"十五五"固体废物污染防治规划编制背景、目标及意义的理解与认识；②工作思路与技术路线；③对陕西省固体废物污染防治现状特点的把握。 二、评审标准 1、准确性：对规划编制背景和目标的理解准确深入，准确把握国家及陕西省固体废物治理政策导向； 2、可行性：工作思路清晰，技术路线合理，方法科学可行； 3、针对性：紧密结合陕西省固体废物产生及处置实际情况，体现系统性。 三、赋分标准（满分8分） ①准确性：理解准确深入，准确把握国家及陕西省固废治理政策导向，得3分；理解基本准确，得1分；理解有误或未涉及，得0分。 ②可行性：工作思路清晰、技术路线合理可行，得3分；基本可行但部分环节不够具体，得1分；方案不具可行性，得0分。 ③针对性：紧密结合陕西省固废实际特点，论述具体有针对性，得2分；论述较一般，得1分；缺乏针对性，得0分。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现状调查与问题研判方案</w:t>
            </w:r>
          </w:p>
        </w:tc>
        <w:tc>
          <w:tcPr>
            <w:tcW w:type="dxa" w:w="2492"/>
          </w:tcPr>
          <w:p>
            <w:pPr>
              <w:pStyle w:val="null3"/>
            </w:pPr>
            <w:r>
              <w:rPr>
                <w:rFonts w:ascii="仿宋_GB2312" w:hAnsi="仿宋_GB2312" w:cs="仿宋_GB2312" w:eastAsia="仿宋_GB2312"/>
              </w:rPr>
              <w:t>一、评审内容 供应商针对本项目提出现状调查与问题研判方案，方案内容应包含：①固体废物污染防治现状调查方案（应涵盖工业固废、危险废物、生活垃圾、建筑垃圾、农业固体废物等各类固废的产生、收集、转运、贮存、利用、处置情况，以及重点核查大宗固废产生企业、危险废物经营单位、固体废物堆场、尾矿库、生活垃圾焚烧厂及填埋场等关键点位）；②"十四五"期间固废防治政策成效、技术成果、管理经验及重大工程实施情况总结思路；③"十五五"时期面临的新形势、新挑战研判分析（结合陕西省产业发展趋势、城镇化进程、人口变化等因素）。 二、评审标准 1、完整性：调查方案覆盖全品类固废和全链条环节，研判分析全面； 2、科学性：调查方法科学合理，重点核查点位选取准确； 3、深度性：结合陕西省实际因素，问题研判深入有深度。 三、赋分标准（满分8分） ①完整性：全部3项评审内容均有实质论述，得3分；涵盖2项，得1分；涵盖1项及以下，得0分。 ②科学性：调查方法科学、重点核查点位选取准确，得3分；基本科学但不够具体，得1分；方法不合理，得0分。 ③深度性：结合陕西省产业发展趋势等因素，研判分析深入有深度，得2分；分析有一定深度但结合实际不够，得1分；分析笼统泛泛，得0分。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规划编制方案</w:t>
            </w:r>
          </w:p>
        </w:tc>
        <w:tc>
          <w:tcPr>
            <w:tcW w:type="dxa" w:w="2492"/>
          </w:tcPr>
          <w:p>
            <w:pPr>
              <w:pStyle w:val="null3"/>
            </w:pPr>
            <w:r>
              <w:rPr>
                <w:rFonts w:ascii="仿宋_GB2312" w:hAnsi="仿宋_GB2312" w:cs="仿宋_GB2312" w:eastAsia="仿宋_GB2312"/>
              </w:rPr>
              <w:t>一、评审内容 供应商针对本项目提出规划编制方案，方案内容应包含：①《陕西省"十四五"固体废物污染防治评估报告》编制方案（含评估范围、评估方法、评估指标体系、问题短板剖析方法）；②《陕西省"十五五"固体废物污染防治规划》编制方案（含目标指标体系研究、重点任务举措、重大工程项目谋划）；③分地域（陕北、关中、陕南）差异化落实指标研究思路。 二、评审标准 1、完整性：方案涵盖全部评审内容，各项论述具体充分； 2、科学性：目标指标体系科学合理，重点任务举措紧扣减量化、资源化、无害化主线； 3、创新性：规划思路具有前瞻性和创新性，重大工程项目谋划有依据有规模。 三、赋分标准（满分8分） ①完整性：全部3项评审内容均有实质论述，得3分；涵盖2项，得1分；涵盖1项及以下，得0分。 ②科学性：目标指标和重点任务科学合理、针对性强，得3分；基本合理但部分环节不够具体，得1分；科学性明显不足，得0分。 ③创新性：规划思路前瞻性强、重大工程项目谋划有依据，得2分；有一定创新性但不够突出，得1分；缺乏创新性，得0分。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重点难点分析及解决措施</w:t>
            </w:r>
          </w:p>
        </w:tc>
        <w:tc>
          <w:tcPr>
            <w:tcW w:type="dxa" w:w="2492"/>
          </w:tcPr>
          <w:p>
            <w:pPr>
              <w:pStyle w:val="null3"/>
            </w:pPr>
            <w:r>
              <w:rPr>
                <w:rFonts w:ascii="仿宋_GB2312" w:hAnsi="仿宋_GB2312" w:cs="仿宋_GB2312" w:eastAsia="仿宋_GB2312"/>
              </w:rPr>
              <w:t>一、评审内容 供应商针对本项目提出重点难点分析及解决措施，内容应包含：①项目实施过程中的重点、难点识别与分析（如陕北历史遗留矸石场治理、陕南汉江丹江流域涉重金属矿渣无害化治理、危险废物全过程实时动态监控、大宗固废多元化利用途径、生活垃圾焚烧飞灰资源化利用等）；②针对每个重点难点的具体解决措施和技术路线。 二、评审标准 1、准确性：重点难点识别准确，与陕西省固体废物防治实际相符； 2、针对性：解决措施与所提出的重点难点一一对应，技术路线清晰； 3、可操作性：措施具体可行，体现"一矿一策、一场一策"等精准治理思路。 三、赋分标准（满分8分） ①准确性：重点难点识别准确、分析深入，得3分；识别基本准确但分析不够深入，得1分；识别不准确，得0分。 ②针对性：解决措施与重点难点一一对应、技术路线清晰，得3分；基本对应但部分措施缺乏针对性，得1分；措施与重点难点不匹配，得0分。 ③可操作性：措施具体可行，体现精准治理思路，得2分；基本可行但不够具体，得1分；措施不可行，得0分。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进度安排与保障措施</w:t>
            </w:r>
          </w:p>
        </w:tc>
        <w:tc>
          <w:tcPr>
            <w:tcW w:type="dxa" w:w="2492"/>
          </w:tcPr>
          <w:p>
            <w:pPr>
              <w:pStyle w:val="null3"/>
            </w:pPr>
            <w:r>
              <w:rPr>
                <w:rFonts w:ascii="仿宋_GB2312" w:hAnsi="仿宋_GB2312" w:cs="仿宋_GB2312" w:eastAsia="仿宋_GB2312"/>
              </w:rPr>
              <w:t>一、评审内容 供应商针对本项目提出进度安排与保障措施，内容应包含：①项目进度安排（对照前期准备、现状调查与专题研究、规划文本编制、征求意见与修改完善、报批五个阶段）及组织协调措施（工作组成员分工、部门对接机制、省市联动协调等）；②质量保障措施（编制过程质量控制、专家论证、内部审核等）；③保密措施（明确保密范围含国家秘密、科研秘密、商业秘密等，保密责任和保密期限）。 二、评审标准 1、合理性：进度安排合理，五个阶段时间节点明确，组织协调措施到位； 2、有效性：质量保障措施具体有效，能保障成果质量； 3、严密性：保密措施严密，保密范围和责任明确。 三、赋分标准（满分8分） ①合理性：五个阶段时间节点明确、组织协调措施到位，得3分；基本合理但不够具体，得1分；安排不合理，得0分。 ②有效性：质量保障措施具体有效，得3分；措施基本有效但不够具体，得1分；措施流于形式，得0分。 ③严密性：保密措施严密、范围责任明确，得2分；保密措施基本到位但不够具体，得1分；未提供保密措施，得0分。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①具有生态环境类或相关专业中级职称的，得4分； ②具有生态环境类或相关专业副高级职称的，得7分； ③具有生态环境类或相关专业正高级职称的，得10分。 注：项目负责人须为投标单位在职人员，提供近半年内任意1个月社保缴纳证明及职称证书复印件，否则不计分。同一人员具有多个职称的，按最高职称计分，不重复计分。职称证书无法辨认专业类别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项目团队成员（不含项目负责人）</w:t>
            </w:r>
          </w:p>
        </w:tc>
        <w:tc>
          <w:tcPr>
            <w:tcW w:type="dxa" w:w="2492"/>
          </w:tcPr>
          <w:p>
            <w:pPr>
              <w:pStyle w:val="null3"/>
            </w:pPr>
            <w:r>
              <w:rPr>
                <w:rFonts w:ascii="仿宋_GB2312" w:hAnsi="仿宋_GB2312" w:cs="仿宋_GB2312" w:eastAsia="仿宋_GB2312"/>
              </w:rPr>
              <w:t>①团队人数8人及以上的，得10分；5人及以上、不足8人的，得5分；不足5人的，得0分； ②团队成员具有生态环境类或相关专业中级及以上职称的，每人得2分，最高得10分。 注：团队人员须为投标单位在职人员，提供近半年内任意1个月社保缴纳证明及职称证书复印件，否则该人员不计入人数、不计职称分。项目负责人不参与团队职称计分。同一人员具有多个职称的，按1人1次计分，不重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供应商近三年（以提交响应文件截止时间向前推算）承担过的固体废物污染防治或生态环境保护规划编制类似项目业绩，以合同签订日期为准，每提供1份合同得3分，最高得15分。 注：合同复印件须包含合同首页、合同标的（能够体现项目内容与固体废物或生态环境保护规划编制相关）、签订日期、双方签字盖章页，加盖公章。无法体现项目内容或签订日期的，该业绩不计分。同一项目的补充协议、续签合同不另行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响应报价得分=(基准价／响应报价)×价格分值，计算分数时四舍五入取小数点后两位 因落实政府采购政策进行价格调整的，以调整后的价格计算评标基准价和响应报价。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详见附件：非联合体不分包磋商声明</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详见附件：保证金汇款声明函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