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版本号：ZK26(CG)0302720260806001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勉县周家山镇2026年特色旅居村基础设施建设以工代赈项目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ZK26(CG)03027</w:t>
      </w:r>
      <w:r>
        <w:br/>
      </w:r>
      <w:r>
        <w:br/>
      </w:r>
      <w:r>
        <w:br/>
      </w:r>
    </w:p>
    <w:p>
      <w:pPr>
        <w:pStyle w:val="null3"/>
        <w:jc w:val="center"/>
        <w:outlineLvl w:val="2"/>
      </w:pPr>
      <w:r>
        <w:rPr>
          <w:rFonts w:ascii="仿宋_GB2312" w:hAnsi="仿宋_GB2312" w:cs="仿宋_GB2312" w:eastAsia="仿宋_GB2312"/>
          <w:sz w:val="28"/>
          <w:b/>
        </w:rPr>
        <w:t>勉县周家山镇人民政府</w:t>
      </w:r>
    </w:p>
    <w:p>
      <w:pPr>
        <w:pStyle w:val="null3"/>
        <w:jc w:val="center"/>
        <w:outlineLvl w:val="2"/>
      </w:pPr>
      <w:r>
        <w:rPr>
          <w:rFonts w:ascii="仿宋_GB2312" w:hAnsi="仿宋_GB2312" w:cs="仿宋_GB2312" w:eastAsia="仿宋_GB2312"/>
          <w:sz w:val="28"/>
          <w:b/>
        </w:rPr>
        <w:t>正凯建设项目管理有限公司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正凯建设项目管理有限公司</w:t>
      </w:r>
      <w:r>
        <w:rPr>
          <w:rFonts w:ascii="仿宋_GB2312" w:hAnsi="仿宋_GB2312" w:cs="仿宋_GB2312" w:eastAsia="仿宋_GB2312"/>
        </w:rPr>
        <w:t>（以下简称“代理机构”）受</w:t>
      </w:r>
      <w:r>
        <w:rPr>
          <w:rFonts w:ascii="仿宋_GB2312" w:hAnsi="仿宋_GB2312" w:cs="仿宋_GB2312" w:eastAsia="仿宋_GB2312"/>
        </w:rPr>
        <w:t>勉县周家山镇人民政府</w:t>
      </w:r>
      <w:r>
        <w:rPr>
          <w:rFonts w:ascii="仿宋_GB2312" w:hAnsi="仿宋_GB2312" w:cs="仿宋_GB2312" w:eastAsia="仿宋_GB2312"/>
        </w:rPr>
        <w:t>委托，拟对</w:t>
      </w:r>
      <w:r>
        <w:rPr>
          <w:rFonts w:ascii="仿宋_GB2312" w:hAnsi="仿宋_GB2312" w:cs="仿宋_GB2312" w:eastAsia="仿宋_GB2312"/>
        </w:rPr>
        <w:t>勉县周家山镇2026年特色旅居村基础设施建设以工代赈项目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ZK26(CG)03027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勉县周家山镇2026年特色旅居村基础设施建设以工代赈项目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勉县周家山镇2026年特色旅居村基础设施建设以工代赈项目位于勉县周家山镇春光村，主要建设内容：本项目涉及14条路线共5.0km，新建水泥混凝土面板17926.6㎡、面板厚度18cm；新建防护浆砌片石挡墙1283.5m³；C25水泥混凝土排水沟 263m；1-0.3米圆管涵共110m。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采购包1（勉县周家山镇2026年特色旅居村基础设施建设以工代赈项目）：属于专门面向null采购。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 或自然人，提供合法有效的统一社会信用代码 营业执照（事业单位法人证书/专业服务机构执 业许可证/民办非企业单位登记证书，自然人提 供身份证）</w:t>
      </w:r>
    </w:p>
    <w:p>
      <w:pPr>
        <w:pStyle w:val="null3"/>
      </w:pPr>
      <w:r>
        <w:rPr>
          <w:rFonts w:ascii="仿宋_GB2312" w:hAnsi="仿宋_GB2312" w:cs="仿宋_GB2312" w:eastAsia="仿宋_GB2312"/>
        </w:rPr>
        <w:t>2、供应商资质：供应商须具备建设行政主管部门核发的公路工程施工总承包三级及以上资质，并取得安全生产许可证</w:t>
      </w:r>
    </w:p>
    <w:p>
      <w:pPr>
        <w:pStyle w:val="null3"/>
      </w:pPr>
      <w:r>
        <w:rPr>
          <w:rFonts w:ascii="仿宋_GB2312" w:hAnsi="仿宋_GB2312" w:cs="仿宋_GB2312" w:eastAsia="仿宋_GB2312"/>
        </w:rPr>
        <w:t>3、项目负责人：项目负责人具备公路工程专业二级及以上注册建造师执业资格(不含临时执业资格)、具有交通行政主管部门颁发的 B 类安全生产考核合格证，且无在建工程。</w:t>
      </w:r>
    </w:p>
    <w:p>
      <w:pPr>
        <w:pStyle w:val="null3"/>
      </w:pPr>
      <w:r>
        <w:rPr>
          <w:rFonts w:ascii="仿宋_GB2312" w:hAnsi="仿宋_GB2312" w:cs="仿宋_GB2312" w:eastAsia="仿宋_GB2312"/>
        </w:rPr>
        <w:t>4、法定代表⼈或委托代理⼈⾝份证明：供应商应授权合法的人员参加投标全过程，其 中法定代表人直接参加投标的，须出具法人身 份证明及法人身份证，并与营业执照上信息一 致。法定代表授权委托人参加投标的，须出具 法定代表授权委托书及被授权代表身份证复印件</w:t>
      </w:r>
    </w:p>
    <w:p>
      <w:pPr>
        <w:pStyle w:val="null3"/>
      </w:pPr>
      <w:r>
        <w:rPr>
          <w:rFonts w:ascii="仿宋_GB2312" w:hAnsi="仿宋_GB2312" w:cs="仿宋_GB2312" w:eastAsia="仿宋_GB2312"/>
        </w:rPr>
        <w:t>5、投标供应商资格承诺函：供应商应具有良好的商业信誉和健全的财务会 计制度,具有履行合同所必需的设备和专业技术 能力,具有依法缴纳税收和社会保障金的良好记 录，参加本项目采购活动前三年内无重大违法 活动记录，未列入在信用中国网站“失信被执行 人”、“重大税收违法案件当事人名单”中，也未 列入中国政府采购网“政府采购严重违法失信行 为记录名单”中。须提供《汉中市政府采购供应 商资格承诺函》</w:t>
      </w:r>
    </w:p>
    <w:p>
      <w:pPr>
        <w:pStyle w:val="null3"/>
      </w:pPr>
      <w:r>
        <w:rPr>
          <w:rFonts w:ascii="仿宋_GB2312" w:hAnsi="仿宋_GB2312" w:cs="仿宋_GB2312" w:eastAsia="仿宋_GB2312"/>
        </w:rPr>
        <w:t>6、中小企业声明函：本项目专门面向中小企业采购，供应商应为中 小微企业，填写中小企业声明函并对真实性负 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勉县周家山镇人民政府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勉县周家山镇黄龙新村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正凯建设项目管理有限公司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陕西省西安市未央区陕西省西安市未央区北二环与太华路立交桥东北角百环国际19层11902号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15591479129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开户名称：正凯建设项⽬管理有限公司</w:t>
            </w:r>
          </w:p>
          <w:p>
            <w:pPr>
              <w:pStyle w:val="null3"/>
            </w:pPr>
            <w:r>
              <w:rPr>
                <w:rFonts w:ascii="仿宋_GB2312" w:hAnsi="仿宋_GB2312" w:cs="仿宋_GB2312" w:eastAsia="仿宋_GB2312"/>
              </w:rPr>
              <w:t>开户银行：中国建设银⾏西安经济技术开发区⽀⾏</w:t>
            </w:r>
          </w:p>
          <w:p>
            <w:pPr>
              <w:pStyle w:val="null3"/>
            </w:pPr>
            <w:r>
              <w:rPr>
                <w:rFonts w:ascii="仿宋_GB2312" w:hAnsi="仿宋_GB2312" w:cs="仿宋_GB2312" w:eastAsia="仿宋_GB2312"/>
              </w:rPr>
              <w:t>银行账号：61050193004100000678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展和改革委员会《国家发展改革委办公厅关于招标代理服务收费有关问题的通知》（发改办价格[2003]857 号）文收费标准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勉县周家山镇人民政府</w:t>
      </w:r>
      <w:r>
        <w:rPr>
          <w:rFonts w:ascii="仿宋_GB2312" w:hAnsi="仿宋_GB2312" w:cs="仿宋_GB2312" w:eastAsia="仿宋_GB2312"/>
        </w:rPr>
        <w:t>和</w:t>
      </w:r>
      <w:r>
        <w:rPr>
          <w:rFonts w:ascii="仿宋_GB2312" w:hAnsi="仿宋_GB2312" w:cs="仿宋_GB2312" w:eastAsia="仿宋_GB2312"/>
        </w:rPr>
        <w:t>正凯建设项目管理有限公司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勉县周家山镇人民政府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正凯建设项目管理有限公司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勉县周家山镇人民政府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正凯建设项目管理有限公司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、成交供应商向采购人提交项目 实施过程中的所有资料； 2 、验收须以合同、磋商文件及响应文件、澄清、及国家相 应的标准、规范等为依据。</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联系电话：15591479129</w:t>
      </w:r>
    </w:p>
    <w:p>
      <w:pPr>
        <w:pStyle w:val="null3"/>
      </w:pPr>
      <w:r>
        <w:rPr>
          <w:rFonts w:ascii="仿宋_GB2312" w:hAnsi="仿宋_GB2312" w:cs="仿宋_GB2312" w:eastAsia="仿宋_GB2312"/>
        </w:rPr>
        <w:t>地址：陕西省汉中市汉台区供电⼤道邮局对⾯正凯公司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3,400,000.00</w:t>
      </w:r>
    </w:p>
    <w:p>
      <w:pPr>
        <w:pStyle w:val="null3"/>
      </w:pPr>
      <w:r>
        <w:rPr>
          <w:rFonts w:ascii="仿宋_GB2312" w:hAnsi="仿宋_GB2312" w:cs="仿宋_GB2312" w:eastAsia="仿宋_GB2312"/>
        </w:rPr>
        <w:t>采购包最高限价（元）: 3,380,721.00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勉县周家山镇2026年特色旅居村基础设施建设以工代赈项目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标的名称：勉县周家山镇2026年特色旅居村基础设施建设以工代赈项目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一、工程概况：</w:t>
            </w:r>
          </w:p>
          <w:p>
            <w:pPr>
              <w:pStyle w:val="null3"/>
              <w:ind w:firstLine="280"/>
              <w:jc w:val="left"/>
            </w:pPr>
            <w:r>
              <w:rPr>
                <w:rFonts w:ascii="仿宋_GB2312" w:hAnsi="仿宋_GB2312" w:cs="仿宋_GB2312" w:eastAsia="仿宋_GB2312"/>
                <w:sz w:val="21"/>
              </w:rPr>
              <w:t>勉县周家山镇</w:t>
            </w:r>
            <w:r>
              <w:rPr>
                <w:rFonts w:ascii="仿宋_GB2312" w:hAnsi="仿宋_GB2312" w:cs="仿宋_GB2312" w:eastAsia="仿宋_GB2312"/>
                <w:sz w:val="21"/>
              </w:rPr>
              <w:t>2026年特色旅居村基础设施建设以工代赈项目位于勉县周家山镇春光村，主要建设内容：本项目涉及14条路线共5.0km，新建水泥混凝土面板17926.6㎡、面板厚度18cm；新建防护浆砌片石挡墙1283.5m³；C25水泥混凝土排水沟 263m；1-0.3米圆管涵共110m。</w:t>
            </w:r>
          </w:p>
          <w:p>
            <w:pPr>
              <w:pStyle w:val="null3"/>
              <w:jc w:val="left"/>
            </w:pPr>
            <w:r>
              <w:rPr>
                <w:rFonts w:ascii="仿宋_GB2312" w:hAnsi="仿宋_GB2312" w:cs="仿宋_GB2312" w:eastAsia="仿宋_GB2312"/>
                <w:sz w:val="21"/>
                <w:b/>
              </w:rPr>
              <w:t>二、编制依据：</w:t>
            </w:r>
          </w:p>
          <w:p>
            <w:pPr>
              <w:pStyle w:val="null3"/>
              <w:ind w:firstLine="560"/>
              <w:jc w:val="left"/>
            </w:pPr>
            <w:r>
              <w:rPr>
                <w:rFonts w:ascii="仿宋_GB2312" w:hAnsi="仿宋_GB2312" w:cs="仿宋_GB2312" w:eastAsia="仿宋_GB2312"/>
                <w:sz w:val="21"/>
              </w:rPr>
              <w:t>1、</w:t>
            </w:r>
            <w:r>
              <w:rPr>
                <w:rFonts w:ascii="仿宋_GB2312" w:hAnsi="仿宋_GB2312" w:cs="仿宋_GB2312" w:eastAsia="仿宋_GB2312"/>
                <w:sz w:val="21"/>
              </w:rPr>
              <w:t>勉县周家山镇</w:t>
            </w:r>
            <w:r>
              <w:rPr>
                <w:rFonts w:ascii="仿宋_GB2312" w:hAnsi="仿宋_GB2312" w:cs="仿宋_GB2312" w:eastAsia="仿宋_GB2312"/>
                <w:sz w:val="21"/>
              </w:rPr>
              <w:t>2026年特色旅居村基础设施建设以工代赈项目</w:t>
            </w:r>
            <w:r>
              <w:rPr>
                <w:rFonts w:ascii="仿宋_GB2312" w:hAnsi="仿宋_GB2312" w:cs="仿宋_GB2312" w:eastAsia="仿宋_GB2312"/>
                <w:sz w:val="21"/>
              </w:rPr>
              <w:t>施工图纸；</w:t>
            </w:r>
          </w:p>
          <w:p>
            <w:pPr>
              <w:pStyle w:val="null3"/>
              <w:ind w:firstLine="537"/>
              <w:jc w:val="both"/>
            </w:pPr>
            <w:r>
              <w:rPr>
                <w:rFonts w:ascii="仿宋_GB2312" w:hAnsi="仿宋_GB2312" w:cs="仿宋_GB2312" w:eastAsia="仿宋_GB2312"/>
                <w:sz w:val="21"/>
              </w:rPr>
              <w:t>2、</w:t>
            </w:r>
            <w:r>
              <w:rPr>
                <w:rFonts w:ascii="仿宋_GB2312" w:hAnsi="仿宋_GB2312" w:cs="仿宋_GB2312" w:eastAsia="仿宋_GB2312"/>
                <w:sz w:val="21"/>
              </w:rPr>
              <w:t>《公路工程建设项目概算预算编制办法》（</w:t>
            </w:r>
            <w:r>
              <w:rPr>
                <w:rFonts w:ascii="仿宋_GB2312" w:hAnsi="仿宋_GB2312" w:cs="仿宋_GB2312" w:eastAsia="仿宋_GB2312"/>
                <w:sz w:val="21"/>
              </w:rPr>
              <w:t>JTG3830——2018），以下简称“编制办法”；</w:t>
            </w:r>
          </w:p>
          <w:p>
            <w:pPr>
              <w:pStyle w:val="null3"/>
              <w:ind w:firstLine="560"/>
              <w:jc w:val="left"/>
            </w:pPr>
            <w:r>
              <w:rPr>
                <w:rFonts w:ascii="仿宋_GB2312" w:hAnsi="仿宋_GB2312" w:cs="仿宋_GB2312" w:eastAsia="仿宋_GB2312"/>
                <w:sz w:val="21"/>
              </w:rPr>
              <w:t>3</w:t>
            </w:r>
            <w:r>
              <w:rPr>
                <w:rFonts w:ascii="仿宋_GB2312" w:hAnsi="仿宋_GB2312" w:cs="仿宋_GB2312" w:eastAsia="仿宋_GB2312"/>
                <w:sz w:val="21"/>
              </w:rPr>
              <w:t>、《陕西省交通厅关于执行交通部公路工程概算预算定额及编制办法的通知》（陕交发</w:t>
            </w:r>
            <w:r>
              <w:rPr>
                <w:rFonts w:ascii="仿宋_GB2312" w:hAnsi="仿宋_GB2312" w:cs="仿宋_GB2312" w:eastAsia="仿宋_GB2312"/>
                <w:sz w:val="21"/>
              </w:rPr>
              <w:t>[2008]117号）；</w:t>
            </w:r>
          </w:p>
          <w:p>
            <w:pPr>
              <w:pStyle w:val="null3"/>
              <w:ind w:firstLine="560"/>
              <w:jc w:val="left"/>
            </w:pPr>
            <w:r>
              <w:rPr>
                <w:rFonts w:ascii="仿宋_GB2312" w:hAnsi="仿宋_GB2312" w:cs="仿宋_GB2312" w:eastAsia="仿宋_GB2312"/>
                <w:sz w:val="21"/>
              </w:rPr>
              <w:t>4</w:t>
            </w:r>
            <w:r>
              <w:rPr>
                <w:rFonts w:ascii="仿宋_GB2312" w:hAnsi="仿宋_GB2312" w:cs="仿宋_GB2312" w:eastAsia="仿宋_GB2312"/>
                <w:sz w:val="21"/>
              </w:rPr>
              <w:t>、《公路工程预算定额》（</w:t>
            </w:r>
            <w:r>
              <w:rPr>
                <w:rFonts w:ascii="仿宋_GB2312" w:hAnsi="仿宋_GB2312" w:cs="仿宋_GB2312" w:eastAsia="仿宋_GB2312"/>
                <w:sz w:val="21"/>
              </w:rPr>
              <w:t>JTG/T 3832——2018）；</w:t>
            </w:r>
          </w:p>
          <w:p>
            <w:pPr>
              <w:pStyle w:val="null3"/>
              <w:ind w:firstLine="560"/>
              <w:jc w:val="left"/>
            </w:pPr>
            <w:r>
              <w:rPr>
                <w:rFonts w:ascii="仿宋_GB2312" w:hAnsi="仿宋_GB2312" w:cs="仿宋_GB2312" w:eastAsia="仿宋_GB2312"/>
                <w:sz w:val="21"/>
              </w:rPr>
              <w:t>5</w:t>
            </w:r>
            <w:r>
              <w:rPr>
                <w:rFonts w:ascii="仿宋_GB2312" w:hAnsi="仿宋_GB2312" w:cs="仿宋_GB2312" w:eastAsia="仿宋_GB2312"/>
                <w:sz w:val="21"/>
              </w:rPr>
              <w:t>、《公路工程机械台班费用定额》（</w:t>
            </w:r>
            <w:r>
              <w:rPr>
                <w:rFonts w:ascii="仿宋_GB2312" w:hAnsi="仿宋_GB2312" w:cs="仿宋_GB2312" w:eastAsia="仿宋_GB2312"/>
                <w:sz w:val="21"/>
              </w:rPr>
              <w:t>JTG/T 3833——2018）；</w:t>
            </w:r>
          </w:p>
          <w:p>
            <w:pPr>
              <w:pStyle w:val="null3"/>
              <w:ind w:firstLine="560"/>
              <w:jc w:val="left"/>
            </w:pPr>
            <w:r>
              <w:rPr>
                <w:rFonts w:ascii="仿宋_GB2312" w:hAnsi="仿宋_GB2312" w:cs="仿宋_GB2312" w:eastAsia="仿宋_GB2312"/>
                <w:sz w:val="21"/>
              </w:rPr>
              <w:t>6</w:t>
            </w:r>
            <w:r>
              <w:rPr>
                <w:rFonts w:ascii="仿宋_GB2312" w:hAnsi="仿宋_GB2312" w:cs="仿宋_GB2312" w:eastAsia="仿宋_GB2312"/>
                <w:sz w:val="21"/>
              </w:rPr>
              <w:t>、《国家计委关于加强对基本建设大中型项目概算中</w:t>
            </w:r>
            <w:r>
              <w:rPr>
                <w:rFonts w:ascii="仿宋_GB2312" w:hAnsi="仿宋_GB2312" w:cs="仿宋_GB2312" w:eastAsia="仿宋_GB2312"/>
                <w:sz w:val="21"/>
              </w:rPr>
              <w:t>“价差预备费”管理有关问题的通知》[1999]计投资1340号文；</w:t>
            </w:r>
          </w:p>
          <w:p>
            <w:pPr>
              <w:pStyle w:val="null3"/>
              <w:ind w:firstLine="560"/>
              <w:jc w:val="left"/>
            </w:pPr>
            <w:r>
              <w:rPr>
                <w:rFonts w:ascii="仿宋_GB2312" w:hAnsi="仿宋_GB2312" w:cs="仿宋_GB2312" w:eastAsia="仿宋_GB2312"/>
                <w:sz w:val="21"/>
              </w:rPr>
              <w:t>7</w:t>
            </w:r>
            <w:r>
              <w:rPr>
                <w:rFonts w:ascii="仿宋_GB2312" w:hAnsi="仿宋_GB2312" w:cs="仿宋_GB2312" w:eastAsia="仿宋_GB2312"/>
                <w:sz w:val="21"/>
              </w:rPr>
              <w:t>、交通运输部办公厅关于《公路工程营业税改征增值税计价依据调整方案》的通知（交办公路</w:t>
            </w:r>
            <w:r>
              <w:rPr>
                <w:rFonts w:ascii="仿宋_GB2312" w:hAnsi="仿宋_GB2312" w:cs="仿宋_GB2312" w:eastAsia="仿宋_GB2312"/>
                <w:sz w:val="21"/>
              </w:rPr>
              <w:t>[2016]66号）；</w:t>
            </w:r>
          </w:p>
          <w:p>
            <w:pPr>
              <w:pStyle w:val="null3"/>
              <w:ind w:firstLine="560"/>
              <w:jc w:val="left"/>
            </w:pPr>
            <w:r>
              <w:rPr>
                <w:rFonts w:ascii="仿宋_GB2312" w:hAnsi="仿宋_GB2312" w:cs="仿宋_GB2312" w:eastAsia="仿宋_GB2312"/>
                <w:sz w:val="21"/>
              </w:rPr>
              <w:t>8</w:t>
            </w:r>
            <w:r>
              <w:rPr>
                <w:rFonts w:ascii="仿宋_GB2312" w:hAnsi="仿宋_GB2312" w:cs="仿宋_GB2312" w:eastAsia="仿宋_GB2312"/>
                <w:sz w:val="21"/>
              </w:rPr>
              <w:t>、陕西省交通运输厅关于执行交通运输部《公路工程营业税改增值税计价依据调整方案》的通知（陕交函</w:t>
            </w:r>
            <w:r>
              <w:rPr>
                <w:rFonts w:ascii="仿宋_GB2312" w:hAnsi="仿宋_GB2312" w:cs="仿宋_GB2312" w:eastAsia="仿宋_GB2312"/>
                <w:sz w:val="21"/>
              </w:rPr>
              <w:t>[2016]475号）；</w:t>
            </w:r>
          </w:p>
          <w:p>
            <w:pPr>
              <w:pStyle w:val="null3"/>
              <w:ind w:firstLine="560"/>
              <w:jc w:val="left"/>
            </w:pPr>
            <w:r>
              <w:rPr>
                <w:rFonts w:ascii="仿宋_GB2312" w:hAnsi="仿宋_GB2312" w:cs="仿宋_GB2312" w:eastAsia="仿宋_GB2312"/>
                <w:sz w:val="21"/>
              </w:rPr>
              <w:t>9</w:t>
            </w:r>
            <w:r>
              <w:rPr>
                <w:rFonts w:ascii="仿宋_GB2312" w:hAnsi="仿宋_GB2312" w:cs="仿宋_GB2312" w:eastAsia="仿宋_GB2312"/>
                <w:sz w:val="21"/>
              </w:rPr>
              <w:t>、交通运输部关于调整《公路工程建设项目投资估算编制办法》（</w:t>
            </w:r>
            <w:r>
              <w:rPr>
                <w:rFonts w:ascii="仿宋_GB2312" w:hAnsi="仿宋_GB2312" w:cs="仿宋_GB2312" w:eastAsia="仿宋_GB2312"/>
                <w:sz w:val="21"/>
              </w:rPr>
              <w:t>JTG 3820——2018）和《公路工程建设项目概算预算编制办法》（JTG 3820——2018）中“税金”有关规定的公告（交办公路[2019]26号）；</w:t>
            </w:r>
          </w:p>
          <w:p>
            <w:pPr>
              <w:pStyle w:val="null3"/>
              <w:ind w:firstLine="560"/>
              <w:jc w:val="left"/>
            </w:pPr>
            <w:r>
              <w:rPr>
                <w:rFonts w:ascii="仿宋_GB2312" w:hAnsi="仿宋_GB2312" w:cs="仿宋_GB2312" w:eastAsia="仿宋_GB2312"/>
                <w:sz w:val="21"/>
              </w:rPr>
              <w:t>10</w:t>
            </w:r>
            <w:r>
              <w:rPr>
                <w:rFonts w:ascii="仿宋_GB2312" w:hAnsi="仿宋_GB2312" w:cs="仿宋_GB2312" w:eastAsia="仿宋_GB2312"/>
                <w:sz w:val="21"/>
              </w:rPr>
              <w:t>、交通运输部关于发布《公路工程建设项目投资估算编制办法》《公路工程建设项目概算预算编制办法》及《公路工程估算指标》《公路工程概算定额》《公路工程预算定额》《公路工程机械台班费用定额》</w:t>
            </w:r>
            <w:r>
              <w:rPr>
                <w:rFonts w:ascii="仿宋_GB2312" w:hAnsi="仿宋_GB2312" w:cs="仿宋_GB2312" w:eastAsia="仿宋_GB2312"/>
                <w:sz w:val="21"/>
              </w:rPr>
              <w:t>[2018]第86号公告。</w:t>
            </w:r>
          </w:p>
          <w:p>
            <w:pPr>
              <w:pStyle w:val="null3"/>
              <w:jc w:val="left"/>
            </w:pPr>
            <w:r>
              <w:rPr>
                <w:rFonts w:ascii="仿宋_GB2312" w:hAnsi="仿宋_GB2312" w:cs="仿宋_GB2312" w:eastAsia="仿宋_GB2312"/>
                <w:sz w:val="21"/>
                <w:b/>
              </w:rPr>
              <w:t>三、其他项目费及材料价格说明：</w:t>
            </w:r>
          </w:p>
          <w:p>
            <w:pPr>
              <w:pStyle w:val="null3"/>
              <w:ind w:firstLine="560"/>
              <w:jc w:val="left"/>
            </w:pPr>
            <w:r>
              <w:rPr>
                <w:rFonts w:ascii="仿宋_GB2312" w:hAnsi="仿宋_GB2312" w:cs="仿宋_GB2312" w:eastAsia="仿宋_GB2312"/>
                <w:sz w:val="21"/>
              </w:rPr>
              <w:t>1、材料价格依据</w:t>
            </w:r>
            <w:r>
              <w:rPr>
                <w:rFonts w:ascii="仿宋_GB2312" w:hAnsi="仿宋_GB2312" w:cs="仿宋_GB2312" w:eastAsia="仿宋_GB2312"/>
                <w:sz w:val="21"/>
              </w:rPr>
              <w:t>《汉中</w:t>
            </w:r>
            <w:r>
              <w:rPr>
                <w:rFonts w:ascii="仿宋_GB2312" w:hAnsi="仿宋_GB2312" w:cs="仿宋_GB2312" w:eastAsia="仿宋_GB2312"/>
                <w:sz w:val="21"/>
              </w:rPr>
              <w:t>公路</w:t>
            </w:r>
            <w:r>
              <w:rPr>
                <w:rFonts w:ascii="仿宋_GB2312" w:hAnsi="仿宋_GB2312" w:cs="仿宋_GB2312" w:eastAsia="仿宋_GB2312"/>
                <w:sz w:val="21"/>
              </w:rPr>
              <w:t>造价信息</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年第</w:t>
            </w:r>
            <w:r>
              <w:rPr>
                <w:rFonts w:ascii="仿宋_GB2312" w:hAnsi="仿宋_GB2312" w:cs="仿宋_GB2312" w:eastAsia="仿宋_GB2312"/>
                <w:sz w:val="21"/>
              </w:rPr>
              <w:t>6</w:t>
            </w:r>
            <w:r>
              <w:rPr>
                <w:rFonts w:ascii="仿宋_GB2312" w:hAnsi="仿宋_GB2312" w:cs="仿宋_GB2312" w:eastAsia="仿宋_GB2312"/>
                <w:sz w:val="21"/>
              </w:rPr>
              <w:t>期》及当地市场价综合计取；</w:t>
            </w:r>
          </w:p>
          <w:p>
            <w:pPr>
              <w:pStyle w:val="null3"/>
              <w:ind w:firstLine="560"/>
              <w:jc w:val="left"/>
            </w:pPr>
            <w:r>
              <w:rPr>
                <w:rFonts w:ascii="仿宋_GB2312" w:hAnsi="仿宋_GB2312" w:cs="仿宋_GB2312" w:eastAsia="仿宋_GB2312"/>
                <w:sz w:val="21"/>
              </w:rPr>
              <w:t>2、建筑工程一切险</w:t>
            </w:r>
            <w:r>
              <w:rPr>
                <w:rFonts w:ascii="仿宋_GB2312" w:hAnsi="仿宋_GB2312" w:cs="仿宋_GB2312" w:eastAsia="仿宋_GB2312"/>
                <w:sz w:val="21"/>
              </w:rPr>
              <w:t>按</w:t>
            </w:r>
            <w:r>
              <w:rPr>
                <w:rFonts w:ascii="仿宋_GB2312" w:hAnsi="仿宋_GB2312" w:cs="仿宋_GB2312" w:eastAsia="仿宋_GB2312"/>
                <w:sz w:val="21"/>
              </w:rPr>
              <w:t>200章到700章合计的0.3%</w:t>
            </w:r>
            <w:r>
              <w:rPr>
                <w:rFonts w:ascii="仿宋_GB2312" w:hAnsi="仿宋_GB2312" w:cs="仿宋_GB2312" w:eastAsia="仿宋_GB2312"/>
                <w:sz w:val="21"/>
              </w:rPr>
              <w:t>计入；</w:t>
            </w:r>
          </w:p>
          <w:p>
            <w:pPr>
              <w:pStyle w:val="null3"/>
              <w:ind w:firstLine="560"/>
              <w:jc w:val="left"/>
            </w:pPr>
            <w:r>
              <w:rPr>
                <w:rFonts w:ascii="仿宋_GB2312" w:hAnsi="仿宋_GB2312" w:cs="仿宋_GB2312" w:eastAsia="仿宋_GB2312"/>
                <w:sz w:val="21"/>
              </w:rPr>
              <w:t>3、第三者责任险</w:t>
            </w:r>
            <w:r>
              <w:rPr>
                <w:rFonts w:ascii="仿宋_GB2312" w:hAnsi="仿宋_GB2312" w:cs="仿宋_GB2312" w:eastAsia="仿宋_GB2312"/>
                <w:sz w:val="21"/>
              </w:rPr>
              <w:t>按</w:t>
            </w:r>
            <w:r>
              <w:rPr>
                <w:rFonts w:ascii="仿宋_GB2312" w:hAnsi="仿宋_GB2312" w:cs="仿宋_GB2312" w:eastAsia="仿宋_GB2312"/>
                <w:sz w:val="21"/>
              </w:rPr>
              <w:t>200章到700章合计的0.1%</w:t>
            </w:r>
            <w:r>
              <w:rPr>
                <w:rFonts w:ascii="仿宋_GB2312" w:hAnsi="仿宋_GB2312" w:cs="仿宋_GB2312" w:eastAsia="仿宋_GB2312"/>
                <w:sz w:val="21"/>
              </w:rPr>
              <w:t>计入；</w:t>
            </w:r>
          </w:p>
          <w:p>
            <w:pPr>
              <w:pStyle w:val="null3"/>
              <w:ind w:firstLine="560"/>
              <w:jc w:val="left"/>
            </w:pPr>
            <w:r>
              <w:rPr>
                <w:rFonts w:ascii="仿宋_GB2312" w:hAnsi="仿宋_GB2312" w:cs="仿宋_GB2312" w:eastAsia="仿宋_GB2312"/>
                <w:sz w:val="21"/>
              </w:rPr>
              <w:t>4、安全生产费</w:t>
            </w:r>
            <w:r>
              <w:rPr>
                <w:rFonts w:ascii="仿宋_GB2312" w:hAnsi="仿宋_GB2312" w:cs="仿宋_GB2312" w:eastAsia="仿宋_GB2312"/>
                <w:sz w:val="21"/>
              </w:rPr>
              <w:t>按</w:t>
            </w:r>
            <w:r>
              <w:rPr>
                <w:rFonts w:ascii="仿宋_GB2312" w:hAnsi="仿宋_GB2312" w:cs="仿宋_GB2312" w:eastAsia="仿宋_GB2312"/>
                <w:sz w:val="21"/>
              </w:rPr>
              <w:t>200章到700章合计的1.5%</w:t>
            </w:r>
            <w:r>
              <w:rPr>
                <w:rFonts w:ascii="仿宋_GB2312" w:hAnsi="仿宋_GB2312" w:cs="仿宋_GB2312" w:eastAsia="仿宋_GB2312"/>
                <w:sz w:val="21"/>
              </w:rPr>
              <w:t>计入；</w:t>
            </w:r>
          </w:p>
          <w:p>
            <w:pPr>
              <w:pStyle w:val="null3"/>
              <w:ind w:firstLine="560"/>
              <w:jc w:val="left"/>
            </w:pPr>
            <w:r>
              <w:rPr>
                <w:rFonts w:ascii="仿宋_GB2312" w:hAnsi="仿宋_GB2312" w:cs="仿宋_GB2312" w:eastAsia="仿宋_GB2312"/>
                <w:sz w:val="21"/>
              </w:rPr>
              <w:t>5、暂列金</w:t>
            </w:r>
            <w:r>
              <w:rPr>
                <w:rFonts w:ascii="仿宋_GB2312" w:hAnsi="仿宋_GB2312" w:cs="仿宋_GB2312" w:eastAsia="仿宋_GB2312"/>
                <w:sz w:val="21"/>
              </w:rPr>
              <w:t>按</w:t>
            </w:r>
            <w:r>
              <w:rPr>
                <w:rFonts w:ascii="仿宋_GB2312" w:hAnsi="仿宋_GB2312" w:cs="仿宋_GB2312" w:eastAsia="仿宋_GB2312"/>
                <w:sz w:val="21"/>
              </w:rPr>
              <w:t>3%</w:t>
            </w:r>
            <w:r>
              <w:rPr>
                <w:rFonts w:ascii="仿宋_GB2312" w:hAnsi="仿宋_GB2312" w:cs="仿宋_GB2312" w:eastAsia="仿宋_GB2312"/>
                <w:sz w:val="21"/>
              </w:rPr>
              <w:t>计；</w:t>
            </w:r>
          </w:p>
          <w:p>
            <w:pPr>
              <w:pStyle w:val="null3"/>
              <w:ind w:firstLine="560"/>
              <w:jc w:val="left"/>
            </w:pPr>
            <w:r>
              <w:rPr>
                <w:rFonts w:ascii="仿宋_GB2312" w:hAnsi="仿宋_GB2312" w:cs="仿宋_GB2312" w:eastAsia="仿宋_GB2312"/>
                <w:sz w:val="21"/>
              </w:rPr>
              <w:t>6、冬季施工增加费按准二区计取；</w:t>
            </w:r>
          </w:p>
          <w:p>
            <w:pPr>
              <w:pStyle w:val="null3"/>
              <w:ind w:firstLine="560"/>
              <w:jc w:val="left"/>
            </w:pPr>
            <w:r>
              <w:rPr>
                <w:rFonts w:ascii="仿宋_GB2312" w:hAnsi="仿宋_GB2312" w:cs="仿宋_GB2312" w:eastAsia="仿宋_GB2312"/>
                <w:sz w:val="21"/>
              </w:rPr>
              <w:t>7、雨季施工增加费按雨I区（雨季期3个月）计取；</w:t>
            </w:r>
          </w:p>
          <w:p>
            <w:pPr>
              <w:pStyle w:val="null3"/>
              <w:ind w:firstLine="560"/>
              <w:jc w:val="left"/>
            </w:pPr>
            <w:r>
              <w:rPr>
                <w:rFonts w:ascii="仿宋_GB2312" w:hAnsi="仿宋_GB2312" w:cs="仿宋_GB2312" w:eastAsia="仿宋_GB2312"/>
                <w:sz w:val="21"/>
              </w:rPr>
              <w:t>8、夜间施工增加费、沿海地区施工增加费、高原地区施工增加费、风沙地区增加费不计；</w:t>
            </w:r>
          </w:p>
          <w:p>
            <w:pPr>
              <w:pStyle w:val="null3"/>
              <w:ind w:firstLine="560"/>
              <w:jc w:val="left"/>
            </w:pPr>
            <w:r>
              <w:rPr>
                <w:rFonts w:ascii="仿宋_GB2312" w:hAnsi="仿宋_GB2312" w:cs="仿宋_GB2312" w:eastAsia="仿宋_GB2312"/>
                <w:sz w:val="21"/>
              </w:rPr>
              <w:t>9、工地转移</w:t>
            </w:r>
            <w:r>
              <w:rPr>
                <w:rFonts w:ascii="仿宋_GB2312" w:hAnsi="仿宋_GB2312" w:cs="仿宋_GB2312" w:eastAsia="仿宋_GB2312"/>
                <w:sz w:val="21"/>
              </w:rPr>
              <w:t>50Km</w:t>
            </w:r>
            <w:r>
              <w:rPr>
                <w:rFonts w:ascii="仿宋_GB2312" w:hAnsi="仿宋_GB2312" w:cs="仿宋_GB2312" w:eastAsia="仿宋_GB2312"/>
                <w:sz w:val="21"/>
              </w:rPr>
              <w:t>；</w:t>
            </w:r>
          </w:p>
          <w:p>
            <w:pPr>
              <w:pStyle w:val="null3"/>
              <w:ind w:firstLine="560"/>
              <w:jc w:val="left"/>
            </w:pPr>
            <w:r>
              <w:rPr>
                <w:rFonts w:ascii="仿宋_GB2312" w:hAnsi="仿宋_GB2312" w:cs="仿宋_GB2312" w:eastAsia="仿宋_GB2312"/>
                <w:sz w:val="21"/>
              </w:rPr>
              <w:t>10、利润、税金按现行政策文件计取；</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rPr>
              <w:t>缺陷责任期：</w:t>
            </w:r>
            <w:r>
              <w:rPr>
                <w:rFonts w:ascii="仿宋_GB2312" w:hAnsi="仿宋_GB2312" w:cs="仿宋_GB2312" w:eastAsia="仿宋_GB2312"/>
                <w:sz w:val="21"/>
              </w:rPr>
              <w:t>自实际交工日期起计算</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1 </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color w:val="000000"/>
              </w:rPr>
              <w:t>质量标准：交工验收的质量评定：合格；竣工验收的质量评定：合格。</w:t>
            </w:r>
          </w:p>
          <w:p>
            <w:pPr>
              <w:pStyle w:val="null3"/>
              <w:jc w:val="left"/>
            </w:pPr>
            <w:r>
              <w:rPr>
                <w:rFonts w:ascii="仿宋_GB2312" w:hAnsi="仿宋_GB2312" w:cs="仿宋_GB2312" w:eastAsia="仿宋_GB2312"/>
                <w:sz w:val="21"/>
                <w:color w:val="000000"/>
              </w:rPr>
              <w:t>安全⽬标：</w:t>
            </w:r>
            <w:r>
              <w:rPr>
                <w:rFonts w:ascii="仿宋_GB2312" w:hAnsi="仿宋_GB2312" w:cs="仿宋_GB2312" w:eastAsia="仿宋_GB2312"/>
                <w:sz w:val="21"/>
                <w:color w:val="000000"/>
              </w:rPr>
              <w:t>要求安全文明施工，无安全责任事故，实现</w:t>
            </w:r>
            <w:r>
              <w:rPr>
                <w:rFonts w:ascii="仿宋_GB2312" w:hAnsi="仿宋_GB2312" w:cs="仿宋_GB2312" w:eastAsia="仿宋_GB2312"/>
                <w:sz w:val="21"/>
                <w:color w:val="000000"/>
              </w:rPr>
              <w:t>“零死亡”安全管理目标</w:t>
            </w:r>
            <w:r>
              <w:rPr>
                <w:rFonts w:ascii="仿宋_GB2312" w:hAnsi="仿宋_GB2312" w:cs="仿宋_GB2312" w:eastAsia="仿宋_GB2312"/>
                <w:sz w:val="21"/>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全程做好现场技术指导、技术交底，主动配合甲方、监理各项检查工作。 2. 负责设计变更、现场签证的资料整理与上报工作。 3. 按期编制全套合格竣工资料、竣工图纸，满足验收及审计归档要求。 4. 严格遵照现行行业规范施工，做好工程资料保密工作。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供应商应充分考虑采购⽂件的各项条款、项⽬现场实际情况、供应商所掌握的市场情况及现⾏有关政策法规的要求，按照采购⼈提供的⼯程量清单结合企业⾃⾝情况⾃主填写报价，并提供单价分析表。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供应商需提供《汉中市政府采购供应商资格承 诺函》</w:t>
            </w:r>
          </w:p>
        </w:tc>
        <w:tc>
          <w:tcPr>
            <w:tcW w:type="dxa" w:w="1661"/>
          </w:tcPr>
          <w:p>
            <w:pPr>
              <w:pStyle w:val="null3"/>
            </w:pPr>
            <w:r>
              <w:rPr>
                <w:rFonts w:ascii="仿宋_GB2312" w:hAnsi="仿宋_GB2312" w:cs="仿宋_GB2312" w:eastAsia="仿宋_GB2312"/>
              </w:rPr>
              <w:t>资格证明.docx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参与的供应商⼯程的施⼯单位全部 为符合政策要求的中⼩企业。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 或自然人，提供合法有效的统一社会信用代码 营业执照（事业单位法人证书/专业服务机构执 业许可证/民办非企业单位登记证书，自然人提 供身份证）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供应商须具备建设行政主管部门核发的公路工程施工总承包三级及以上资质，并取得安全生产许可证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项目负责人具备公路工程专业二级及以上注册建造师执业资格(不含临时执业资格)、具有交通行政主管部门颁发的 B 类安全生产考核合格证，且无在建工程。</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法定代表⼈或委托代理⼈⾝份证明</w:t>
            </w:r>
          </w:p>
        </w:tc>
        <w:tc>
          <w:tcPr>
            <w:tcW w:type="dxa" w:w="3322"/>
          </w:tcPr>
          <w:p>
            <w:pPr>
              <w:pStyle w:val="null3"/>
            </w:pPr>
            <w:r>
              <w:rPr>
                <w:rFonts w:ascii="仿宋_GB2312" w:hAnsi="仿宋_GB2312" w:cs="仿宋_GB2312" w:eastAsia="仿宋_GB2312"/>
              </w:rPr>
              <w:t>供应商应授权合法的人员参加投标全过程，其 中法定代表人直接参加投标的，须出具法人身 份证明及法人身份证，并与营业执照上信息一 致。法定代表授权委托人参加投标的，须出具 法定代表授权委托书及被授权代表身份证复印件</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 计制度,具有履行合同所必需的设备和专业技术 能力,具有依法缴纳税收和社会保障金的良好记 录，参加本项目采购活动前三年内无重大违法 活动记录，未列入在信用中国网站“失信被执行 人”、“重大税收违法案件当事人名单”中，也未 列入中国政府采购网“政府采购严重违法失信行 为记录名单”中。须提供《汉中市政府采购供应 商资格承诺函》</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 小微企业，填写中小企业声明函并对真实性负 责</w:t>
            </w:r>
          </w:p>
        </w:tc>
        <w:tc>
          <w:tcPr>
            <w:tcW w:type="dxa" w:w="1661"/>
          </w:tcPr>
          <w:p>
            <w:pPr>
              <w:pStyle w:val="null3"/>
            </w:pPr>
            <w:r>
              <w:rPr>
                <w:rFonts w:ascii="仿宋_GB2312" w:hAnsi="仿宋_GB2312" w:cs="仿宋_GB2312" w:eastAsia="仿宋_GB2312"/>
              </w:rPr>
              <w:t>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响应⽂件签字、盖章及⼯期、质量、响应有效 期符合采购⽂件要求。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资格证明.docx 项目管理机构组成表 详细评审.docx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符合采购⽂件要求，响应⽂件内容⻬全、⽆遗 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资格证明.docx 项目管理机构组成表 详细评审.docx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⽆效响应</w:t>
            </w:r>
          </w:p>
        </w:tc>
        <w:tc>
          <w:tcPr>
            <w:tcW w:type="dxa" w:w="3322"/>
          </w:tcPr>
          <w:p>
            <w:pPr>
              <w:pStyle w:val="null3"/>
            </w:pPr>
            <w:r>
              <w:rPr>
                <w:rFonts w:ascii="仿宋_GB2312" w:hAnsi="仿宋_GB2312" w:cs="仿宋_GB2312" w:eastAsia="仿宋_GB2312"/>
              </w:rPr>
              <w:t>没有出现法律法规或采购⽂件明确规定的其他 被视为“⽆效响应”的情形及未实质性响应采购 ⽂件的情况</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资格证明.docx 项目管理机构组成表 详细评审.docx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1⽇⾄今完成的类似业绩证明，每提供⼀份得2分，最⾼得6分；注：业绩须是供应商完成的公路⼯程施⼯业绩，以中标通知书、协议书（合同）及完⼯证明或竣⼯验收证明加盖公章的复印件为依据，时间以验收合格证明资料⽇期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具备⼯程类中级及以上职称得2分，初级职称得1分；评审依据：以职称证件为准；二、具有3年及以上类似⼯程施⼯⼯作经验得2分（以执业资格证或建造师注册证书发证时间为准），3年以下的得1分；评审依据：以加盖公章的执业资格证或建造师注册证书发证时间为准；三、提供2023年8⽉1⽇⾄今类似业绩证明，得2分。(注：业绩须是供应商项⽬经理完成的公路⼯程施⼯业绩，提供中标通知书、协议书（合同）及完⼯证明或竣⼯验收证明加盖公章的复印件为依据，时间以验收合格证明资料⽇期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一、根据供应商提供的本项目施工方案①施工工艺②施工方法③技术措施④是否针对本项目实施提出重点、难点并给出相应的解决方案⑤影响正常施工外在因素分析及对应预案等进行综合打分；完全响应得15分； 二、评审标准： 1.完整性：方案必须全面，对评审内容中的各项要求有详细描述； 2.可实施性：切合本项目实际情况提出步骤清晰、合理的方案; 3.针对性：方案能够紧扣项目实际情况， 内容科学合理。 三、赋分依据：①施工工艺：满足一个评分标准得1分，共3分; ②施工方法:满足一个评分标准得1分，共3分; ③技术措施:满足一个评分标准得1分，共3分; ④是否针对本项目实施提出重点、难点并给出相应的解决方案:满足一个评分标准得1分，共3分; ⑤影响正常施工外在因素分析及对应预案等：满足一个评分标准得1分，共3分; 各项内容须全面详尽、阐述条例清晰、符合本项目需求。方案中每有一项内容缺失扣3分，方案内容要素中每存在一处缺陷扣1分，该分项分值扣完为止。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项⽬管理机构⼈员配备</w:t>
            </w:r>
          </w:p>
        </w:tc>
        <w:tc>
          <w:tcPr>
            <w:tcW w:type="dxa" w:w="2492"/>
          </w:tcPr>
          <w:p>
            <w:pPr>
              <w:pStyle w:val="null3"/>
            </w:pPr>
            <w:r>
              <w:rPr>
                <w:rFonts w:ascii="仿宋_GB2312" w:hAnsi="仿宋_GB2312" w:cs="仿宋_GB2312" w:eastAsia="仿宋_GB2312"/>
              </w:rPr>
              <w:t>根据供应商提供的①项⽬管理机构图；②岗位安排及职责，班⼦⼈员需提供相关证书、⾝份证及本单位社保缴费证明（近六个⽉内任意3个⽉），未提供不得分；③相应的管理制度及措施等进行综合打分。评审标准:各项内容全⾯详细、阐述条理清晰详尽、符合本项⽬采购需求、能有效保障本项⽬实施得6分，每缺⼀项扣2分，每⼀项内容存在缺陷，扣1分，扣完为⽌。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⼯程质量保证措施</w:t>
            </w:r>
          </w:p>
        </w:tc>
        <w:tc>
          <w:tcPr>
            <w:tcW w:type="dxa" w:w="2492"/>
          </w:tcPr>
          <w:p>
            <w:pPr>
              <w:pStyle w:val="null3"/>
            </w:pPr>
            <w:r>
              <w:rPr>
                <w:rFonts w:ascii="仿宋_GB2312" w:hAnsi="仿宋_GB2312" w:cs="仿宋_GB2312" w:eastAsia="仿宋_GB2312"/>
              </w:rPr>
              <w:t>根据供应商提供的①质量管理⼯作流程；②⼯程质量保障⽅案；③⼯程质量控制体系；④材料和构配件的质量控制等；⑤施⼯检测及⼯序交验⽅案等进行综合打分。评审标准:各项内容全⾯详细、阐述条理清晰详尽、符合本项⽬采购需求、能有效保障本项⽬实施得10分；每缺⼀项扣2分，每⼀项内容存在缺陷，扣1分，扣完为⽌。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安全⽣产施⼯保证措施</w:t>
            </w:r>
          </w:p>
        </w:tc>
        <w:tc>
          <w:tcPr>
            <w:tcW w:type="dxa" w:w="2492"/>
          </w:tcPr>
          <w:p>
            <w:pPr>
              <w:pStyle w:val="null3"/>
            </w:pPr>
            <w:r>
              <w:rPr>
                <w:rFonts w:ascii="仿宋_GB2312" w:hAnsi="仿宋_GB2312" w:cs="仿宋_GB2312" w:eastAsia="仿宋_GB2312"/>
              </w:rPr>
              <w:t>根据供应商提供的①安全⽣产管理制度；②配置安全组织机构；③安全隐患排查、整改制度；④安全保障措施；⑤应急救援机制等进行综合打分。评审标准:各项内容全⾯详细、阐述条理清晰详尽、符合本项⽬采购需求、能有效保障本项⽬实施得10分；每缺⼀项扣2分，每⼀项内容存在缺陷，扣1分，扣完为⽌。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⽂明施⼯及环境保护措施</w:t>
            </w:r>
          </w:p>
        </w:tc>
        <w:tc>
          <w:tcPr>
            <w:tcW w:type="dxa" w:w="2492"/>
          </w:tcPr>
          <w:p>
            <w:pPr>
              <w:pStyle w:val="null3"/>
            </w:pPr>
            <w:r>
              <w:rPr>
                <w:rFonts w:ascii="仿宋_GB2312" w:hAnsi="仿宋_GB2312" w:cs="仿宋_GB2312" w:eastAsia="仿宋_GB2312"/>
              </w:rPr>
              <w:t>根据供应商提供的①⽂明及环境保护体系及管理制度:；②⽂明施⼯及环境保护相关措施（防尘降噪、节能减排）等进行综合打分。评审标准：各项内容全⾯详细、阐述条理清晰详尽、符合本项⽬采购需求、能有效保障本项⽬实施得3分:每缺⼀项扣1.5分 ， 每⼀项内容存在缺陷，扣1分，扣完为⽌。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⼯期保证措施</w:t>
            </w:r>
          </w:p>
        </w:tc>
        <w:tc>
          <w:tcPr>
            <w:tcW w:type="dxa" w:w="2492"/>
          </w:tcPr>
          <w:p>
            <w:pPr>
              <w:pStyle w:val="null3"/>
            </w:pPr>
            <w:r>
              <w:rPr>
                <w:rFonts w:ascii="仿宋_GB2312" w:hAnsi="仿宋_GB2312" w:cs="仿宋_GB2312" w:eastAsia="仿宋_GB2312"/>
              </w:rPr>
              <w:t>根据供应商提供的①进度安排计划; ②⼯期⽬标控制；③确保⼯期的有效措施；④材料供应措施；⑤成品、半成品保护监管措施等进行综合打分。评审标准:各项内容全⾯详细、阐述条理清晰详尽、符合本项⽬采购需求、能有效保障本项⽬实施得5分:每缺⼀项扣1分，每⼀项内容存在缺陷，扣0 .5分，扣完为⽌。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施⼯机械设备和材料投⼊计划、劳动⼒安排计划</w:t>
            </w:r>
          </w:p>
        </w:tc>
        <w:tc>
          <w:tcPr>
            <w:tcW w:type="dxa" w:w="2492"/>
          </w:tcPr>
          <w:p>
            <w:pPr>
              <w:pStyle w:val="null3"/>
            </w:pPr>
            <w:r>
              <w:rPr>
                <w:rFonts w:ascii="仿宋_GB2312" w:hAnsi="仿宋_GB2312" w:cs="仿宋_GB2312" w:eastAsia="仿宋_GB2312"/>
              </w:rPr>
              <w:t>根据供应商提供的①施⼯机械设备和材料投⼊计划；②施⼯机械设备和材料保障措施；③劳动⼒投⼊计划；④劳动⼒保障措施等进行综合打分。评审标准：各项内容全⾯详细、阐述条理清晰详尽、符合本项⽬采购需求、能有效保障本项⽬实施得4分；每缺⼀项扣1分，每⼀项内容存在缺陷，扣0 .5分，扣完为⽌。备注:缺陷是指内容过于简单、不完善、前后表述不⼀致、套⽤其他项⽬⽅案或与项⽬需求不匹配、凭空编造、出现常识性错误及其他不利于项⽬实施等任意⼀种情形。 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工程质量保修方案</w:t>
            </w:r>
          </w:p>
        </w:tc>
        <w:tc>
          <w:tcPr>
            <w:tcW w:type="dxa" w:w="2492"/>
          </w:tcPr>
          <w:p>
            <w:pPr>
              <w:pStyle w:val="null3"/>
            </w:pPr>
            <w:r>
              <w:rPr>
                <w:rFonts w:ascii="仿宋_GB2312" w:hAnsi="仿宋_GB2312" w:cs="仿宋_GB2312" w:eastAsia="仿宋_GB2312"/>
              </w:rPr>
              <w:t>根据供应商提供的①承诺维修响应时间②售后质保人员配置③工程质保承诺方案④日常巡检计划⑤违约处理等进行综合评分。评审标准:各项内容全⾯详细、阐述条理清晰详尽、符合本项⽬采购需求、能有效保障本项⽬实施得5分:每缺⼀项扣1分，每⼀项内容存在缺陷，扣0.5分，扣完为⽌。注：缺陷是指：存在项目名称、地点区域错误、内容与本项目需求无关、仅有框架或标题内容过于简单、不完善、前后表述不⼀致、明显复制其他项⽬内容或凭空编造、出现常识性错误及其他不利于项⽬实施等任意⼀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1、上限为采购预算价（最⾼限价），即报价⼤于上限价视为报价⽆效；2、以满⾜本次磋商⽂件要求的最终报价中最低价格为磋商基准价，其价格为满分；其他供应商报价得分=（磋商基准价/最终报价）×30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详见附件：建设项目工程总承包合同-范本.docx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