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版本号：ZBZG2026-0018920260515001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123号监舍楼卫生间维修项目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ZBZG2026-00189</w:t>
      </w:r>
      <w:r>
        <w:br/>
      </w:r>
      <w:r>
        <w:br/>
      </w:r>
      <w:r>
        <w:br/>
      </w:r>
    </w:p>
    <w:p>
      <w:pPr>
        <w:pStyle w:val="null3"/>
        <w:jc w:val="center"/>
        <w:outlineLvl w:val="2"/>
      </w:pPr>
      <w:r>
        <w:rPr>
          <w:rFonts w:ascii="仿宋_GB2312" w:hAnsi="仿宋_GB2312" w:cs="仿宋_GB2312" w:eastAsia="仿宋_GB2312"/>
          <w:sz w:val="28"/>
          <w:b/>
        </w:rPr>
        <w:t>陕西省女子监狱</w:t>
      </w:r>
    </w:p>
    <w:p>
      <w:pPr>
        <w:pStyle w:val="null3"/>
        <w:jc w:val="center"/>
        <w:outlineLvl w:val="2"/>
      </w:pPr>
      <w:r>
        <w:rPr>
          <w:rFonts w:ascii="仿宋_GB2312" w:hAnsi="仿宋_GB2312" w:cs="仿宋_GB2312" w:eastAsia="仿宋_GB2312"/>
          <w:sz w:val="28"/>
          <w:b/>
        </w:rPr>
        <w:t>信宇腾远工程咨询集团有限公司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信宇腾远工程咨询集团有限公司</w:t>
      </w:r>
      <w:r>
        <w:rPr>
          <w:rFonts w:ascii="仿宋_GB2312" w:hAnsi="仿宋_GB2312" w:cs="仿宋_GB2312" w:eastAsia="仿宋_GB2312"/>
        </w:rPr>
        <w:t>（以下简称“代理机构”）受</w:t>
      </w:r>
      <w:r>
        <w:rPr>
          <w:rFonts w:ascii="仿宋_GB2312" w:hAnsi="仿宋_GB2312" w:cs="仿宋_GB2312" w:eastAsia="仿宋_GB2312"/>
        </w:rPr>
        <w:t>陕西省女子监狱</w:t>
      </w:r>
      <w:r>
        <w:rPr>
          <w:rFonts w:ascii="仿宋_GB2312" w:hAnsi="仿宋_GB2312" w:cs="仿宋_GB2312" w:eastAsia="仿宋_GB2312"/>
        </w:rPr>
        <w:t>委托，拟对</w:t>
      </w:r>
      <w:r>
        <w:rPr>
          <w:rFonts w:ascii="仿宋_GB2312" w:hAnsi="仿宋_GB2312" w:cs="仿宋_GB2312" w:eastAsia="仿宋_GB2312"/>
        </w:rPr>
        <w:t>123号监舍楼卫生间维修项目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ZBZG2026-00189</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123号监舍楼卫生间维修项目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1.2.3号监舍楼卫生间改造工程，地址位于陕西省女子监狱内。本次内装饰专业设计范围包括1.2.3号监舍楼四层、五层卫生间改造具体给排水、电气线路及墙面、地面、顶面等建筑装饰内容拆除；墙面、地面、顶面等建筑装饰及配套安装专业局部改造；照明灯具、开关插座及线路利旧恢复。具体改造内容详见设计图纸和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采购包1（1.2.3#监舍楼卫生间维修项目）：属于专门面向中小企业采购。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 法定代表人授权书及被授权人身份证明。（法定代表人直接投标只须提供其身份证明）</w:t>
      </w:r>
    </w:p>
    <w:p>
      <w:pPr>
        <w:pStyle w:val="null3"/>
      </w:pPr>
      <w:r>
        <w:rPr>
          <w:rFonts w:ascii="仿宋_GB2312" w:hAnsi="仿宋_GB2312" w:cs="仿宋_GB2312" w:eastAsia="仿宋_GB2312"/>
        </w:rPr>
        <w:t>2、供应商资质：供应商具备建筑行政主管部门颁发的有效的建筑工程施工总承包叁级以上（含叁级）资质或建筑装修装饰工程专业承包二级以上（含二级）资质，且具有有效的安全生产许可证；供应商在“陕西省住房和城乡建设厅”官方网站可查询。（查询截图）</w:t>
      </w:r>
    </w:p>
    <w:p>
      <w:pPr>
        <w:pStyle w:val="null3"/>
      </w:pPr>
      <w:r>
        <w:rPr>
          <w:rFonts w:ascii="仿宋_GB2312" w:hAnsi="仿宋_GB2312" w:cs="仿宋_GB2312" w:eastAsia="仿宋_GB2312"/>
        </w:rPr>
        <w:t>3、项目经理资格：项目经理须提供建筑工程专业二级以上（含二级）注册建造师，具备有效的安全生产考核合格证，在本单位注册，且无在建工程（承诺书）；拟派项目经理在“陕西省住房和城乡建设厅”官方网站可查询（查询截图） 。</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陕西省女子监狱</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陕西省西安市长安区引镇陕西秦星服饰有限公司</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710103</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郭永锋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029-85881020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信宇腾远工程咨询集团有限公司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西安市雁塔区曲江新区雁展路1111号莱安中心T3-16</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18629048076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采购包1：1,500,000.00元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开户名称：信宇腾远工程咨询集团有限公司</w:t>
            </w:r>
          </w:p>
          <w:p>
            <w:pPr>
              <w:pStyle w:val="null3"/>
            </w:pPr>
            <w:r>
              <w:rPr>
                <w:rFonts w:ascii="仿宋_GB2312" w:hAnsi="仿宋_GB2312" w:cs="仿宋_GB2312" w:eastAsia="仿宋_GB2312"/>
              </w:rPr>
              <w:t>开户银行：陕西商南农村商业银行股份有限公司</w:t>
            </w:r>
          </w:p>
          <w:p>
            <w:pPr>
              <w:pStyle w:val="null3"/>
            </w:pPr>
            <w:r>
              <w:rPr>
                <w:rFonts w:ascii="仿宋_GB2312" w:hAnsi="仿宋_GB2312" w:cs="仿宋_GB2312" w:eastAsia="仿宋_GB2312"/>
              </w:rPr>
              <w:t>银行账号：2708050101201000087857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代理服务费收费标准：以中标成交金额作为计算基数，由中标(成交)供应商，在领取《中标/成交通知书》前，一次性向代理机构支付。代理服务费参照国家相关收费标准下浮12%计取。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陕西省女子监狱</w:t>
      </w:r>
      <w:r>
        <w:rPr>
          <w:rFonts w:ascii="仿宋_GB2312" w:hAnsi="仿宋_GB2312" w:cs="仿宋_GB2312" w:eastAsia="仿宋_GB2312"/>
        </w:rPr>
        <w:t>和</w:t>
      </w:r>
      <w:r>
        <w:rPr>
          <w:rFonts w:ascii="仿宋_GB2312" w:hAnsi="仿宋_GB2312" w:cs="仿宋_GB2312" w:eastAsia="仿宋_GB2312"/>
        </w:rPr>
        <w:t>信宇腾远工程咨询集团有限公司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陕西省女子监狱</w:t>
      </w:r>
      <w:r>
        <w:rPr>
          <w:rFonts w:ascii="仿宋_GB2312" w:hAnsi="仿宋_GB2312" w:cs="仿宋_GB2312" w:eastAsia="仿宋_GB2312"/>
        </w:rPr>
        <w:t>负责解释。除上述磋商文件内容，其他内容由</w:t>
      </w:r>
      <w:r>
        <w:rPr>
          <w:rFonts w:ascii="仿宋_GB2312" w:hAnsi="仿宋_GB2312" w:cs="仿宋_GB2312" w:eastAsia="仿宋_GB2312"/>
        </w:rPr>
        <w:t>信宇腾远工程咨询集团有限公司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陕西省女子监狱</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信宇腾远工程咨询集团有限公司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一、供应商按设计图纸和工程量清单完成所有施工内容，经初验合格后，正式向采购人提出验收申请，由采购人组织竣工验收。</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信宇腾远工程咨询集团有限公司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联系人：王琢</w:t>
      </w:r>
    </w:p>
    <w:p>
      <w:pPr>
        <w:pStyle w:val="null3"/>
      </w:pPr>
      <w:r>
        <w:rPr>
          <w:rFonts w:ascii="仿宋_GB2312" w:hAnsi="仿宋_GB2312" w:cs="仿宋_GB2312" w:eastAsia="仿宋_GB2312"/>
        </w:rPr>
        <w:t>联系电话：029-87834977</w:t>
      </w:r>
    </w:p>
    <w:p>
      <w:pPr>
        <w:pStyle w:val="null3"/>
      </w:pPr>
      <w:r>
        <w:rPr>
          <w:rFonts w:ascii="仿宋_GB2312" w:hAnsi="仿宋_GB2312" w:cs="仿宋_GB2312" w:eastAsia="仿宋_GB2312"/>
        </w:rPr>
        <w:t>地址：西安市雁塔区曲江新区雁展路1111号莱安中心T3-16</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1,500,000.00</w:t>
      </w:r>
    </w:p>
    <w:p>
      <w:pPr>
        <w:pStyle w:val="null3"/>
      </w:pPr>
      <w:r>
        <w:rPr>
          <w:rFonts w:ascii="仿宋_GB2312" w:hAnsi="仿宋_GB2312" w:cs="仿宋_GB2312" w:eastAsia="仿宋_GB2312"/>
        </w:rPr>
        <w:t>采购包最高限价（元）: 1,497,574.50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1,500,000.00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553"/>
            </w:tblGrid>
            <w:tr>
              <w:tc>
                <w:tcPr>
                  <w:tcW w:type="dxa" w:w="25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00"/>
                    </w:rPr>
                    <w:t>一、项目概况</w:t>
                  </w:r>
                </w:p>
                <w:p>
                  <w:pPr>
                    <w:pStyle w:val="null3"/>
                    <w:ind w:firstLine="480"/>
                    <w:jc w:val="left"/>
                  </w:pPr>
                  <w:r>
                    <w:rPr>
                      <w:rFonts w:ascii="仿宋_GB2312" w:hAnsi="仿宋_GB2312" w:cs="仿宋_GB2312" w:eastAsia="仿宋_GB2312"/>
                      <w:sz w:val="24"/>
                      <w:color w:val="000000"/>
                    </w:rPr>
                    <w:t>1.2.3</w:t>
                  </w:r>
                  <w:r>
                    <w:rPr>
                      <w:rFonts w:ascii="仿宋_GB2312" w:hAnsi="仿宋_GB2312" w:cs="仿宋_GB2312" w:eastAsia="仿宋_GB2312"/>
                      <w:sz w:val="24"/>
                      <w:color w:val="000000"/>
                    </w:rPr>
                    <w:t>#</w:t>
                  </w:r>
                  <w:r>
                    <w:rPr>
                      <w:rFonts w:ascii="仿宋_GB2312" w:hAnsi="仿宋_GB2312" w:cs="仿宋_GB2312" w:eastAsia="仿宋_GB2312"/>
                      <w:sz w:val="24"/>
                      <w:color w:val="000000"/>
                    </w:rPr>
                    <w:t>监舍楼卫生间改造工程，地址位于陕西省女子监狱内。本次内装饰专业设计范围包括</w:t>
                  </w:r>
                  <w:r>
                    <w:rPr>
                      <w:rFonts w:ascii="仿宋_GB2312" w:hAnsi="仿宋_GB2312" w:cs="仿宋_GB2312" w:eastAsia="仿宋_GB2312"/>
                      <w:sz w:val="24"/>
                      <w:color w:val="000000"/>
                    </w:rPr>
                    <w:t>1.2.3</w:t>
                  </w:r>
                  <w:r>
                    <w:rPr>
                      <w:rFonts w:ascii="仿宋_GB2312" w:hAnsi="仿宋_GB2312" w:cs="仿宋_GB2312" w:eastAsia="仿宋_GB2312"/>
                      <w:sz w:val="24"/>
                      <w:color w:val="000000"/>
                    </w:rPr>
                    <w:t>#</w:t>
                  </w:r>
                  <w:r>
                    <w:rPr>
                      <w:rFonts w:ascii="仿宋_GB2312" w:hAnsi="仿宋_GB2312" w:cs="仿宋_GB2312" w:eastAsia="仿宋_GB2312"/>
                      <w:sz w:val="24"/>
                      <w:color w:val="000000"/>
                    </w:rPr>
                    <w:t>监舍楼四层、五层卫生间改造具体给排水、电气线路及墙面、地面、顶面等建筑装饰内容拆除；墙面、地面、顶面等建筑装饰及配套安装专业局部改造；照明灯具、开关插座及线路利旧恢复。具体改造内容详见设计图纸和工程量清单。</w:t>
                  </w:r>
                  <w:r>
                    <w:rPr>
                      <w:rFonts w:ascii="仿宋_GB2312" w:hAnsi="仿宋_GB2312" w:cs="仿宋_GB2312" w:eastAsia="仿宋_GB2312"/>
                      <w:sz w:val="24"/>
                      <w:color w:val="000000"/>
                    </w:rPr>
                    <w:t xml:space="preserve"> </w:t>
                  </w:r>
                  <w:r>
                    <w:rPr>
                      <w:rFonts w:ascii="仿宋_GB2312" w:hAnsi="仿宋_GB2312" w:cs="仿宋_GB2312" w:eastAsia="仿宋_GB2312"/>
                      <w:sz w:val="24"/>
                    </w:rPr>
                    <w:t xml:space="preserve"> </w:t>
                  </w:r>
                </w:p>
                <w:p>
                  <w:pPr>
                    <w:pStyle w:val="null3"/>
                    <w:ind w:firstLine="482"/>
                    <w:jc w:val="left"/>
                  </w:pPr>
                  <w:r>
                    <w:rPr>
                      <w:rFonts w:ascii="仿宋_GB2312" w:hAnsi="仿宋_GB2312" w:cs="仿宋_GB2312" w:eastAsia="仿宋_GB2312"/>
                      <w:sz w:val="24"/>
                      <w:b/>
                      <w:color w:val="000000"/>
                    </w:rPr>
                    <w:t>二、编制依据</w:t>
                  </w:r>
                </w:p>
                <w:p>
                  <w:pPr>
                    <w:pStyle w:val="null3"/>
                    <w:ind w:firstLine="240"/>
                    <w:jc w:val="left"/>
                  </w:pPr>
                  <w:r>
                    <w:rPr>
                      <w:rFonts w:ascii="仿宋_GB2312" w:hAnsi="仿宋_GB2312" w:cs="仿宋_GB2312" w:eastAsia="仿宋_GB2312"/>
                      <w:sz w:val="24"/>
                      <w:color w:val="000000"/>
                    </w:rPr>
                    <w:t>1、1.2.3</w:t>
                  </w:r>
                  <w:r>
                    <w:rPr>
                      <w:rFonts w:ascii="仿宋_GB2312" w:hAnsi="仿宋_GB2312" w:cs="仿宋_GB2312" w:eastAsia="仿宋_GB2312"/>
                      <w:sz w:val="24"/>
                      <w:color w:val="000000"/>
                    </w:rPr>
                    <w:t>#</w:t>
                  </w:r>
                  <w:r>
                    <w:rPr>
                      <w:rFonts w:ascii="仿宋_GB2312" w:hAnsi="仿宋_GB2312" w:cs="仿宋_GB2312" w:eastAsia="仿宋_GB2312"/>
                      <w:sz w:val="24"/>
                      <w:color w:val="000000"/>
                    </w:rPr>
                    <w:t>监舍楼卫生间改造工程设计图纸、图纸答疑、技术要求文件等；</w:t>
                  </w:r>
                </w:p>
                <w:p>
                  <w:pPr>
                    <w:pStyle w:val="null3"/>
                    <w:ind w:firstLine="240"/>
                    <w:jc w:val="left"/>
                  </w:pPr>
                  <w:r>
                    <w:rPr>
                      <w:rFonts w:ascii="仿宋_GB2312" w:hAnsi="仿宋_GB2312" w:cs="仿宋_GB2312" w:eastAsia="仿宋_GB2312"/>
                      <w:sz w:val="24"/>
                      <w:color w:val="000000"/>
                    </w:rPr>
                    <w:t>2、依据《关于印发 2025 陕西省建设工程费用规则等计价依据的通知》 （陕建管发〔2025〕10 号）、陕西省工程建设标准《建设工程工程量清单 计价标准》（2025）、陕西省工程建设标准《房屋建筑与装修工程工程量 清单计价标准》（2025）、《市政工程工程量计算标准》（2025）、《通用安装工程工程量计算标准》（2025）、《园林绿化工程工程量计算标准》 （2025）、《陕西省建设工程费用规则》（2025）、《陕西省房屋建筑与 装修工程消耗量定额》（2025）《陕西省市政工程消耗量定额》（2025）、 《陕西省通用安装工程消耗量定额》（2025）、《陕西省园林绿化工程消 耗量定额》（2025）、《陕西省房屋建筑与装修工程基价表》（2025）《陕 西省市政工程基价表》（2025）、《陕西省园林绿化工程基价表》（2025）、《陕西省通用安装工程基价表》（上、下册）（2025）、《陕西省建设工程施工机械台班费用定额》（2025）、《陕西省建设工程施工仪器仪表台 班费用定额》（2025）及其配套的费用定额勘误和补充等相关文件等；</w:t>
                  </w:r>
                </w:p>
                <w:p>
                  <w:pPr>
                    <w:pStyle w:val="null3"/>
                    <w:ind w:firstLine="240"/>
                    <w:jc w:val="left"/>
                  </w:pPr>
                  <w:r>
                    <w:rPr>
                      <w:rFonts w:ascii="仿宋_GB2312" w:hAnsi="仿宋_GB2312" w:cs="仿宋_GB2312" w:eastAsia="仿宋_GB2312"/>
                      <w:sz w:val="24"/>
                      <w:color w:val="000000"/>
                    </w:rPr>
                    <w:t>3、参考建设工程项目有关的标准、规范、技术资料等；</w:t>
                  </w:r>
                </w:p>
                <w:p>
                  <w:pPr>
                    <w:pStyle w:val="null3"/>
                    <w:ind w:firstLine="240"/>
                    <w:jc w:val="left"/>
                  </w:pPr>
                  <w:r>
                    <w:rPr>
                      <w:rFonts w:ascii="仿宋_GB2312" w:hAnsi="仿宋_GB2312" w:cs="仿宋_GB2312" w:eastAsia="仿宋_GB2312"/>
                      <w:sz w:val="24"/>
                      <w:color w:val="000000"/>
                    </w:rPr>
                    <w:t>4、人工工日单价和机械台班单价，均不包括动态调整部分，编制投标报价时投标人自主确定；</w:t>
                  </w:r>
                </w:p>
                <w:p>
                  <w:pPr>
                    <w:pStyle w:val="null3"/>
                    <w:ind w:firstLine="240"/>
                    <w:jc w:val="left"/>
                  </w:pPr>
                  <w:r>
                    <w:rPr>
                      <w:rFonts w:ascii="仿宋_GB2312" w:hAnsi="仿宋_GB2312" w:cs="仿宋_GB2312" w:eastAsia="仿宋_GB2312"/>
                      <w:sz w:val="24"/>
                      <w:color w:val="000000"/>
                    </w:rPr>
                    <w:t>5、材料价格按市场价计入；</w:t>
                  </w:r>
                </w:p>
                <w:p>
                  <w:pPr>
                    <w:pStyle w:val="null3"/>
                    <w:ind w:firstLine="240"/>
                    <w:jc w:val="left"/>
                  </w:pPr>
                  <w:r>
                    <w:rPr>
                      <w:rFonts w:ascii="仿宋_GB2312" w:hAnsi="仿宋_GB2312" w:cs="仿宋_GB2312" w:eastAsia="仿宋_GB2312"/>
                      <w:sz w:val="24"/>
                      <w:color w:val="000000"/>
                    </w:rPr>
                    <w:t>6、施工现场情况、工程特点及合理施工方案、合理工期等进行编制；</w:t>
                  </w:r>
                </w:p>
                <w:p>
                  <w:pPr>
                    <w:pStyle w:val="null3"/>
                    <w:ind w:firstLine="240"/>
                    <w:jc w:val="left"/>
                  </w:pPr>
                  <w:r>
                    <w:rPr>
                      <w:rFonts w:ascii="仿宋_GB2312" w:hAnsi="仿宋_GB2312" w:cs="仿宋_GB2312" w:eastAsia="仿宋_GB2312"/>
                      <w:sz w:val="24"/>
                      <w:color w:val="000000"/>
                    </w:rPr>
                    <w:t>7、劳保统筹按规定计入工程造价；</w:t>
                  </w:r>
                </w:p>
                <w:p>
                  <w:pPr>
                    <w:pStyle w:val="null3"/>
                    <w:ind w:firstLine="240"/>
                    <w:jc w:val="left"/>
                  </w:pPr>
                  <w:r>
                    <w:rPr>
                      <w:rFonts w:ascii="仿宋_GB2312" w:hAnsi="仿宋_GB2312" w:cs="仿宋_GB2312" w:eastAsia="仿宋_GB2312"/>
                      <w:sz w:val="24"/>
                      <w:color w:val="000000"/>
                    </w:rPr>
                    <w:t>8、编制软件采用广联达云计价平台 GCCP7.0，版本 7.5000.23.2。</w:t>
                  </w:r>
                </w:p>
                <w:p>
                  <w:pPr>
                    <w:pStyle w:val="null3"/>
                    <w:ind w:firstLine="482"/>
                    <w:jc w:val="left"/>
                  </w:pPr>
                  <w:r>
                    <w:rPr>
                      <w:rFonts w:ascii="仿宋_GB2312" w:hAnsi="仿宋_GB2312" w:cs="仿宋_GB2312" w:eastAsia="仿宋_GB2312"/>
                      <w:sz w:val="24"/>
                      <w:b/>
                      <w:color w:val="000000"/>
                    </w:rPr>
                    <w:t>三、编制说明</w:t>
                  </w:r>
                </w:p>
                <w:p>
                  <w:pPr>
                    <w:pStyle w:val="null3"/>
                    <w:ind w:firstLine="240"/>
                    <w:jc w:val="left"/>
                  </w:pPr>
                  <w:r>
                    <w:rPr>
                      <w:rFonts w:ascii="仿宋_GB2312" w:hAnsi="仿宋_GB2312" w:cs="仿宋_GB2312" w:eastAsia="仿宋_GB2312"/>
                      <w:sz w:val="24"/>
                      <w:color w:val="000000"/>
                    </w:rPr>
                    <w:t>1、请投标人结合设计图纸、工程量清单、施工规范等综合报价；措施费按规范自行报价，包括但不限于脚手架、成品保护等。</w:t>
                  </w:r>
                </w:p>
                <w:p>
                  <w:pPr>
                    <w:pStyle w:val="null3"/>
                    <w:ind w:firstLine="422"/>
                    <w:jc w:val="left"/>
                  </w:pPr>
                  <w:r>
                    <w:rPr>
                      <w:rFonts w:ascii="仿宋_GB2312" w:hAnsi="仿宋_GB2312" w:cs="仿宋_GB2312" w:eastAsia="仿宋_GB2312"/>
                      <w:sz w:val="21"/>
                      <w:b/>
                      <w:color w:val="333333"/>
                    </w:rPr>
                    <w:t>四、其他要求</w:t>
                  </w:r>
                </w:p>
                <w:p>
                  <w:pPr>
                    <w:pStyle w:val="null3"/>
                    <w:jc w:val="both"/>
                  </w:pPr>
                  <w:r>
                    <w:rPr>
                      <w:rFonts w:ascii="仿宋_GB2312" w:hAnsi="仿宋_GB2312" w:cs="仿宋_GB2312" w:eastAsia="仿宋_GB2312"/>
                      <w:sz w:val="24"/>
                      <w:color w:val="333333"/>
                    </w:rPr>
                    <w:t>（</w:t>
                  </w:r>
                  <w:r>
                    <w:rPr>
                      <w:rFonts w:ascii="仿宋_GB2312" w:hAnsi="仿宋_GB2312" w:cs="仿宋_GB2312" w:eastAsia="仿宋_GB2312"/>
                      <w:sz w:val="24"/>
                      <w:color w:val="333333"/>
                    </w:rPr>
                    <w:t>1）付款方式：合同签订后7日内支付合同价款的30%；工程竣工验收合格后付至合同价款的70%；工程审计结束后支付至审计价款的95%；余5%作为质保金，在甲方认可的前提下，质保期满后一次性付清余款（质保金不计利息）。</w:t>
                  </w:r>
                </w:p>
                <w:p>
                  <w:pPr>
                    <w:pStyle w:val="null3"/>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2）工期：90天</w:t>
                  </w:r>
                </w:p>
                <w:p>
                  <w:pPr>
                    <w:pStyle w:val="null3"/>
                    <w:jc w:val="left"/>
                  </w:pPr>
                  <w:r>
                    <w:rPr>
                      <w:rFonts w:ascii="仿宋_GB2312" w:hAnsi="仿宋_GB2312" w:cs="仿宋_GB2312" w:eastAsia="仿宋_GB2312"/>
                      <w:sz w:val="24"/>
                      <w:color w:val="333333"/>
                    </w:rPr>
                    <w:t>（</w:t>
                  </w:r>
                  <w:r>
                    <w:rPr>
                      <w:rFonts w:ascii="仿宋_GB2312" w:hAnsi="仿宋_GB2312" w:cs="仿宋_GB2312" w:eastAsia="仿宋_GB2312"/>
                      <w:sz w:val="24"/>
                      <w:color w:val="333333"/>
                    </w:rPr>
                    <w:t>3）质量要求：符合工程质量验收标准规定，验收合格。</w:t>
                  </w:r>
                </w:p>
                <w:p>
                  <w:pPr>
                    <w:pStyle w:val="null3"/>
                    <w:jc w:val="left"/>
                  </w:pPr>
                  <w:r>
                    <w:rPr>
                      <w:rFonts w:ascii="仿宋_GB2312" w:hAnsi="仿宋_GB2312" w:cs="仿宋_GB2312" w:eastAsia="仿宋_GB2312"/>
                      <w:sz w:val="24"/>
                      <w:color w:val="333333"/>
                    </w:rPr>
                    <w:t xml:space="preserve">   质量保修期：自工程验收合格之日起，防水部分5年，其他部分2年。</w:t>
                  </w:r>
                </w:p>
              </w:tc>
            </w:tr>
          </w:tbl>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（1）本工程选用的吊顶材料的燃烧性能均应符合《建筑室内装修设计防火规范》GB50222、《建筑防火通用规范》（GB55037-2022）的要求。 （2）轻钢龙骨的性能应符合国家标准《建筑用轻钢龙骨》（GB/T11981）的规定。 （3）质量验收标准： 《建筑装饰装修工程质量验收标准》(GB50210-2018) 《民用建筑工程室内环境污染控制规范》（GB50325-2020) 《建筑内部装修设计防火规范》（GB50222-2017） 《电气装置安装工程施工及验收规范》（GB50254-50259-96) 《建筑工程施工质量验收统一标准》（GB50300-2013）</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1、内部装修防水设计标准 （1）适用于卫生间，淋浴间等有防水需求的墙地面部位； （2）防水涂料：防水层为1.5mm厚聚氨酯防水涂膜二道和1.2mm丙纶布; （3）有防水要求的楼地面应设排水坡，并应坡向地漏或排水设施，排水坡度不应小于1.0%; （4）用水空间与非用水空间楼地面交接处应有防止水流入非用水房间的措施; （5）室内工程的防水构造设计应符合下列规定: 地漏的管道根部应采取密封防水措施：穿过楼板或墙体的管道套管与管道间应采用防水密封材料嵌填压实;穿过楼板的防水套管应高出装饰层完成面，且高度不应小于20mm; 室内需进行防水设防的区域不应跨越变形缝等可能出现较大变形的部位； 防水做法为2道，涂膜应均匀，且不应起鼓;涂刷防水涂料的阴阳角部位应做成圆弧状或进行倒角处理; 防水层完成后应进行淋水、蓄水试验，楼、地面最小蓄水高度不应小于20mm，蓄水时间不应少于24h有防水要求的墙面应进行淋水试验淋水时间不应小于30min，室内工程厕浴间楼地面防水层和饰面层完成后，均应进行蓄水试验。包立管处，建议做完防水再包立管，后再补做一次防水，如不破坏地面防水层，可免做闭水实验。应在防水层验收合格后进行下一道工序的施工; 防水工程施工应配备相应的防护用品工程中采用的防水材料最小厚度、性能指标应符合《建筑与市政工程防水通用规范》GB55030-2022等关视范的要求。 （6）卫生间地面应比同层其他房间、走廊的楼地面标高低20mm； （7）卫生间墙根部应用C20凝土现浇200mm高条带。 （8）贴卫生间墙面应在相邻墙体的迎水面作防潮处理。做法为15mm厚惨防水剂的防水砂浆。 2、装饰材料及施工说明 （1）地面、墙面工程 凡有给排水设备或水浸入地面，建筑施工图中未注明的均做防水处理，并按不应小于1%排水坡度向地漏方向找坡，若建筑图已明确要求的，以建筑施工图纸为准； （2）不同楼地面材料做法的交接处(未作明确高低差处)，如发生高度不等现象时，依据施工实际情况，适当调整垫层厚度； （3）瓷砖，普通区域地砖为通体砖、全瓷砖，吸水率应低于0.5%，性能应符合国家标准《陶瓷砖》GB/T4100-2015，有水房间(如卫生间、淋浴间)等采用防滑型陶瓷地砖，规格为300*300规格，颜色以实际选样为准； （4）公共卫生间隔断为成品隔断，颜色以选样为准，配套不锈钢五金件。</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1.合同单价以磋商最终报价与一次报价的下浮比例，对所有单价进行同比例下浮，以下浮后的价格作为合同执行单价。 2.成交供应商在成交公告发布后提供3套纸质投标文件（1正2副），纸质版投标文件应与线上电子投标文件保持一致并加盖公章。 3.标的名称：1.2.3#监舍楼卫生间维修项目</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（1)具有独立承担民事责任能力的法人、其他组织或自然人，并出具合法有效的营业执照或事业单位法人证书等国家规定的相关证明，自然人参与的提供其身份证明。 (2)提供2024或2025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以上两种形式的资料提供任何一种即可）。 (3)提供2025年5月至今已缴存的至少一个月的依法缴纳税款的相关凭据（时间以税款所属日期为准），凭据应有税务机关或代收机关的公章或业务专用章。依法免税或无须缴纳税款的供应商，应提供相应证明文件。 (4)提供2025年5月至今已缴存的至少一个月的社会保障资金缴存单据或社保机构开具的社会保险参保缴费情况证明，依法不需要缴纳社会保障资金的单位应提供相关证明材料。 (5)参加本次政府采购活动前三年内在经营活动中没有重大违法记录，以及未被列入“信用中国”失信被执行人、重大税收违法失信主体、未列入政府采购严重违法失信行为记录名单的书面声明。 (6)提供具有履行合同所必需的设备和专业技术能力的承诺函。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 响应函 资格证明资料.docx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供应商参加政府采购活动承诺书.docx 中小企业声明函 残疾人福利性单位声明函 陕西省政府采购供应商拒绝政府采购领域商业贿赂承诺书.docx 强制优先采购产品承诺函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 xml:space="preserve"> 法定代表人授权书及被授权人身份证明。（法定代表人直接投标只须提供其身份证明）</w:t>
            </w:r>
          </w:p>
        </w:tc>
        <w:tc>
          <w:tcPr>
            <w:tcW w:type="dxa" w:w="1661"/>
          </w:tcPr>
          <w:p>
            <w:pPr>
              <w:pStyle w:val="null3"/>
            </w:pPr>
            <w:r>
              <w:rPr>
                <w:rFonts w:ascii="仿宋_GB2312" w:hAnsi="仿宋_GB2312" w:cs="仿宋_GB2312" w:eastAsia="仿宋_GB2312"/>
              </w:rPr>
              <w:t>法人授权委托书.docx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具备建筑行政主管部门颁发的有效的建筑工程施工总承包叁级以上（含叁级）资质或建筑装修装饰工程专业承包二级以上（含二级）资质，且具有有效的安全生产许可证；供应商在“陕西省住房和城乡建设厅”官方网站可查询。（查询截图）</w:t>
            </w:r>
          </w:p>
        </w:tc>
        <w:tc>
          <w:tcPr>
            <w:tcW w:type="dxa" w:w="1661"/>
          </w:tcPr>
          <w:p>
            <w:pPr>
              <w:pStyle w:val="null3"/>
            </w:pPr>
            <w:r>
              <w:rPr>
                <w:rFonts w:ascii="仿宋_GB2312" w:hAnsi="仿宋_GB2312" w:cs="仿宋_GB2312" w:eastAsia="仿宋_GB2312"/>
              </w:rPr>
              <w:t>供应商应提交的相关资格证明材料 资格证明资料.docx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项目经理资格</w:t>
            </w:r>
          </w:p>
        </w:tc>
        <w:tc>
          <w:tcPr>
            <w:tcW w:type="dxa" w:w="3322"/>
          </w:tcPr>
          <w:p>
            <w:pPr>
              <w:pStyle w:val="null3"/>
            </w:pPr>
            <w:r>
              <w:rPr>
                <w:rFonts w:ascii="仿宋_GB2312" w:hAnsi="仿宋_GB2312" w:cs="仿宋_GB2312" w:eastAsia="仿宋_GB2312"/>
              </w:rPr>
              <w:t>项目经理须提供建筑工程专业二级以上（含二级）注册建造师，具备有效的安全生产考核合格证，在本单位注册，且无在建工程（承诺书）；拟派项目经理在“陕西省住房和城乡建设厅”官方网站可查询（查询截图） 。</w:t>
            </w:r>
          </w:p>
        </w:tc>
        <w:tc>
          <w:tcPr>
            <w:tcW w:type="dxa" w:w="1661"/>
          </w:tcPr>
          <w:p>
            <w:pPr>
              <w:pStyle w:val="null3"/>
            </w:pPr>
            <w:r>
              <w:rPr>
                <w:rFonts w:ascii="仿宋_GB2312" w:hAnsi="仿宋_GB2312" w:cs="仿宋_GB2312" w:eastAsia="仿宋_GB2312"/>
              </w:rPr>
              <w:t>供应商应提交的相关资格证明材料 资格证明资料.docx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工期要求完全响应。</w:t>
            </w:r>
          </w:p>
        </w:tc>
        <w:tc>
          <w:tcPr>
            <w:tcW w:type="dxa" w:w="1661"/>
          </w:tcPr>
          <w:p>
            <w:pPr>
              <w:pStyle w:val="null3"/>
            </w:pPr>
            <w:r>
              <w:rPr>
                <w:rFonts w:ascii="仿宋_GB2312" w:hAnsi="仿宋_GB2312" w:cs="仿宋_GB2312" w:eastAsia="仿宋_GB2312"/>
              </w:rPr>
              <w:t>报价函 技术服务合同条款及其他商务要求应答表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关于联合体磋商要求</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响应文件封面 非联合体声明.docx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付款方式及项目质保期</w:t>
            </w:r>
          </w:p>
        </w:tc>
        <w:tc>
          <w:tcPr>
            <w:tcW w:type="dxa" w:w="3322"/>
          </w:tcPr>
          <w:p>
            <w:pPr>
              <w:pStyle w:val="null3"/>
            </w:pPr>
            <w:r>
              <w:rPr>
                <w:rFonts w:ascii="仿宋_GB2312" w:hAnsi="仿宋_GB2312" w:cs="仿宋_GB2312" w:eastAsia="仿宋_GB2312"/>
              </w:rPr>
              <w:t>付款方式及项目质保期完全响应。</w:t>
            </w:r>
          </w:p>
        </w:tc>
        <w:tc>
          <w:tcPr>
            <w:tcW w:type="dxa" w:w="1661"/>
          </w:tcPr>
          <w:p>
            <w:pPr>
              <w:pStyle w:val="null3"/>
            </w:pPr>
            <w:r>
              <w:rPr>
                <w:rFonts w:ascii="仿宋_GB2312" w:hAnsi="仿宋_GB2312" w:cs="仿宋_GB2312" w:eastAsia="仿宋_GB2312"/>
              </w:rPr>
              <w:t>响应文件封面 技术服务合同条款及其他商务要求应答表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响应文件的签字盖章合格。</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有效期</w:t>
            </w:r>
          </w:p>
        </w:tc>
        <w:tc>
          <w:tcPr>
            <w:tcW w:type="dxa" w:w="3322"/>
          </w:tcPr>
          <w:p>
            <w:pPr>
              <w:pStyle w:val="null3"/>
            </w:pPr>
            <w:r>
              <w:rPr>
                <w:rFonts w:ascii="仿宋_GB2312" w:hAnsi="仿宋_GB2312" w:cs="仿宋_GB2312" w:eastAsia="仿宋_GB2312"/>
              </w:rPr>
              <w:t>响应文件有效期合格。</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磋商报价</w:t>
            </w:r>
          </w:p>
        </w:tc>
        <w:tc>
          <w:tcPr>
            <w:tcW w:type="dxa" w:w="3322"/>
          </w:tcPr>
          <w:p>
            <w:pPr>
              <w:pStyle w:val="null3"/>
            </w:pPr>
            <w:r>
              <w:rPr>
                <w:rFonts w:ascii="仿宋_GB2312" w:hAnsi="仿宋_GB2312" w:cs="仿宋_GB2312" w:eastAsia="仿宋_GB2312"/>
              </w:rPr>
              <w:t xml:space="preserve"> 报价未超预算及最高限价。</w:t>
            </w:r>
          </w:p>
        </w:tc>
        <w:tc>
          <w:tcPr>
            <w:tcW w:type="dxa" w:w="1661"/>
          </w:tcPr>
          <w:p>
            <w:pPr>
              <w:pStyle w:val="null3"/>
            </w:pPr>
            <w:r>
              <w:rPr>
                <w:rFonts w:ascii="仿宋_GB2312" w:hAnsi="仿宋_GB2312" w:cs="仿宋_GB2312" w:eastAsia="仿宋_GB2312"/>
              </w:rPr>
              <w:t>响应文件封面 已标价工程量清单.docx 已标价工程量清单 报价函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符合磋商文件第二章“磋商须知”前附表要求。</w:t>
            </w:r>
          </w:p>
        </w:tc>
        <w:tc>
          <w:tcPr>
            <w:tcW w:type="dxa" w:w="1661"/>
          </w:tcPr>
          <w:p>
            <w:pPr>
              <w:pStyle w:val="null3"/>
            </w:pPr>
            <w:r>
              <w:rPr>
                <w:rFonts w:ascii="仿宋_GB2312" w:hAnsi="仿宋_GB2312" w:cs="仿宋_GB2312" w:eastAsia="仿宋_GB2312"/>
              </w:rPr>
              <w:t>响应文件封面 保证金缴纳凭证截图.docx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详细评审100.00分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供应商提供本项目施工方案，包含：①施工概述②施工部署③施工工艺④施工方法⑤交叉施工措施。以上5项内容每一项内容全面详细、阐述条理清晰得5分，满分25分，每项存在一处缺陷，扣1分，扣完为止。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有符合本项目工程的质量管理目标和质量管理制度、主要工序的质量技术保证措施和手段。措施是否完备齐全、先进、合理、切实可行。1 .方案及措施内容完整详尽、科学合理、切实可行、针对性强，完全满 足施工要求得4分；2.方案及措施基本完整、较合理可行、针对性不强、基本满足施工要求得2分；3.方案及措施简单、不能完全满足施工要求得1分；4.未提供得0分。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确保安全文明施工 的技术组织措施</w:t>
            </w:r>
          </w:p>
        </w:tc>
        <w:tc>
          <w:tcPr>
            <w:tcW w:type="dxa" w:w="2492"/>
          </w:tcPr>
          <w:p>
            <w:pPr>
              <w:pStyle w:val="null3"/>
            </w:pPr>
            <w:r>
              <w:rPr>
                <w:rFonts w:ascii="仿宋_GB2312" w:hAnsi="仿宋_GB2312" w:cs="仿宋_GB2312" w:eastAsia="仿宋_GB2312"/>
              </w:rPr>
              <w:t>有现场安全文明施工的措施，且措施周全、具体、有效。1.方案及措施内容完整详尽、科学合理、切实可行、针对性强，完全满足施工要求得4分；2.方案及措施基本完整、较合理可行、针对性不强、基本满 足施工要求得2分；3.方案及措施简单、不能完全满足施工要求得1分；4.未提供得0分。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确保文明施工的环境保护措施</w:t>
            </w:r>
          </w:p>
        </w:tc>
        <w:tc>
          <w:tcPr>
            <w:tcW w:type="dxa" w:w="2492"/>
          </w:tcPr>
          <w:p>
            <w:pPr>
              <w:pStyle w:val="null3"/>
            </w:pPr>
            <w:r>
              <w:rPr>
                <w:rFonts w:ascii="仿宋_GB2312" w:hAnsi="仿宋_GB2312" w:cs="仿宋_GB2312" w:eastAsia="仿宋_GB2312"/>
              </w:rPr>
              <w:t>有现场文件施工的环境保护措施，且措施周全、具体、有效。1.方案及措施内容完整详尽、科学合理、切实可行、针对性强，完全满足施工要求得4分；2.方案及措施基本完整、较合理可行、针对性不强、基本满足施工要求得2分；3.方案及措施简单、不能完全满足施工要求得1分；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项目组织机构及项 目经理部组成人员</w:t>
            </w:r>
          </w:p>
        </w:tc>
        <w:tc>
          <w:tcPr>
            <w:tcW w:type="dxa" w:w="2492"/>
          </w:tcPr>
          <w:p>
            <w:pPr>
              <w:pStyle w:val="null3"/>
            </w:pPr>
            <w:r>
              <w:rPr>
                <w:rFonts w:ascii="仿宋_GB2312" w:hAnsi="仿宋_GB2312" w:cs="仿宋_GB2312" w:eastAsia="仿宋_GB2312"/>
              </w:rPr>
              <w:t>人员齐备、专业配套、相关岗位证书齐全。1.项目经理及项目部人员配备齐全、专业配套、相关岗位证书齐全，满足项目实际要求得7分；2.项目经理及项目部人员配备较合理、专业配套、相关岗位证书较齐 全，基本满足项目实际要求得5分；3.项目经理及项目部人员配备不够齐全得2分；4.未提供得0分。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项目主要人员简历表.docx</w:t>
            </w:r>
          </w:p>
          <w:p>
            <w:pPr>
              <w:pStyle w:val="null3"/>
            </w:pPr>
            <w:r>
              <w:rPr>
                <w:rFonts w:ascii="仿宋_GB2312" w:hAnsi="仿宋_GB2312" w:cs="仿宋_GB2312" w:eastAsia="仿宋_GB2312"/>
              </w:rPr>
              <w:t>项目管理机构组成表</w:t>
            </w:r>
          </w:p>
        </w:tc>
      </w:tr>
      <w:tr>
        <w:tc>
          <w:tcPr>
            <w:tcW w:type="dxa" w:w="831"/>
            <w:vMerge/>
          </w:tcPr>
          <w:p/>
        </w:tc>
        <w:tc>
          <w:tcPr>
            <w:tcW w:type="dxa" w:w="1661"/>
          </w:tcPr>
          <w:p>
            <w:pPr>
              <w:pStyle w:val="null3"/>
            </w:pPr>
            <w:r>
              <w:rPr>
                <w:rFonts w:ascii="仿宋_GB2312" w:hAnsi="仿宋_GB2312" w:cs="仿宋_GB2312" w:eastAsia="仿宋_GB2312"/>
              </w:rPr>
              <w:t>劳动力安排计划及劳务分包情况表</w:t>
            </w:r>
          </w:p>
        </w:tc>
        <w:tc>
          <w:tcPr>
            <w:tcW w:type="dxa" w:w="2492"/>
          </w:tcPr>
          <w:p>
            <w:pPr>
              <w:pStyle w:val="null3"/>
            </w:pPr>
            <w:r>
              <w:rPr>
                <w:rFonts w:ascii="仿宋_GB2312" w:hAnsi="仿宋_GB2312" w:cs="仿宋_GB2312" w:eastAsia="仿宋_GB2312"/>
              </w:rPr>
              <w:t>劳动力安排合理妥当，时间安排合理满足施工需求。1.方案内容完整详尽、科学合理、切实可行、针对性强，完全满足施工要求得4分；2.方案基本完整、较合理可行、针对性不强、基本满足施工要求得2分；3.方案简单、不能完全满足施工要求得1分；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有保证工期的技术措施、组织措施及施工进度安排。措施是否完备齐全、先进、合理、切实可行。1.方案及措施内容完整详尽、科学合理、切实可行、针对性强，完全满足施工要求得4分；2.方案及措施基本 完整、较合理可行、针对性不强、基本满足施工要求得2分；3.方案及措施简单、不能完全满足施工要求得1分；4.未提供得0分。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p>
            <w:pPr>
              <w:pStyle w:val="null3"/>
            </w:pPr>
            <w:r>
              <w:rPr>
                <w:rFonts w:ascii="仿宋_GB2312" w:hAnsi="仿宋_GB2312" w:cs="仿宋_GB2312" w:eastAsia="仿宋_GB2312"/>
              </w:rPr>
              <w:t>技术服务合同条款及其他商务要求应答表</w:t>
            </w:r>
          </w:p>
        </w:tc>
      </w:tr>
      <w:tr>
        <w:tc>
          <w:tcPr>
            <w:tcW w:type="dxa" w:w="831"/>
            <w:vMerge/>
          </w:tcPr>
          <w:p/>
        </w:tc>
        <w:tc>
          <w:tcPr>
            <w:tcW w:type="dxa" w:w="1661"/>
          </w:tcPr>
          <w:p>
            <w:pPr>
              <w:pStyle w:val="null3"/>
            </w:pPr>
            <w:r>
              <w:rPr>
                <w:rFonts w:ascii="仿宋_GB2312" w:hAnsi="仿宋_GB2312" w:cs="仿宋_GB2312" w:eastAsia="仿宋_GB2312"/>
              </w:rPr>
              <w:t>施工机械配备</w:t>
            </w:r>
          </w:p>
        </w:tc>
        <w:tc>
          <w:tcPr>
            <w:tcW w:type="dxa" w:w="2492"/>
          </w:tcPr>
          <w:p>
            <w:pPr>
              <w:pStyle w:val="null3"/>
            </w:pPr>
            <w:r>
              <w:rPr>
                <w:rFonts w:ascii="仿宋_GB2312" w:hAnsi="仿宋_GB2312" w:cs="仿宋_GB2312" w:eastAsia="仿宋_GB2312"/>
              </w:rPr>
              <w:t>投入的施工机械、设备、机具有详细计划，设备数量、选型配置、进场数量、时间安排合理满足施工需求。1.投入的施工机械、设备具有详细计划，设备数量、选型配置、进场数量、时间安排合理满足施工需求得4分；2.投入的施工机械、设备具有较完整的计划，设备数量、选型配置、进场数量、时间安排较满足施工需求得2分；3.投入的施工机械、设备计划简单，不能完全满足施工需求得1分；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对本项目应急预案1.方案内容完整详尽、科学合理、切实可行、针对性强，完全满足施工要求得4分；2.方案基本完整、较合理可行、针对性不强、基本满足施工要求得2分；3.方案简单、不能 完全满足施工要求得1分；4.未提供得0分。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针对本项目的合理化建议1.内容完整详尽、科学合理、切实可行、针对性强，完全满足施工要求得4分；2.内容基本完整、较合理可行、针对性不强、基本满足施工要求得2分；3.内容简单、不能完全满足施工要求得1分；4.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提供企业2023年1月1日起至今的类似工程业绩，提供每个有效业绩得2分，满分6分。(时间以合同签订日期为准，同时提供合同和中标通知书)(复印件加盖公章)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价格</w:t>
            </w:r>
          </w:p>
        </w:tc>
        <w:tc>
          <w:tcPr>
            <w:tcW w:type="dxa" w:w="2492"/>
          </w:tcPr>
          <w:p>
            <w:pPr>
              <w:pStyle w:val="null3"/>
            </w:pPr>
            <w:r>
              <w:rPr>
                <w:rFonts w:ascii="仿宋_GB2312" w:hAnsi="仿宋_GB2312" w:cs="仿宋_GB2312" w:eastAsia="仿宋_GB2312"/>
              </w:rPr>
              <w:t>满足磋商文件要求且最后的磋商报价最低的投标价为评审基准价，其价格分为满分。 磋商报价得分=（评审基准价/磋商报价）×30。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已标价工程量清单.docx</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详见附件：资格证明资料.docx</w:t>
      </w:r>
    </w:p>
    <w:p>
      <w:pPr>
        <w:pStyle w:val="null3"/>
        <w:ind w:firstLine="960"/>
      </w:pPr>
      <w:r>
        <w:rPr>
          <w:rFonts w:ascii="仿宋_GB2312" w:hAnsi="仿宋_GB2312" w:cs="仿宋_GB2312" w:eastAsia="仿宋_GB2312"/>
        </w:rPr>
        <w:t>详见附件：供应商参加政府采购活动承诺书.docx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详见附件：保证金缴纳凭证截图.docx</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详见附件：法人授权委托书.docx</w:t>
      </w:r>
    </w:p>
    <w:p>
      <w:pPr>
        <w:pStyle w:val="null3"/>
        <w:ind w:firstLine="960"/>
      </w:pPr>
      <w:r>
        <w:rPr>
          <w:rFonts w:ascii="仿宋_GB2312" w:hAnsi="仿宋_GB2312" w:cs="仿宋_GB2312" w:eastAsia="仿宋_GB2312"/>
        </w:rPr>
        <w:t>详见附件：项目主要人员简历表.docx</w:t>
      </w:r>
    </w:p>
    <w:p>
      <w:pPr>
        <w:pStyle w:val="null3"/>
        <w:ind w:firstLine="960"/>
      </w:pPr>
      <w:r>
        <w:rPr>
          <w:rFonts w:ascii="仿宋_GB2312" w:hAnsi="仿宋_GB2312" w:cs="仿宋_GB2312" w:eastAsia="仿宋_GB2312"/>
        </w:rPr>
        <w:t>详见附件：已标价工程量清单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