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版本号：ZJXG202604320260612001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ZJXG2026043</w:t>
      </w:r>
      <w:r>
        <w:br/>
      </w:r>
      <w:r>
        <w:br/>
      </w:r>
      <w:r>
        <w:br/>
      </w:r>
    </w:p>
    <w:p>
      <w:pPr>
        <w:pStyle w:val="null3"/>
        <w:jc w:val="center"/>
        <w:outlineLvl w:val="2"/>
      </w:pPr>
      <w:r>
        <w:rPr>
          <w:rFonts w:ascii="仿宋_GB2312" w:hAnsi="仿宋_GB2312" w:cs="仿宋_GB2312" w:eastAsia="仿宋_GB2312"/>
          <w:sz w:val="28"/>
          <w:b/>
        </w:rPr>
        <w:t>西安市新城区后宰门小学</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西安市新城区后宰门小学</w:t>
      </w:r>
      <w:r>
        <w:rPr>
          <w:rFonts w:ascii="仿宋_GB2312" w:hAnsi="仿宋_GB2312" w:cs="仿宋_GB2312" w:eastAsia="仿宋_GB2312"/>
        </w:rPr>
        <w:t>委托，拟对</w:t>
      </w:r>
      <w:r>
        <w:rPr>
          <w:rFonts w:ascii="仿宋_GB2312" w:hAnsi="仿宋_GB2312" w:cs="仿宋_GB2312" w:eastAsia="仿宋_GB2312"/>
        </w:rPr>
        <w:t>消防整改项目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ZJXG2026043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消防整改项目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消防整改项目，具体内容详见工程量清单及竞争性磋商文件。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采购包1（消防整改项目）：属于专门面向中小企业采购。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具备建设行政主管部门颁发的消防设施工程专业承包二级（含二级）以上资质，具有建设行政主管部门颁发的安全生产许可证。供应商需在项目电子化交易系统中按要求上传相应证明文件并进行电子签章；</w:t>
      </w:r>
    </w:p>
    <w:p>
      <w:pPr>
        <w:pStyle w:val="null3"/>
      </w:pPr>
      <w:r>
        <w:rPr>
          <w:rFonts w:ascii="仿宋_GB2312" w:hAnsi="仿宋_GB2312" w:cs="仿宋_GB2312" w:eastAsia="仿宋_GB2312"/>
        </w:rPr>
        <w:t>9、拟派项目负责人要求：证书等级：二级及以上注册建造师证书 专业：机电工程专业 补充说明：并具备有效的安全生产考核合格证书，在本单位注册且未担任其他在建工程项目的项目经理，提供项目经理无在建承诺书。供应商需在项目电子化交易系统中按要求上传相应证明文件并进行电子签章；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西安市新城区后宰门小学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后宰门29号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029-87253990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采购包1：444,139.45元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-88229191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西安市新城区后宰门小学</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西安市新城区后宰门小学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西安市新城区后宰门小学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联系人：梁加豪</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444,139.45</w:t>
      </w:r>
    </w:p>
    <w:p>
      <w:pPr>
        <w:pStyle w:val="null3"/>
      </w:pPr>
      <w:r>
        <w:rPr>
          <w:rFonts w:ascii="仿宋_GB2312" w:hAnsi="仿宋_GB2312" w:cs="仿宋_GB2312" w:eastAsia="仿宋_GB2312"/>
        </w:rPr>
        <w:t>采购包最高限价（元）: 444,139.45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消防整改项目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444,139.45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标的名称：消防整改项目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消防整改项目</w:t>
            </w:r>
            <w:r>
              <w:rPr>
                <w:rFonts w:ascii="仿宋_GB2312" w:hAnsi="仿宋_GB2312" w:cs="仿宋_GB2312" w:eastAsia="仿宋_GB2312"/>
                <w:sz w:val="21"/>
              </w:rPr>
              <w:t>，具体内容详见工程量清单及竞争性磋商文件。</w:t>
            </w:r>
          </w:p>
          <w:p>
            <w:pPr>
              <w:pStyle w:val="null3"/>
              <w:jc w:val="both"/>
            </w:pPr>
            <w:r>
              <w:rPr>
                <w:rFonts w:ascii="仿宋_GB2312" w:hAnsi="仿宋_GB2312" w:cs="仿宋_GB2312" w:eastAsia="仿宋_GB2312"/>
                <w:sz w:val="21"/>
              </w:rPr>
              <w:t>二、工程内容和施工地点、计划工期</w:t>
            </w:r>
          </w:p>
          <w:p>
            <w:pPr>
              <w:pStyle w:val="null3"/>
              <w:jc w:val="both"/>
            </w:pPr>
            <w:r>
              <w:rPr>
                <w:rFonts w:ascii="仿宋_GB2312" w:hAnsi="仿宋_GB2312" w:cs="仿宋_GB2312" w:eastAsia="仿宋_GB2312"/>
                <w:sz w:val="21"/>
              </w:rPr>
              <w:t>1.工程内容：</w:t>
            </w:r>
            <w:r>
              <w:rPr>
                <w:rFonts w:ascii="仿宋_GB2312" w:hAnsi="仿宋_GB2312" w:cs="仿宋_GB2312" w:eastAsia="仿宋_GB2312"/>
                <w:sz w:val="21"/>
              </w:rPr>
              <w:t>针对消防检查中的安全隐患进行整改，雨水收集池改造为消防水池并新建水泵房等施工内容，详见设计图纸、施工方案及工程量清单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2.工程地点：</w:t>
            </w:r>
            <w:r>
              <w:rPr>
                <w:rFonts w:ascii="仿宋_GB2312" w:hAnsi="仿宋_GB2312" w:cs="仿宋_GB2312" w:eastAsia="仿宋_GB2312"/>
                <w:sz w:val="21"/>
              </w:rPr>
              <w:t>西安市新城区后宰门小学</w:t>
            </w:r>
          </w:p>
          <w:p>
            <w:pPr>
              <w:pStyle w:val="null3"/>
              <w:jc w:val="both"/>
            </w:pPr>
            <w:r>
              <w:rPr>
                <w:rFonts w:ascii="仿宋_GB2312" w:hAnsi="仿宋_GB2312" w:cs="仿宋_GB2312" w:eastAsia="仿宋_GB2312"/>
                <w:sz w:val="21"/>
              </w:rPr>
              <w:t>3.工期：60日历天（具体开工日期以收到采购人通知为准）。</w:t>
            </w:r>
          </w:p>
          <w:p>
            <w:pPr>
              <w:pStyle w:val="null3"/>
              <w:jc w:val="both"/>
            </w:pPr>
            <w:r>
              <w:rPr>
                <w:rFonts w:ascii="仿宋_GB2312" w:hAnsi="仿宋_GB2312" w:cs="仿宋_GB2312" w:eastAsia="仿宋_GB2312"/>
                <w:sz w:val="21"/>
              </w:rPr>
              <w:t>三、工程量清单编制说明</w:t>
            </w:r>
          </w:p>
          <w:p>
            <w:pPr>
              <w:pStyle w:val="null3"/>
              <w:jc w:val="both"/>
            </w:pPr>
            <w:r>
              <w:rPr>
                <w:rFonts w:ascii="仿宋_GB2312" w:hAnsi="仿宋_GB2312" w:cs="仿宋_GB2312" w:eastAsia="仿宋_GB2312"/>
                <w:sz w:val="21"/>
              </w:rPr>
              <w:t>1.依据《关于印发2025陕西省建设工程费用规则等计价依据的通知》（陕建管发〔2025〕10号）、《建设工程工程量清单计价标准》（2025）；</w:t>
            </w:r>
          </w:p>
          <w:p>
            <w:pPr>
              <w:pStyle w:val="null3"/>
              <w:jc w:val="both"/>
            </w:pPr>
            <w:r>
              <w:rPr>
                <w:rFonts w:ascii="仿宋_GB2312" w:hAnsi="仿宋_GB2312" w:cs="仿宋_GB2312" w:eastAsia="仿宋_GB2312"/>
                <w:sz w:val="21"/>
              </w:rPr>
              <w:t>2.《房屋建筑与装饰工程工程量计算标准》（2025）、《通用安装工程工程量计算标准》（2025）、《市政工程工程量计算标准》（2025）、《园林绿化工程工程量计算标准》（2025）；</w:t>
            </w:r>
          </w:p>
          <w:p>
            <w:pPr>
              <w:pStyle w:val="null3"/>
              <w:jc w:val="both"/>
            </w:pPr>
            <w:r>
              <w:rPr>
                <w:rFonts w:ascii="仿宋_GB2312" w:hAnsi="仿宋_GB2312" w:cs="仿宋_GB2312" w:eastAsia="仿宋_GB2312"/>
                <w:sz w:val="21"/>
              </w:rPr>
              <w:t>3.《陕西省建设工程费用规则》（2025）；</w:t>
            </w:r>
          </w:p>
          <w:p>
            <w:pPr>
              <w:pStyle w:val="null3"/>
              <w:jc w:val="both"/>
            </w:pPr>
            <w:r>
              <w:rPr>
                <w:rFonts w:ascii="仿宋_GB2312" w:hAnsi="仿宋_GB2312" w:cs="仿宋_GB2312" w:eastAsia="仿宋_GB2312"/>
                <w:sz w:val="21"/>
              </w:rPr>
              <w:t>4.《陕西省房屋建筑与装饰工程消耗量定额（2025）》、《陕西省通用安装工程消耗量定额（2025）》、《陕西省市政工程消耗量定额（2025）》、《陕西省园林绿化工程消耗量定额（2025）》及其配套的基价表（2025）、其他有关的计价依据和办法；</w:t>
            </w:r>
          </w:p>
          <w:p>
            <w:pPr>
              <w:pStyle w:val="null3"/>
              <w:jc w:val="both"/>
            </w:pPr>
            <w:r>
              <w:rPr>
                <w:rFonts w:ascii="仿宋_GB2312" w:hAnsi="仿宋_GB2312" w:cs="仿宋_GB2312" w:eastAsia="仿宋_GB2312"/>
                <w:sz w:val="21"/>
              </w:rPr>
              <w:t>5.与招标工程相关的技术标准规范；</w:t>
            </w:r>
          </w:p>
          <w:p>
            <w:pPr>
              <w:pStyle w:val="null3"/>
              <w:jc w:val="both"/>
            </w:pPr>
            <w:r>
              <w:rPr>
                <w:rFonts w:ascii="仿宋_GB2312" w:hAnsi="仿宋_GB2312" w:cs="仿宋_GB2312" w:eastAsia="仿宋_GB2312"/>
                <w:sz w:val="21"/>
              </w:rPr>
              <w:t>6.《消防整改项目》的设计图纸、施工方案；</w:t>
            </w:r>
          </w:p>
          <w:p>
            <w:pPr>
              <w:pStyle w:val="null3"/>
              <w:jc w:val="both"/>
            </w:pPr>
            <w:r>
              <w:rPr>
                <w:rFonts w:ascii="仿宋_GB2312" w:hAnsi="仿宋_GB2312" w:cs="仿宋_GB2312" w:eastAsia="仿宋_GB2312"/>
                <w:sz w:val="21"/>
              </w:rPr>
              <w:t>7.计价软件采用广联达云计价平台GCCP 7.0 版本：7.5000.23.3。</w:t>
            </w:r>
          </w:p>
          <w:p>
            <w:pPr>
              <w:pStyle w:val="null3"/>
              <w:jc w:val="both"/>
            </w:pPr>
            <w:r>
              <w:rPr>
                <w:rFonts w:ascii="仿宋_GB2312" w:hAnsi="仿宋_GB2312" w:cs="仿宋_GB2312" w:eastAsia="仿宋_GB2312"/>
                <w:sz w:val="21"/>
              </w:rPr>
              <w:t>（二）工程量清单：电子版另附。</w:t>
            </w:r>
          </w:p>
          <w:p>
            <w:pPr>
              <w:pStyle w:val="null3"/>
              <w:jc w:val="both"/>
            </w:pPr>
            <w:r>
              <w:rPr>
                <w:rFonts w:ascii="仿宋_GB2312" w:hAnsi="仿宋_GB2312" w:cs="仿宋_GB2312" w:eastAsia="仿宋_GB2312"/>
                <w:sz w:val="21"/>
              </w:rPr>
              <w:t>（三）图纸：电子版另附。</w:t>
            </w:r>
          </w:p>
          <w:p>
            <w:pPr>
              <w:pStyle w:val="null3"/>
              <w:jc w:val="both"/>
            </w:pPr>
            <w:r>
              <w:rPr>
                <w:rFonts w:ascii="仿宋_GB2312" w:hAnsi="仿宋_GB2312" w:cs="仿宋_GB2312" w:eastAsia="仿宋_GB2312"/>
                <w:sz w:val="21"/>
              </w:rPr>
              <w:t>四、商务要求</w:t>
            </w:r>
          </w:p>
          <w:p>
            <w:pPr>
              <w:pStyle w:val="null3"/>
              <w:jc w:val="both"/>
            </w:pPr>
            <w:r>
              <w:rPr>
                <w:rFonts w:ascii="仿宋_GB2312" w:hAnsi="仿宋_GB2312" w:cs="仿宋_GB2312" w:eastAsia="仿宋_GB2312"/>
                <w:sz w:val="21"/>
              </w:rPr>
              <w:t>付款方式：</w:t>
            </w:r>
          </w:p>
          <w:p>
            <w:pPr>
              <w:pStyle w:val="null3"/>
              <w:jc w:val="both"/>
            </w:pPr>
            <w:r>
              <w:rPr>
                <w:rFonts w:ascii="仿宋_GB2312" w:hAnsi="仿宋_GB2312" w:cs="仿宋_GB2312" w:eastAsia="仿宋_GB2312"/>
                <w:sz w:val="21"/>
              </w:rPr>
              <w:t>1、付款条件说明：合同签订后，达到付款条件起30日内，支付合同总金额的40.00%。</w:t>
            </w:r>
          </w:p>
          <w:p>
            <w:pPr>
              <w:pStyle w:val="null3"/>
              <w:jc w:val="both"/>
            </w:pPr>
            <w:r>
              <w:rPr>
                <w:rFonts w:ascii="仿宋_GB2312" w:hAnsi="仿宋_GB2312" w:cs="仿宋_GB2312" w:eastAsia="仿宋_GB2312"/>
                <w:sz w:val="21"/>
              </w:rPr>
              <w:t>2、付款条件说明：工程全部竣工验收通过后，达到付款条件起30日内，支付合同总金额的50.00%。</w:t>
            </w:r>
          </w:p>
          <w:p>
            <w:pPr>
              <w:pStyle w:val="null3"/>
              <w:jc w:val="both"/>
            </w:pPr>
            <w:r>
              <w:rPr>
                <w:rFonts w:ascii="仿宋_GB2312" w:hAnsi="仿宋_GB2312" w:cs="仿宋_GB2312" w:eastAsia="仿宋_GB2312"/>
                <w:sz w:val="21"/>
              </w:rPr>
              <w:t>3、付款条件说明：工程审计结束后，达到付款条件起30日内，支付合同总金额的10.00%。</w:t>
            </w:r>
          </w:p>
          <w:p>
            <w:pPr>
              <w:pStyle w:val="null3"/>
              <w:jc w:val="both"/>
            </w:pP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达到国家及行业现行技术规范标准，符合国家及行业验收合格标准。</w:t>
            </w:r>
          </w:p>
          <w:p>
            <w:pPr>
              <w:pStyle w:val="null3"/>
              <w:jc w:val="both"/>
            </w:pPr>
            <w:r>
              <w:rPr>
                <w:rFonts w:ascii="仿宋_GB2312" w:hAnsi="仿宋_GB2312" w:cs="仿宋_GB2312" w:eastAsia="仿宋_GB2312"/>
                <w:sz w:val="21"/>
              </w:rPr>
              <w:t>质量保修期：</w:t>
            </w:r>
          </w:p>
          <w:p>
            <w:pPr>
              <w:pStyle w:val="null3"/>
              <w:jc w:val="both"/>
            </w:pPr>
            <w:r>
              <w:rPr>
                <w:rFonts w:ascii="仿宋_GB2312" w:hAnsi="仿宋_GB2312" w:cs="仿宋_GB2312" w:eastAsia="仿宋_GB2312"/>
                <w:sz w:val="21"/>
              </w:rPr>
              <w:t>质量保修期其他工程为二年，防水工程为五年。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具备建设行政主管部门颁发的消防设施工程专业承包二级（含二级）以上资质，具有建设行政主管部门颁发的安全生产许可证。供应商需在项目电子化交易系统中按要求上传相应证明文件并进行电子签章；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证书等级：二级及以上注册建造师证书 专业：机电工程专业 补充说明：并具备有效的安全生产考核合格证书，在本单位注册且未担任其他在建工程项目的项目经理，提供项目经理无在建承诺书。供应商需在项目电子化交易系统中按要求上传相应证明文件并进行电子签章；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目标；②资源配备计划。2、评审标准：①完整性：响应全面，对评审内容中的各项要求有详细描述；②可实施性：内容科学，步骤清晰、合理，可实施性强；③针对性：能够紧扣项目实际情况，满足具体要求。3、赋分标准：①施工目标：每完全满足一个评审标准得1分，不满足得0分。满分3分；②资源配备计划：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①工程重难点及解决方案；②施工方法及工艺；③相关技术措施；④应急措施。2、评审标准：①完整性：响应全面，对评审内容中的各项要求有详细描述；②可实施性：内容科学，步骤清晰、合理，可实施性强；③针对性：能够紧扣项目实际情况，满足具体要求。3、赋分标准：①工程重难点及解决方案：每完全满足一个评审标准得1分，不满足得0分。满分3分；②施工方法及工艺：每完全满足一个评审标准得1分，不满足得0分。满分3分；③相关技术措施：每完全满足一个评审标准得1分，不满足得0分。满分3分；④应急措施：每完全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①施工进度安排；②进度保障措施。2、评审标准：①完整性：响应全面，对评审内容中的各项要求有详细描述；②可实施性：内容科学，步骤清晰、合理，可实施性强；③针对性：能够紧扣项目实际情况，满足具体要求。3、赋分标准：①施工进度安排：每完全满足一个评审标准得1分，不满足得0分。满分3分；②进度保障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①环境保护管理体系；②环保控制措施。2、评审标准：①完整性：响应全面，对评审内容中的各项要求有详细描述；②可实施性：内容科学，步骤清晰、合理，可实施性强；③针对性：能够紧扣项目实际情况，满足具体要求。3、赋分标准：①环境保护管理体系：每完全满足一个评审标准得1分，不满足得0分。满分3分；②环保控制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①质量管理目标；②施工质量保障措施；③施工质量检验制度。2、评审标准：①完整性：响应全面，对评审内容中的各项要求有详细描述；②可实施性：内容科学，步骤清晰、合理，可实施性强；③针对性：能够紧扣项目实际情况，满足具体要求。3、赋分标准：①质量管理目标：每完全满足一个评审标准得1分，不满足得0分。满分3分；②施工质量保障措施：每完全满足一个评审标准得1分，不满足得0分。满分3分；③施工质量检验制度：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①安全管理体系；②文明施工。2、评审标准：①完整性：响应全面，对评审内容中的各项要求有详细描述；②可实施性：内容科学，步骤清晰、合理，可实施性强；③针对性：能够紧扣项目实际情况，满足具体要求。3、赋分标准：①安全管理体系：每完全满足一个评审标准得1分，不满足得0分。满分3分；②文明施工：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评审内容：①拟派项目部的组织架构；②岗位职责；③人员分工。2、评审标准：①完整性：响应全面，对评审内容中的各项要求有详细描述；②可实施性：内容科学，步骤清晰、合理，可实施性强；③针对性：能够紧扣项目实际情况，满足具体要求。3、赋分标准：①拟派项目部的组织架构：每完全满足一个评审标准得1分，不满足得0分。满分3分；②岗位职责：每完全满足一个评审标准得1分，不满足得0分。满分3分；③人员分工：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1、评审内容：对主材清单内容进行评审。2、评审及赋分标准：清单内容完整，主材质量、工艺优良，安全可靠性高，完全满足项目需求的得2分。未提供清单或不能完全满足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保修措施；②保修承诺。2、评审标准：①完整性：响应全面，对评审内容中的各项要求有详细描述；②可实施性：内容科学，步骤清晰、合理，可实施性强；③针对性：能够紧扣项目实际情况，满足具体要求。3、赋分标准：①保修措施：每完全满足一个评审标准得1分，不满足得0分。满分3分；②保修承诺：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提供2023年05月01日以来承担过类似项目业绩。每提供一份有效的业绩证明文件（以合同或中标通知书为准)得2分，满分6分。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30分。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