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版本号：XACH2026-036-01、XDZ2026-103-N-48.1B120260702001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2026年农村供水工程维修养护项目(二次)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XACH2026-036-01、XDZ2026-103-N-48.1B1</w:t>
      </w:r>
      <w:r>
        <w:br/>
      </w:r>
      <w:r>
        <w:br/>
      </w:r>
      <w:r>
        <w:br/>
      </w:r>
    </w:p>
    <w:p>
      <w:pPr>
        <w:pStyle w:val="null3"/>
        <w:jc w:val="center"/>
        <w:outlineLvl w:val="2"/>
      </w:pPr>
      <w:r>
        <w:rPr>
          <w:rFonts w:ascii="仿宋_GB2312" w:hAnsi="仿宋_GB2312" w:cs="仿宋_GB2312" w:eastAsia="仿宋_GB2312"/>
          <w:sz w:val="28"/>
          <w:b/>
        </w:rPr>
        <w:t>西安高新技术产业开发区农业农村和水务局</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西安高新技术产业开发区农业农村和水务局</w:t>
      </w:r>
      <w:r>
        <w:rPr>
          <w:rFonts w:ascii="仿宋_GB2312" w:hAnsi="仿宋_GB2312" w:cs="仿宋_GB2312" w:eastAsia="仿宋_GB2312"/>
        </w:rPr>
        <w:t>委托，拟对</w:t>
      </w:r>
      <w:r>
        <w:rPr>
          <w:rFonts w:ascii="仿宋_GB2312" w:hAnsi="仿宋_GB2312" w:cs="仿宋_GB2312" w:eastAsia="仿宋_GB2312"/>
        </w:rPr>
        <w:t>2026年农村供水工程维修养护项目(二次)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XACH2026-036-01、XDZ2026-103-N-48.1B1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2026年农村供水工程维修养护项目(二次)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2026年农村供水工程维修养护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授权委托书（附法定代表人身份证复印件）及被授权委托人身份证复印件（法定代表人参加磋商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4、资质证书：具备建设行政主管部门颁发的市政公用工程施工总承包三级及以上资质，且具有有效的安全生产许可证；供应商需在项目电子化交易系统中按要求上传相应证明文件并进行电子签章。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5、项目经理：具备二级及以上注册建造师执业资格（市政公用工程专业），具有有效的安全生产考核合格证（建安B证），在本单位注册，且未担任其他在建工程项目的项目经理；供应商需在项目电子化交易系统中按要求上传相应证明文件并进行电子签章。</w:t>
      </w:r>
    </w:p>
    <w:p>
      <w:pPr>
        <w:pStyle w:val="null3"/>
      </w:pPr>
      <w:r>
        <w:rPr>
          <w:rFonts w:ascii="仿宋_GB2312" w:hAnsi="仿宋_GB2312" w:cs="仿宋_GB2312" w:eastAsia="仿宋_GB2312"/>
        </w:rPr>
        <w:t>6、非联合体磋商：非联合体磋商声明;供应商需在项目电子化交易系统中按要求上传相应证明文件并进行电子签章。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西安高新技术产业开发区农业农村和水务局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西安高新区丝路创智谷5号楼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029-88333777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刘娜娜、商碧红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029-82285837、029-81151155转810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采购包1：807,418.30元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人支付代理服务费，代理服务费参照《国家计委关于印发&lt;招标代理服务收费管理暂行办法&gt;的通知》（计价格〔2002〕1980号）和发改办价格〔2003〕857号以及发改价格〔2011〕534号文中规定的标准执行，按差额定率累进法收取费用。招标代理费不足3000元的按照3000元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西安高新技术产业开发区农业农村和水务局</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西安高新技术产业开发区农业农村和水务局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西安高新技术产业开发区农业农村和水务局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联系人：刘娜娜、商碧红</w:t>
      </w:r>
    </w:p>
    <w:p>
      <w:pPr>
        <w:pStyle w:val="null3"/>
      </w:pPr>
      <w:r>
        <w:rPr>
          <w:rFonts w:ascii="仿宋_GB2312" w:hAnsi="仿宋_GB2312" w:cs="仿宋_GB2312" w:eastAsia="仿宋_GB2312"/>
        </w:rPr>
        <w:t>联系电话：029-82285837</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807,418.30</w:t>
      </w:r>
    </w:p>
    <w:p>
      <w:pPr>
        <w:pStyle w:val="null3"/>
      </w:pPr>
      <w:r>
        <w:rPr>
          <w:rFonts w:ascii="仿宋_GB2312" w:hAnsi="仿宋_GB2312" w:cs="仿宋_GB2312" w:eastAsia="仿宋_GB2312"/>
        </w:rPr>
        <w:t>采购包最高限价（元）: 807,418.30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2026年农村供水工程维修养护项目（二次））</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807,418.30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标的名称：2026年农村供水工程维修养护项目（二次））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FF"/>
              </w:rPr>
              <w:t>一、项目概况</w:t>
            </w:r>
          </w:p>
          <w:p>
            <w:pPr>
              <w:pStyle w:val="null3"/>
              <w:spacing w:before="120"/>
              <w:ind w:right="270"/>
            </w:pPr>
            <w:r>
              <w:rPr>
                <w:rFonts w:ascii="仿宋_GB2312" w:hAnsi="仿宋_GB2312" w:cs="仿宋_GB2312" w:eastAsia="仿宋_GB2312"/>
                <w:sz w:val="24"/>
                <w:color w:val="0000FF"/>
              </w:rPr>
              <w:t>本项目主要针对供水管道长时间未冲洗，水质浑浊，杂质较大，影响供水水质等现象，计划在供水管道末端设置冲洗、排水闸阀，并对现状存在问题的村内管网、水表、供水设施等存在的问题进行维修养护，以保障供水设备正常运行。</w:t>
            </w:r>
            <w:r>
              <w:rPr>
                <w:rFonts w:ascii="仿宋_GB2312" w:hAnsi="仿宋_GB2312" w:cs="仿宋_GB2312" w:eastAsia="仿宋_GB2312"/>
                <w:sz w:val="24"/>
                <w:color w:val="0000FF"/>
              </w:rPr>
              <w:t>主要采购内容：供水管道维修（</w:t>
            </w:r>
            <w:r>
              <w:rPr>
                <w:rFonts w:ascii="仿宋_GB2312" w:hAnsi="仿宋_GB2312" w:cs="仿宋_GB2312" w:eastAsia="仿宋_GB2312"/>
                <w:sz w:val="24"/>
                <w:color w:val="0000FF"/>
              </w:rPr>
              <w:t>75PE管、40PE管、25PE管），供水管网冲洗井（D800、D500）、管道冲洗及零星维护工程和供水设备等。</w:t>
            </w:r>
          </w:p>
          <w:p>
            <w:pPr>
              <w:pStyle w:val="null3"/>
              <w:spacing w:before="120"/>
              <w:ind w:right="270"/>
            </w:pPr>
            <w:r>
              <w:rPr>
                <w:rFonts w:ascii="仿宋_GB2312" w:hAnsi="仿宋_GB2312" w:cs="仿宋_GB2312" w:eastAsia="仿宋_GB2312"/>
                <w:sz w:val="24"/>
                <w:color w:val="0000FF"/>
              </w:rPr>
              <w:t>二、</w:t>
            </w:r>
            <w:r>
              <w:rPr>
                <w:rFonts w:ascii="仿宋_GB2312" w:hAnsi="仿宋_GB2312" w:cs="仿宋_GB2312" w:eastAsia="仿宋_GB2312"/>
                <w:sz w:val="24"/>
                <w:color w:val="0000FF"/>
              </w:rPr>
              <w:t>实施范围</w:t>
            </w:r>
          </w:p>
          <w:p>
            <w:pPr>
              <w:pStyle w:val="null3"/>
              <w:spacing w:before="75"/>
              <w:ind w:right="30"/>
            </w:pPr>
            <w:r>
              <w:rPr>
                <w:rFonts w:ascii="仿宋_GB2312" w:hAnsi="仿宋_GB2312" w:cs="仿宋_GB2312" w:eastAsia="仿宋_GB2312"/>
                <w:sz w:val="24"/>
                <w:color w:val="0000FF"/>
              </w:rPr>
              <w:t xml:space="preserve"> </w:t>
            </w:r>
            <w:r>
              <w:rPr>
                <w:rFonts w:ascii="仿宋_GB2312" w:hAnsi="仿宋_GB2312" w:cs="仿宋_GB2312" w:eastAsia="仿宋_GB2312"/>
                <w:sz w:val="24"/>
                <w:color w:val="0000FF"/>
              </w:rPr>
              <w:t>2026年农村供水工程维修养护项目（二次）</w:t>
            </w:r>
            <w:r>
              <w:rPr>
                <w:rFonts w:ascii="仿宋_GB2312" w:hAnsi="仿宋_GB2312" w:cs="仿宋_GB2312" w:eastAsia="仿宋_GB2312"/>
                <w:sz w:val="24"/>
                <w:color w:val="0000FF"/>
              </w:rPr>
              <w:t>的全部内容。</w:t>
            </w:r>
          </w:p>
          <w:p>
            <w:pPr>
              <w:pStyle w:val="null3"/>
              <w:spacing w:before="75"/>
              <w:ind w:right="30"/>
            </w:pPr>
            <w:r>
              <w:rPr>
                <w:rFonts w:ascii="仿宋_GB2312" w:hAnsi="仿宋_GB2312" w:cs="仿宋_GB2312" w:eastAsia="仿宋_GB2312"/>
                <w:sz w:val="24"/>
                <w:color w:val="0000FF"/>
              </w:rPr>
              <w:t>三、项目要求：达到国家现行施工验收规范</w:t>
            </w:r>
            <w:r>
              <w:rPr>
                <w:rFonts w:ascii="仿宋_GB2312" w:hAnsi="仿宋_GB2312" w:cs="仿宋_GB2312" w:eastAsia="仿宋_GB2312"/>
                <w:sz w:val="24"/>
                <w:color w:val="0000FF"/>
              </w:rPr>
              <w:t>“合格”标准。</w:t>
            </w:r>
          </w:p>
          <w:p>
            <w:pPr>
              <w:pStyle w:val="null3"/>
              <w:spacing w:before="75"/>
              <w:ind w:right="30"/>
            </w:pPr>
            <w:r>
              <w:rPr>
                <w:rFonts w:ascii="仿宋_GB2312" w:hAnsi="仿宋_GB2312" w:cs="仿宋_GB2312" w:eastAsia="仿宋_GB2312"/>
                <w:sz w:val="24"/>
                <w:color w:val="0000FF"/>
              </w:rPr>
              <w:t>四、工期：自约定施工之日起</w:t>
            </w:r>
            <w:r>
              <w:rPr>
                <w:rFonts w:ascii="仿宋_GB2312" w:hAnsi="仿宋_GB2312" w:cs="仿宋_GB2312" w:eastAsia="仿宋_GB2312"/>
                <w:sz w:val="24"/>
                <w:color w:val="0000FF"/>
              </w:rPr>
              <w:t>180日历日内完成工程全部内容。</w:t>
            </w:r>
          </w:p>
          <w:p>
            <w:pPr>
              <w:pStyle w:val="null3"/>
              <w:spacing w:before="75"/>
              <w:ind w:right="30"/>
            </w:pPr>
            <w:r>
              <w:rPr>
                <w:rFonts w:ascii="仿宋_GB2312" w:hAnsi="仿宋_GB2312" w:cs="仿宋_GB2312" w:eastAsia="仿宋_GB2312"/>
                <w:sz w:val="24"/>
                <w:color w:val="0000FF"/>
              </w:rPr>
              <w:t>五、项目要求：</w:t>
            </w:r>
          </w:p>
          <w:p>
            <w:pPr>
              <w:pStyle w:val="null3"/>
              <w:spacing w:before="75"/>
              <w:ind w:right="30"/>
            </w:pPr>
            <w:r>
              <w:rPr>
                <w:rFonts w:ascii="仿宋_GB2312" w:hAnsi="仿宋_GB2312" w:cs="仿宋_GB2312" w:eastAsia="仿宋_GB2312"/>
                <w:sz w:val="24"/>
                <w:color w:val="0000FF"/>
              </w:rPr>
              <w:t>1、质量标准：达到国家、省市或相关行业</w:t>
            </w:r>
            <w:r>
              <w:rPr>
                <w:rFonts w:ascii="仿宋_GB2312" w:hAnsi="仿宋_GB2312" w:cs="仿宋_GB2312" w:eastAsia="仿宋_GB2312"/>
                <w:sz w:val="24"/>
                <w:color w:val="0000FF"/>
              </w:rPr>
              <w:t>规范</w:t>
            </w:r>
            <w:r>
              <w:rPr>
                <w:rFonts w:ascii="仿宋_GB2312" w:hAnsi="仿宋_GB2312" w:cs="仿宋_GB2312" w:eastAsia="仿宋_GB2312"/>
                <w:sz w:val="24"/>
                <w:color w:val="0000FF"/>
              </w:rPr>
              <w:t>“合格”标准要求。</w:t>
            </w:r>
          </w:p>
          <w:p>
            <w:pPr>
              <w:pStyle w:val="null3"/>
              <w:spacing w:before="75"/>
              <w:ind w:right="30"/>
            </w:pPr>
            <w:r>
              <w:rPr>
                <w:rFonts w:ascii="仿宋_GB2312" w:hAnsi="仿宋_GB2312" w:cs="仿宋_GB2312" w:eastAsia="仿宋_GB2312"/>
                <w:sz w:val="24"/>
                <w:color w:val="0000FF"/>
              </w:rPr>
              <w:t>2、质保期：自工程竣工验收合格之日起2年。</w:t>
            </w:r>
          </w:p>
          <w:p>
            <w:pPr>
              <w:pStyle w:val="null3"/>
              <w:spacing w:before="75"/>
              <w:ind w:right="30"/>
            </w:pPr>
            <w:r>
              <w:rPr>
                <w:rFonts w:ascii="仿宋_GB2312" w:hAnsi="仿宋_GB2312" w:cs="仿宋_GB2312" w:eastAsia="仿宋_GB2312"/>
                <w:sz w:val="24"/>
                <w:color w:val="0000FF"/>
              </w:rPr>
              <w:t>六</w:t>
            </w:r>
            <w:r>
              <w:rPr>
                <w:rFonts w:ascii="仿宋_GB2312" w:hAnsi="仿宋_GB2312" w:cs="仿宋_GB2312" w:eastAsia="仿宋_GB2312"/>
                <w:sz w:val="24"/>
                <w:color w:val="0000FF"/>
              </w:rPr>
              <w:t>、</w:t>
            </w:r>
            <w:r>
              <w:rPr>
                <w:rFonts w:ascii="仿宋_GB2312" w:hAnsi="仿宋_GB2312" w:cs="仿宋_GB2312" w:eastAsia="仿宋_GB2312"/>
                <w:sz w:val="24"/>
                <w:color w:val="0000FF"/>
              </w:rPr>
              <w:t>安全要求</w:t>
            </w:r>
          </w:p>
          <w:p>
            <w:pPr>
              <w:pStyle w:val="null3"/>
              <w:spacing w:before="75"/>
              <w:ind w:right="30"/>
            </w:pPr>
            <w:r>
              <w:rPr>
                <w:rFonts w:ascii="仿宋_GB2312" w:hAnsi="仿宋_GB2312" w:cs="仿宋_GB2312" w:eastAsia="仿宋_GB2312"/>
                <w:sz w:val="24"/>
                <w:color w:val="0000FF"/>
              </w:rPr>
              <w:t>遵守工程建设安全生产有关管理规定，严格按安全标准组织施工，采取必要的安全生产措施，消除事故隐患。安全措施不力造成事故责任和发生的费用由成交供应商承担。</w:t>
            </w:r>
          </w:p>
          <w:p>
            <w:pPr>
              <w:pStyle w:val="null3"/>
              <w:spacing w:before="75"/>
              <w:ind w:right="30"/>
            </w:pPr>
            <w:r>
              <w:rPr>
                <w:rFonts w:ascii="仿宋_GB2312" w:hAnsi="仿宋_GB2312" w:cs="仿宋_GB2312" w:eastAsia="仿宋_GB2312"/>
                <w:sz w:val="24"/>
                <w:color w:val="0000FF"/>
              </w:rPr>
              <w:t>七、</w:t>
            </w:r>
            <w:r>
              <w:rPr>
                <w:rFonts w:ascii="仿宋_GB2312" w:hAnsi="仿宋_GB2312" w:cs="仿宋_GB2312" w:eastAsia="仿宋_GB2312"/>
                <w:sz w:val="24"/>
                <w:color w:val="0000FF"/>
              </w:rPr>
              <w:t>工程量清单（详见附件</w:t>
            </w:r>
            <w:r>
              <w:rPr>
                <w:rFonts w:ascii="仿宋_GB2312" w:hAnsi="仿宋_GB2312" w:cs="仿宋_GB2312" w:eastAsia="仿宋_GB2312"/>
                <w:sz w:val="24"/>
                <w:color w:val="0000FF"/>
              </w:rPr>
              <w:t>“工程量清单及限价”）</w:t>
            </w:r>
          </w:p>
          <w:p>
            <w:pPr>
              <w:pStyle w:val="null3"/>
              <w:spacing w:before="75"/>
              <w:ind w:right="30"/>
            </w:pPr>
            <w:r>
              <w:rPr>
                <w:rFonts w:ascii="仿宋_GB2312" w:hAnsi="仿宋_GB2312" w:cs="仿宋_GB2312" w:eastAsia="仿宋_GB2312"/>
                <w:sz w:val="24"/>
                <w:color w:val="0000FF"/>
              </w:rPr>
              <w:t>八、最高限价</w:t>
            </w:r>
          </w:p>
          <w:p>
            <w:pPr>
              <w:pStyle w:val="null3"/>
              <w:spacing w:before="75"/>
              <w:ind w:right="30"/>
            </w:pPr>
            <w:r>
              <w:rPr>
                <w:rFonts w:ascii="仿宋_GB2312" w:hAnsi="仿宋_GB2312" w:cs="仿宋_GB2312" w:eastAsia="仿宋_GB2312"/>
                <w:sz w:val="24"/>
                <w:b/>
                <w:color w:val="0000FF"/>
              </w:rPr>
              <w:t>1、本项目最高限价为807418.30元。（分项全费用综合单价限价详见附件“工程量清单及限价”）</w:t>
            </w:r>
          </w:p>
          <w:p>
            <w:pPr>
              <w:pStyle w:val="null3"/>
              <w:spacing w:before="75"/>
              <w:ind w:right="30"/>
            </w:pPr>
            <w:r>
              <w:rPr>
                <w:rFonts w:ascii="仿宋_GB2312" w:hAnsi="仿宋_GB2312" w:cs="仿宋_GB2312" w:eastAsia="仿宋_GB2312"/>
                <w:sz w:val="24"/>
                <w:b/>
                <w:color w:val="0000FF"/>
              </w:rPr>
              <w:t>2、各供应商的全费用综合单价均不得超过对应的</w:t>
            </w:r>
            <w:r>
              <w:rPr>
                <w:rFonts w:ascii="仿宋_GB2312" w:hAnsi="仿宋_GB2312" w:cs="仿宋_GB2312" w:eastAsia="仿宋_GB2312"/>
                <w:sz w:val="24"/>
                <w:b/>
                <w:color w:val="0000FF"/>
              </w:rPr>
              <w:t>全费用综合</w:t>
            </w:r>
            <w:r>
              <w:rPr>
                <w:rFonts w:ascii="仿宋_GB2312" w:hAnsi="仿宋_GB2312" w:cs="仿宋_GB2312" w:eastAsia="仿宋_GB2312"/>
                <w:sz w:val="24"/>
                <w:b/>
                <w:color w:val="0000FF"/>
              </w:rPr>
              <w:t>单价限价，否则视为无效报价。</w:t>
            </w:r>
          </w:p>
          <w:p>
            <w:pPr>
              <w:pStyle w:val="null3"/>
              <w:spacing w:before="75"/>
              <w:ind w:right="30"/>
            </w:pPr>
            <w:r>
              <w:rPr>
                <w:rFonts w:ascii="仿宋_GB2312" w:hAnsi="仿宋_GB2312" w:cs="仿宋_GB2312" w:eastAsia="仿宋_GB2312"/>
                <w:sz w:val="24"/>
                <w:color w:val="0000FF"/>
              </w:rPr>
              <w:t>九、结算方式：</w:t>
            </w:r>
          </w:p>
          <w:p>
            <w:pPr>
              <w:pStyle w:val="null3"/>
            </w:pPr>
            <w:r>
              <w:rPr>
                <w:rFonts w:ascii="仿宋_GB2312" w:hAnsi="仿宋_GB2312" w:cs="仿宋_GB2312" w:eastAsia="仿宋_GB2312"/>
                <w:sz w:val="24"/>
                <w:color w:val="0000FF"/>
              </w:rPr>
              <w:t>按实结算，根据供应商</w:t>
            </w:r>
            <w:r>
              <w:rPr>
                <w:rFonts w:ascii="仿宋_GB2312" w:hAnsi="仿宋_GB2312" w:cs="仿宋_GB2312" w:eastAsia="仿宋_GB2312"/>
                <w:sz w:val="24"/>
                <w:color w:val="0000FF"/>
              </w:rPr>
              <w:t>成交</w:t>
            </w:r>
            <w:r>
              <w:rPr>
                <w:rFonts w:ascii="仿宋_GB2312" w:hAnsi="仿宋_GB2312" w:cs="仿宋_GB2312" w:eastAsia="仿宋_GB2312"/>
                <w:sz w:val="24"/>
                <w:color w:val="0000FF"/>
              </w:rPr>
              <w:t>全费用综合</w:t>
            </w:r>
            <w:r>
              <w:rPr>
                <w:rFonts w:ascii="仿宋_GB2312" w:hAnsi="仿宋_GB2312" w:cs="仿宋_GB2312" w:eastAsia="仿宋_GB2312"/>
                <w:sz w:val="24"/>
                <w:color w:val="0000FF"/>
              </w:rPr>
              <w:t>单价乘以实际发生工程量按实结算</w:t>
            </w:r>
            <w:r>
              <w:rPr>
                <w:rFonts w:ascii="仿宋_GB2312" w:hAnsi="仿宋_GB2312" w:cs="仿宋_GB2312" w:eastAsia="仿宋_GB2312"/>
                <w:sz w:val="24"/>
                <w:color w:val="0000FF"/>
              </w:rPr>
              <w:t>，最终结算金额不得超出本项目预算金额</w:t>
            </w:r>
            <w:r>
              <w:rPr>
                <w:rFonts w:ascii="仿宋_GB2312" w:hAnsi="仿宋_GB2312" w:cs="仿宋_GB2312" w:eastAsia="仿宋_GB2312"/>
                <w:sz w:val="24"/>
                <w:color w:val="0000FF"/>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《中华人民共和国建筑法》、《建筑工程质量统一验收标准》（GB50300-2001）、《建设工程文件归档整理规范》（GB／T50328－2001）、《建筑施工安全检查标准》（JGJ 59-2011） 、《市政道路工程施工质量验收规范》(CJJ-20637,023.4708)、《市政道路工程质量检验评定标准》(CJJ1-90)、《给水排水管道工程施工及验收规范》(GB50268-2008)、《建筑节能工程施工质量验收规范》（GB50411-2007）、《工程建设强制性条文》，未详尽处应满足国家有关规范和规定，所有的规范执行最高规定。未详尽处应满足国家有关规范和规定，所有的规范执行最高规定。如有最新的法律法规、技术规范发布，按最新的文件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3.3.1付款方式及依据： ①付款方式：合同签订后，采购人向成交人支付合同价款的 30% 作为预付款，工程完工验收合格且结算审核完成后，支付至结算价款的100%, 成交人在缺陷责任期 (24 个月) 内承担质量保修责任。 ②付款依据：采购人出具的验收报告、供应商提供的等额发票、工程量确认单。 注：付款方式以合同约定的为准。 3.3.2本项目磋商总报价为完成本项目磋商文件中所提出的工作范围及要求的全部内容，并达到国家及采购人验收标准而产生的所有费用，磋商报价包括但不限于以下内容：人工费、材料费、机械设备费、措施费、管理费、利润、规费、税金、风险、工程保险费、招标代理服务费、防污治霾费等完成本项目所产生的一切费用。任何错报、漏报由供应商自行负责。 3.3.3清单编制依据： 《陕西省建设工程工程量清单计价规则（2025）》《陕西省房屋建筑与装饰工程消耗量定额》(2025)、《陕西省通用安装工程消耗量定额》(2025)、《陕西省市政工程消耗量(2025)、《陕西省园林绿化工程消耗量定额》(2025);定额》、《陕西省房屋建筑与装饰工程基价表》(2025)、《陕西省通用安装工程基价表》(2025)、《陕西省市政工程基价表》(2025)、《陕西省园林绿化工程基价表》(2025)、《陕西省建设工程施工机械台班费用定额》(2025)及其配套文件。 3.3.4所属行业：建筑业。根据《工业和信息化部、国家统计局、国家发展和改革委员会、财政部关于印发中小企业划型标准规定的通知》（工信部联企业〔2011〕300号）规定的划分标准，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3.3.5成交人领取成交通知书时须向代理机构提交纸质版磋商响应文件：正本壹份、副本贰份、电子版（U盘）贰份。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法定代表人参加磋商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具备建设行政主管部门颁发的市政公用工程施工总承包三级及以上资质，且具有有效的安全生产许可证；供应商需在项目电子化交易系统中按要求上传相应证明文件并进行电子签章。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具备二级及以上注册建造师执业资格（市政公用工程专业），具有有效的安全生产考核合格证（建安B证），在本单位注册，且未担任其他在建工程项目的项目经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详见6.4.2评分标准 异常低价审查</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w:t>
            </w:r>
          </w:p>
        </w:tc>
        <w:tc>
          <w:tcPr>
            <w:tcW w:type="dxa" w:w="3322"/>
          </w:tcPr>
          <w:p>
            <w:pPr>
              <w:pStyle w:val="null3"/>
            </w:pPr>
            <w:r>
              <w:rPr>
                <w:rFonts w:ascii="仿宋_GB2312" w:hAnsi="仿宋_GB2312" w:cs="仿宋_GB2312" w:eastAsia="仿宋_GB2312"/>
              </w:rPr>
              <w:t>响应文件按照规定格式签字盖章。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资格证明文件.docx 供应商承诺书.docx 业绩证明文件.docx 响应文件封面 报价一览表及分项报价表.docx 残疾人福利性单位声明函 报价函 标的清单 响应函 监狱企业的证明文件 技术标.docx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磋商响应有效期</w:t>
            </w:r>
          </w:p>
        </w:tc>
        <w:tc>
          <w:tcPr>
            <w:tcW w:type="dxa" w:w="3322"/>
          </w:tcPr>
          <w:p>
            <w:pPr>
              <w:pStyle w:val="null3"/>
            </w:pPr>
            <w:r>
              <w:rPr>
                <w:rFonts w:ascii="仿宋_GB2312" w:hAnsi="仿宋_GB2312" w:cs="仿宋_GB2312" w:eastAsia="仿宋_GB2312"/>
              </w:rPr>
              <w:t>磋商响应有效期达到磋商文件的要求。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供应商针对同一项目未递交两份或多份内容不同的响应文件，未出现选择性报价。</w:t>
            </w:r>
          </w:p>
        </w:tc>
        <w:tc>
          <w:tcPr>
            <w:tcW w:type="dxa" w:w="1661"/>
          </w:tcPr>
          <w:p>
            <w:pPr>
              <w:pStyle w:val="null3"/>
            </w:pPr>
            <w:r>
              <w:rPr>
                <w:rFonts w:ascii="仿宋_GB2312" w:hAnsi="仿宋_GB2312" w:cs="仿宋_GB2312" w:eastAsia="仿宋_GB2312"/>
              </w:rPr>
              <w:t>报价一览表及分项报价表.docx 已标价工程量清单 报价函 技术服务合同条款及其他商务要求应答表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报价一览表及分项报价表.docx 技术服务合同条款及其他商务要求应答表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响应文件未附有采购人不能接受的条件。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资格证明文件.docx 供应商承诺书.docx 业绩证明文件.docx 响应文件封面 报价一览表及分项报价表.docx 残疾人福利性单位声明函 报价函 标的清单 响应函 监狱企业的证明文件 技术标.docx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资格证明文件.docx 供应商承诺书.docx 业绩证明文件.docx 响应文件封面 报价一览表及分项报价表.docx 残疾人福利性单位声明函 报价函 标的清单 响应函 监狱企业的证明文件 技术标.docx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符合《中华人民共和国政府采购法》有关规定和磋商纪律</w:t>
            </w:r>
          </w:p>
        </w:tc>
        <w:tc>
          <w:tcPr>
            <w:tcW w:type="dxa" w:w="3322"/>
          </w:tcPr>
          <w:p>
            <w:pPr>
              <w:pStyle w:val="null3"/>
            </w:pPr>
            <w:r>
              <w:rPr>
                <w:rFonts w:ascii="仿宋_GB2312" w:hAnsi="仿宋_GB2312" w:cs="仿宋_GB2312" w:eastAsia="仿宋_GB2312"/>
              </w:rPr>
              <w:t>符合《中华人民共和国政府采购法》有关规定和磋商纪律。</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资格证明文件.docx 供应商承诺书.docx 业绩证明文件.docx 响应文件封面 报价一览表及分项报价表.docx 残疾人福利性单位声明函 报价函 标的清单 响应函 监狱企业的证明文件 技术标.docx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①施工准备；②施工总体部署；③主要施工工艺及施工方法；④施工机械及工器具配备。 二、评审标准 1.完整性：方案须全面，对评审内容中的各项要求有详细描述； 2.可实施性：切合本项目实际情况，实施步骤清晰、合理； 3.针对性：方案能够紧扣项目实际情况，内容科学合理。 三、赋分标准 ①施工准备：每完全满足一项评审标准计1.5分，满分4.5分。 ②施工总体部署：每完全满足一项评审标准计1.5分，满分4.5分。 ③主要施工工艺及施工方法：每完全满足一项评审标准计1.5分，满分4.5分。 ④施工机械及工器具配备：每完全满足一项评审标准计1.5分，满分4.5分。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项目经理部组成及劳动力投入</w:t>
            </w:r>
          </w:p>
        </w:tc>
        <w:tc>
          <w:tcPr>
            <w:tcW w:type="dxa" w:w="2492"/>
          </w:tcPr>
          <w:p>
            <w:pPr>
              <w:pStyle w:val="null3"/>
            </w:pPr>
            <w:r>
              <w:rPr>
                <w:rFonts w:ascii="仿宋_GB2312" w:hAnsi="仿宋_GB2312" w:cs="仿宋_GB2312" w:eastAsia="仿宋_GB2312"/>
              </w:rPr>
              <w:t>一、评审内容 ①人员配备清单、劳动力投入及相关资料；②岗位职责与分工。 二、评审标准 1.完整性：方案须全面，对评审内容中的各项要求有详细描述； 2.可实施性：切合本项目实际情况，实施步骤清晰、合理； 3.针对性：方案能够紧扣项目实际情况，内容科学合理。 三、赋分标准 ①人员配备清单、劳动力投入及相关资料：每完全满足一项评审标准计1.5分，满分4.5分。 ②岗位职责与分工：每完全满足一项评审标准计1.5分，满分4.5分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确保质量的技术组织措施</w:t>
            </w:r>
          </w:p>
        </w:tc>
        <w:tc>
          <w:tcPr>
            <w:tcW w:type="dxa" w:w="2492"/>
          </w:tcPr>
          <w:p>
            <w:pPr>
              <w:pStyle w:val="null3"/>
            </w:pPr>
            <w:r>
              <w:rPr>
                <w:rFonts w:ascii="仿宋_GB2312" w:hAnsi="仿宋_GB2312" w:cs="仿宋_GB2312" w:eastAsia="仿宋_GB2312"/>
              </w:rPr>
              <w:t>一、评审内容 ①质量目标；②质量控制要点。 二、评审标准 1.完整性：方案须全面，对评审内容中的各项要求有详细描述； 2.可实施性：切合本项目实际情况，实施步骤清晰、合理； 3.针对性：方案能够紧扣项目实际情况，内容科学合理。 三、赋分标准 ①质量目标：每完全满足一项评审标准计1.5分，满分4.5分。 ②质量控制要点：每完全满足一项评审标准计1.5分，满分4.5分。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施工过程中的技术组织措施</w:t>
            </w:r>
          </w:p>
        </w:tc>
        <w:tc>
          <w:tcPr>
            <w:tcW w:type="dxa" w:w="2492"/>
          </w:tcPr>
          <w:p>
            <w:pPr>
              <w:pStyle w:val="null3"/>
            </w:pPr>
            <w:r>
              <w:rPr>
                <w:rFonts w:ascii="仿宋_GB2312" w:hAnsi="仿宋_GB2312" w:cs="仿宋_GB2312" w:eastAsia="仿宋_GB2312"/>
              </w:rPr>
              <w:t>一、评审内容 ①安全生产的技术组织措施；②文明施工的技术组织措施；③治污减霾和防尘污染的技术组织措施。 二、评审标准 1.完整性：方案须全面，对评审内容中的各项要求有详细描述； 2.可实施性：切合本项目实际情况，实施步骤清晰、合理； 3.针对性：方案能够紧扣项目实际情况，内容科学合理。 三、赋分标准 ①安全生产的技术组织措施：每完全满足一项评审标准计1.5分，满分4.5分。 ②文明施工的技术组织措施：每完全满足一项评审标准计1.5分，满分4.5分。 ③治污减霾和防尘污染的技术组织措施：每完全满足一项评审标准计1.5分，满分4.5分。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工期保障措施</w:t>
            </w:r>
          </w:p>
        </w:tc>
        <w:tc>
          <w:tcPr>
            <w:tcW w:type="dxa" w:w="2492"/>
          </w:tcPr>
          <w:p>
            <w:pPr>
              <w:pStyle w:val="null3"/>
            </w:pPr>
            <w:r>
              <w:rPr>
                <w:rFonts w:ascii="仿宋_GB2312" w:hAnsi="仿宋_GB2312" w:cs="仿宋_GB2312" w:eastAsia="仿宋_GB2312"/>
              </w:rPr>
              <w:t>一、评审内容 ①总体实施进度安排；②进度保障措施。 二、评审标准 1.完整性：方案须全面，对评审内容中的各项要求有详细描述； 2.可实施性：切合本项目实际情况，实施步骤清晰、合理； 3.针对性：方案能够紧扣项目实际情况，内容科学合理。 三、赋分标准 ①总体实施进度安排：每完全满足一项评审标准计1.5分，满分4.5分。 ②进度保障措施：每完全满足一项评审标准计1.5分，满分4.5分。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应急措施和解决方案</w:t>
            </w:r>
          </w:p>
        </w:tc>
        <w:tc>
          <w:tcPr>
            <w:tcW w:type="dxa" w:w="2492"/>
          </w:tcPr>
          <w:p>
            <w:pPr>
              <w:pStyle w:val="null3"/>
            </w:pPr>
            <w:r>
              <w:rPr>
                <w:rFonts w:ascii="仿宋_GB2312" w:hAnsi="仿宋_GB2312" w:cs="仿宋_GB2312" w:eastAsia="仿宋_GB2312"/>
              </w:rPr>
              <w:t>一、评审内容 ①各类事故应急处置预案。 二、评审标准 1.完整性：方案须全面，对评审内容中的各项要求有详细描述； 2.可实施性：切合本项目实际情况，实施步骤清晰、合理； 3.针对性：方案能够紧扣项目实际情况，内容科学合理。 三、赋分标准 ①各类事故应急处置预案：每完全满足一项评审标准计1.5分，满分4.5分。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项目经理经验</w:t>
            </w:r>
          </w:p>
        </w:tc>
        <w:tc>
          <w:tcPr>
            <w:tcW w:type="dxa" w:w="2492"/>
          </w:tcPr>
          <w:p>
            <w:pPr>
              <w:pStyle w:val="null3"/>
            </w:pPr>
            <w:r>
              <w:rPr>
                <w:rFonts w:ascii="仿宋_GB2312" w:hAnsi="仿宋_GB2312" w:cs="仿宋_GB2312" w:eastAsia="仿宋_GB2312"/>
              </w:rPr>
              <w:t>项目经理2023年至响应文件递交截止前，有1个类似项目业绩得1分，本项最高得2分（提供项目合同及体现该人员为项目经理的证明资料，视为1个项目经验，可以与企业业绩相同）。</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提供供应商2023年以来类似项目业绩合同（以合同签订时间为准），每份计2.5分，满分5分。（注：以上证明文件在磋商响应文件中附业绩合同扫描件并加盖公章）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业绩证明文件.docx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报价一览表及分项报价表.docx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规定的小微企业报价给予3%的扣除，用扣除后的价格参加评审。承接本项目的供应商符合相应条件时，给予3%的价格扣除，即：评标价=最后报价×（1-3%）;监狱企业与残疾人福利性单位视同小型、微型企业，享受同等价格扣除，当企业属性重复时，不重复价格扣除。 2.本项目所属行业：建筑业。根据《工业和信息化部、国家统计局、国家发展和改革委员会、财政部关于印发中小企业划型标准规定的通知》（工信部联企业〔2011〕300号）规定的划分标准，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详见附件：报价一览表及分项报价表.docx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详见附件：技术标.docx</w:t>
      </w:r>
    </w:p>
    <w:p>
      <w:pPr>
        <w:pStyle w:val="null3"/>
        <w:ind w:firstLine="960"/>
      </w:pPr>
      <w:r>
        <w:rPr>
          <w:rFonts w:ascii="仿宋_GB2312" w:hAnsi="仿宋_GB2312" w:cs="仿宋_GB2312" w:eastAsia="仿宋_GB2312"/>
        </w:rPr>
        <w:t>详见附件：业绩证明文件.docx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