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D4D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32B5F9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44E645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7D1FD0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4"/>
          <w:szCs w:val="34"/>
        </w:rPr>
      </w:pPr>
      <w:r>
        <w:rPr>
          <w:rFonts w:hint="eastAsia" w:ascii="仿宋" w:hAnsi="仿宋" w:eastAsia="仿宋" w:cs="仿宋"/>
          <w:b/>
          <w:bCs/>
          <w:spacing w:val="0"/>
          <w:w w:val="100"/>
          <w:sz w:val="34"/>
          <w:szCs w:val="34"/>
        </w:rPr>
        <w:t>政</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府</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采</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购</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合</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同</w:t>
      </w:r>
    </w:p>
    <w:p w14:paraId="0A3190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0"/>
          <w:szCs w:val="30"/>
        </w:rPr>
      </w:pPr>
      <w:r>
        <w:rPr>
          <w:rFonts w:hint="eastAsia" w:ascii="仿宋" w:hAnsi="仿宋" w:eastAsia="仿宋" w:cs="仿宋"/>
          <w:b/>
          <w:bCs w:val="0"/>
          <w:spacing w:val="0"/>
          <w:w w:val="100"/>
          <w:sz w:val="30"/>
          <w:szCs w:val="30"/>
        </w:rPr>
        <w:t>合同编号：</w:t>
      </w:r>
    </w:p>
    <w:p w14:paraId="2EBD71C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4F9DDB6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35DC245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0094448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仿宋" w:hAnsi="仿宋" w:eastAsia="仿宋" w:cs="仿宋"/>
        </w:rPr>
      </w:pPr>
    </w:p>
    <w:p w14:paraId="310EA0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7"/>
          <w:sz w:val="44"/>
          <w:szCs w:val="44"/>
          <w:lang w:eastAsia="zh-CN"/>
        </w:rPr>
      </w:pPr>
      <w:r>
        <w:rPr>
          <w:rFonts w:hint="eastAsia" w:ascii="仿宋" w:hAnsi="仿宋" w:eastAsia="仿宋" w:cs="仿宋"/>
          <w:b/>
          <w:bCs/>
          <w:spacing w:val="-7"/>
          <w:sz w:val="44"/>
          <w:szCs w:val="44"/>
          <w:lang w:val="en-US" w:eastAsia="zh-CN"/>
        </w:rPr>
        <w:t xml:space="preserve">正阳路街道社区戒毒社区康复服务中心设施设备购置项目 </w:t>
      </w:r>
    </w:p>
    <w:p w14:paraId="02173E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7"/>
          <w:sz w:val="44"/>
          <w:szCs w:val="44"/>
          <w:lang w:eastAsia="zh-CN"/>
        </w:rPr>
      </w:pPr>
    </w:p>
    <w:p w14:paraId="51D26F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32CC7A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4C6BE9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38CD93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1F6433E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64884D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z w:val="29"/>
          <w:szCs w:val="29"/>
        </w:rPr>
      </w:pPr>
      <w:r>
        <w:rPr>
          <w:rFonts w:hint="eastAsia" w:ascii="仿宋" w:hAnsi="仿宋" w:eastAsia="仿宋" w:cs="仿宋"/>
          <w:spacing w:val="7"/>
          <w:sz w:val="29"/>
          <w:szCs w:val="29"/>
        </w:rPr>
        <w:t>甲方：</w:t>
      </w:r>
    </w:p>
    <w:p w14:paraId="71445C4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0" w:firstLineChars="400"/>
        <w:textAlignment w:val="baseline"/>
        <w:rPr>
          <w:rFonts w:hint="eastAsia" w:ascii="仿宋" w:hAnsi="仿宋" w:eastAsia="仿宋" w:cs="仿宋"/>
        </w:rPr>
      </w:pPr>
    </w:p>
    <w:p w14:paraId="0805D2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rPr>
      </w:pPr>
      <w:r>
        <w:rPr>
          <w:rFonts w:hint="eastAsia" w:ascii="仿宋" w:hAnsi="仿宋" w:eastAsia="仿宋" w:cs="仿宋"/>
          <w:spacing w:val="7"/>
          <w:sz w:val="29"/>
          <w:szCs w:val="29"/>
        </w:rPr>
        <w:t>乙方：</w:t>
      </w:r>
    </w:p>
    <w:p w14:paraId="57301E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0" w:firstLineChars="400"/>
        <w:textAlignment w:val="baseline"/>
        <w:rPr>
          <w:rFonts w:hint="eastAsia" w:ascii="仿宋" w:hAnsi="仿宋" w:eastAsia="仿宋" w:cs="仿宋"/>
        </w:rPr>
      </w:pPr>
    </w:p>
    <w:p w14:paraId="56D37C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lang w:val="en-US" w:eastAsia="zh-CN"/>
        </w:rPr>
      </w:pPr>
      <w:r>
        <w:rPr>
          <w:rFonts w:hint="eastAsia" w:ascii="仿宋" w:hAnsi="仿宋" w:eastAsia="仿宋" w:cs="仿宋"/>
          <w:spacing w:val="7"/>
          <w:sz w:val="29"/>
          <w:szCs w:val="29"/>
          <w:lang w:val="en-US" w:eastAsia="zh-CN"/>
        </w:rPr>
        <w:t>签订日期：</w:t>
      </w:r>
    </w:p>
    <w:p w14:paraId="05E595C6">
      <w:pPr>
        <w:pStyle w:val="3"/>
        <w:rPr>
          <w:rFonts w:hint="eastAsia" w:ascii="仿宋" w:hAnsi="仿宋" w:eastAsia="仿宋" w:cs="仿宋"/>
          <w:lang w:val="en-US" w:eastAsia="zh-CN"/>
        </w:rPr>
      </w:pPr>
    </w:p>
    <w:p w14:paraId="1B3A3633">
      <w:pPr>
        <w:spacing w:before="156" w:beforeLines="50" w:after="156" w:afterLines="50" w:line="360" w:lineRule="auto"/>
        <w:jc w:val="center"/>
        <w:rPr>
          <w:rFonts w:hint="eastAsia" w:ascii="仿宋" w:hAnsi="仿宋" w:eastAsia="仿宋" w:cs="仿宋"/>
          <w:b/>
          <w:szCs w:val="32"/>
          <w:highlight w:val="none"/>
        </w:rPr>
      </w:pPr>
      <w:r>
        <w:rPr>
          <w:rFonts w:hint="eastAsia" w:ascii="仿宋" w:hAnsi="仿宋" w:eastAsia="仿宋" w:cs="仿宋"/>
          <w:b/>
          <w:szCs w:val="32"/>
          <w:highlight w:val="none"/>
        </w:rPr>
        <w:t>(本合同仅供参考 具体以双方签订为准）</w:t>
      </w:r>
    </w:p>
    <w:p w14:paraId="23A9BA72">
      <w:pPr>
        <w:pageBreakBefore w:val="0"/>
        <w:widowControl w:val="0"/>
        <w:kinsoku/>
        <w:wordWrap/>
        <w:overflowPunct/>
        <w:topLinePunct w:val="0"/>
        <w:bidi w:val="0"/>
        <w:spacing w:line="360" w:lineRule="auto"/>
        <w:jc w:val="center"/>
        <w:textAlignment w:val="auto"/>
        <w:rPr>
          <w:rFonts w:hint="eastAsia" w:ascii="宋体" w:hAnsi="宋体" w:eastAsia="宋体" w:cs="宋体"/>
          <w:b/>
          <w:bCs/>
          <w:color w:val="000000" w:themeColor="text1"/>
          <w:sz w:val="28"/>
          <w:szCs w:val="28"/>
          <w:highlight w:val="none"/>
          <w14:textFill>
            <w14:solidFill>
              <w14:schemeClr w14:val="tx1"/>
            </w14:solidFill>
          </w14:textFill>
        </w:rPr>
      </w:pPr>
      <w:bookmarkStart w:id="0" w:name="_Toc30119"/>
      <w:r>
        <w:rPr>
          <w:rFonts w:hint="eastAsia" w:ascii="宋体" w:hAnsi="宋体" w:eastAsia="宋体" w:cs="宋体"/>
          <w:b/>
          <w:bCs/>
          <w:color w:val="000000" w:themeColor="text1"/>
          <w:sz w:val="28"/>
          <w:szCs w:val="28"/>
          <w:highlight w:val="none"/>
          <w14:textFill>
            <w14:solidFill>
              <w14:schemeClr w14:val="tx1"/>
            </w14:solidFill>
          </w14:textFill>
        </w:rPr>
        <w:t>政府采购合同条款</w:t>
      </w:r>
      <w:bookmarkEnd w:id="0"/>
    </w:p>
    <w:p w14:paraId="5EBC64B7">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（本格式条款供采购人和</w:t>
      </w:r>
      <w:r>
        <w:rPr>
          <w:rFonts w:hint="eastAsia" w:ascii="宋体" w:hAnsi="宋体" w:eastAsia="宋体" w:cs="宋体"/>
          <w:color w:val="000000" w:themeColor="text1"/>
          <w:sz w:val="22"/>
          <w:szCs w:val="22"/>
          <w:highlight w:val="none"/>
          <w:lang w:val="en-US" w:eastAsia="zh-CN"/>
          <w14:textFill>
            <w14:solidFill>
              <w14:schemeClr w14:val="tx1"/>
            </w14:solidFill>
          </w14:textFill>
        </w:rPr>
        <w:t>中标</w:t>
      </w:r>
      <w:r>
        <w:rPr>
          <w:rFonts w:hint="eastAsia" w:ascii="宋体" w:hAnsi="宋体" w:eastAsia="宋体" w:cs="宋体"/>
          <w:color w:val="000000" w:themeColor="text1"/>
          <w:sz w:val="22"/>
          <w:szCs w:val="22"/>
          <w:highlight w:val="none"/>
          <w14:textFill>
            <w14:solidFill>
              <w14:schemeClr w14:val="tx1"/>
            </w14:solidFill>
          </w14:textFill>
        </w:rPr>
        <w:t>供应商双方签订合同参考，最终以采购人实际签订的合同为准）</w:t>
      </w:r>
    </w:p>
    <w:p w14:paraId="5F5B7BE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合同编号：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49D6970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签订时间：</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D4FE5E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采购人：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（甲方）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4445337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供应商：</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（乙方）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AEDC9AA">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000000" w:themeColor="text1"/>
          <w:sz w:val="22"/>
          <w:szCs w:val="22"/>
          <w:highlight w:val="none"/>
          <w:lang w:val="zh-CN"/>
          <w14:textFill>
            <w14:solidFill>
              <w14:schemeClr w14:val="tx1"/>
            </w14:solidFill>
          </w14:textFill>
        </w:rPr>
        <w:t>根据《中华人民共和国政府采购法》及实施条例、《中华人民共和国</w:t>
      </w:r>
      <w:r>
        <w:rPr>
          <w:rFonts w:hint="eastAsia" w:ascii="宋体" w:hAnsi="宋体" w:eastAsia="宋体" w:cs="宋体"/>
          <w:color w:val="000000" w:themeColor="text1"/>
          <w:sz w:val="22"/>
          <w:szCs w:val="22"/>
          <w:highlight w:val="none"/>
          <w14:textFill>
            <w14:solidFill>
              <w14:schemeClr w14:val="tx1"/>
            </w14:solidFill>
          </w14:textFill>
        </w:rPr>
        <w:t>民法典</w:t>
      </w:r>
      <w:r>
        <w:rPr>
          <w:rFonts w:hint="eastAsia" w:ascii="宋体" w:hAnsi="宋体" w:eastAsia="宋体" w:cs="宋体"/>
          <w:color w:val="000000" w:themeColor="text1"/>
          <w:sz w:val="22"/>
          <w:szCs w:val="22"/>
          <w:highlight w:val="none"/>
          <w:lang w:val="zh-CN"/>
          <w14:textFill>
            <w14:solidFill>
              <w14:schemeClr w14:val="tx1"/>
            </w14:solidFill>
          </w14:textFill>
        </w:rPr>
        <w:t>》和</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（项目编号：          </w:t>
      </w:r>
      <w:r>
        <w:rPr>
          <w:rFonts w:hint="eastAsia" w:ascii="宋体" w:hAnsi="宋体" w:eastAsia="宋体" w:cs="宋体"/>
          <w:color w:val="000000" w:themeColor="text1"/>
          <w:sz w:val="22"/>
          <w:szCs w:val="22"/>
          <w:highlight w:val="none"/>
          <w:lang w:val="zh-CN"/>
          <w14:textFill>
            <w14:solidFill>
              <w14:schemeClr w14:val="tx1"/>
            </w14:solidFill>
          </w14:textFill>
        </w:rPr>
        <w:t>）的</w:t>
      </w:r>
      <w:r>
        <w:rPr>
          <w:rFonts w:hint="eastAsia" w:ascii="宋体" w:hAnsi="宋体" w:eastAsia="宋体" w:cs="宋体"/>
          <w:color w:val="000000" w:themeColor="text1"/>
          <w:sz w:val="22"/>
          <w:szCs w:val="22"/>
          <w:highlight w:val="none"/>
          <w14:textFill>
            <w14:solidFill>
              <w14:schemeClr w14:val="tx1"/>
            </w14:solidFill>
          </w14:textFill>
        </w:rPr>
        <w:t>招标</w:t>
      </w:r>
      <w:r>
        <w:rPr>
          <w:rFonts w:hint="eastAsia" w:ascii="宋体" w:hAnsi="宋体" w:eastAsia="宋体" w:cs="宋体"/>
          <w:color w:val="000000" w:themeColor="text1"/>
          <w:sz w:val="22"/>
          <w:szCs w:val="22"/>
          <w:highlight w:val="none"/>
          <w:lang w:val="zh-CN"/>
          <w14:textFill>
            <w14:solidFill>
              <w14:schemeClr w14:val="tx1"/>
            </w14:solidFill>
          </w14:textFill>
        </w:rPr>
        <w:t>文件、</w:t>
      </w:r>
      <w:r>
        <w:rPr>
          <w:rFonts w:hint="eastAsia" w:ascii="宋体" w:hAnsi="宋体" w:eastAsia="宋体" w:cs="宋体"/>
          <w:color w:val="000000" w:themeColor="text1"/>
          <w:sz w:val="22"/>
          <w:szCs w:val="22"/>
          <w:highlight w:val="none"/>
          <w14:textFill>
            <w14:solidFill>
              <w14:schemeClr w14:val="tx1"/>
            </w14:solidFill>
          </w14:textFill>
        </w:rPr>
        <w:t>投标</w:t>
      </w:r>
      <w:r>
        <w:rPr>
          <w:rFonts w:hint="eastAsia" w:ascii="宋体" w:hAnsi="宋体" w:eastAsia="宋体" w:cs="宋体"/>
          <w:color w:val="000000" w:themeColor="text1"/>
          <w:sz w:val="22"/>
          <w:szCs w:val="22"/>
          <w:highlight w:val="none"/>
          <w:lang w:val="zh-CN"/>
          <w14:textFill>
            <w14:solidFill>
              <w14:schemeClr w14:val="tx1"/>
            </w14:solidFill>
          </w14:textFill>
        </w:rPr>
        <w:t>文件等有关规定，为确保甲方采购项目的顺利实施，甲、乙双方在平等自愿原则下签订本合同，并共同遵守如下条款：</w:t>
      </w:r>
    </w:p>
    <w:p w14:paraId="5EE88384">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一、项目概况</w:t>
      </w:r>
    </w:p>
    <w:p w14:paraId="01B2459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05D35AE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项目地点：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1BFD4619">
      <w:pPr>
        <w:pageBreakBefore w:val="0"/>
        <w:widowControl w:val="0"/>
        <w:kinsoku/>
        <w:wordWrap/>
        <w:overflowPunct/>
        <w:topLinePunct w:val="0"/>
        <w:bidi w:val="0"/>
        <w:adjustRightInd w:val="0"/>
        <w:snapToGrid w:val="0"/>
        <w:spacing w:line="360" w:lineRule="auto"/>
        <w:ind w:firstLine="435" w:firstLineChars="198"/>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采购清单及数量：</w:t>
      </w:r>
    </w:p>
    <w:tbl>
      <w:tblPr>
        <w:tblStyle w:val="5"/>
        <w:tblW w:w="505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 w:type="dxa"/>
          <w:bottom w:w="0" w:type="dxa"/>
          <w:right w:w="10" w:type="dxa"/>
        </w:tblCellMar>
      </w:tblPr>
      <w:tblGrid>
        <w:gridCol w:w="692"/>
        <w:gridCol w:w="1287"/>
        <w:gridCol w:w="1765"/>
        <w:gridCol w:w="1100"/>
        <w:gridCol w:w="1073"/>
        <w:gridCol w:w="1140"/>
        <w:gridCol w:w="1364"/>
      </w:tblGrid>
      <w:tr w14:paraId="6D3F72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12" w:space="0"/>
              <w:left w:val="single" w:color="auto" w:sz="12" w:space="0"/>
              <w:bottom w:val="single" w:color="auto" w:sz="4" w:space="0"/>
              <w:right w:val="single" w:color="auto" w:sz="4" w:space="0"/>
            </w:tcBorders>
            <w:vAlign w:val="top"/>
          </w:tcPr>
          <w:p w14:paraId="3BA0FDE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序号</w:t>
            </w:r>
          </w:p>
        </w:tc>
        <w:tc>
          <w:tcPr>
            <w:tcW w:w="764" w:type="pct"/>
            <w:tcBorders>
              <w:top w:val="single" w:color="auto" w:sz="12" w:space="0"/>
              <w:left w:val="single" w:color="auto" w:sz="4" w:space="0"/>
              <w:bottom w:val="single" w:color="auto" w:sz="4" w:space="0"/>
              <w:right w:val="single" w:color="auto" w:sz="4" w:space="0"/>
            </w:tcBorders>
            <w:vAlign w:val="top"/>
          </w:tcPr>
          <w:p w14:paraId="4ACB7CB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设备名称</w:t>
            </w:r>
          </w:p>
        </w:tc>
        <w:tc>
          <w:tcPr>
            <w:tcW w:w="1048" w:type="pct"/>
            <w:tcBorders>
              <w:top w:val="single" w:color="auto" w:sz="12" w:space="0"/>
              <w:left w:val="single" w:color="auto" w:sz="4" w:space="0"/>
              <w:bottom w:val="single" w:color="auto" w:sz="4" w:space="0"/>
              <w:right w:val="single" w:color="auto" w:sz="4" w:space="0"/>
            </w:tcBorders>
            <w:vAlign w:val="top"/>
          </w:tcPr>
          <w:p w14:paraId="7553BF6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品牌和规格型号</w:t>
            </w:r>
          </w:p>
        </w:tc>
        <w:tc>
          <w:tcPr>
            <w:tcW w:w="653" w:type="pct"/>
            <w:tcBorders>
              <w:top w:val="single" w:color="auto" w:sz="12" w:space="0"/>
              <w:left w:val="single" w:color="auto" w:sz="4" w:space="0"/>
              <w:bottom w:val="single" w:color="auto" w:sz="4" w:space="0"/>
              <w:right w:val="single" w:color="auto" w:sz="4" w:space="0"/>
            </w:tcBorders>
            <w:vAlign w:val="top"/>
          </w:tcPr>
          <w:p w14:paraId="040F93A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制造商</w:t>
            </w:r>
          </w:p>
        </w:tc>
        <w:tc>
          <w:tcPr>
            <w:tcW w:w="637" w:type="pct"/>
            <w:tcBorders>
              <w:top w:val="single" w:color="auto" w:sz="12" w:space="0"/>
              <w:left w:val="single" w:color="auto" w:sz="4" w:space="0"/>
              <w:bottom w:val="single" w:color="auto" w:sz="4" w:space="0"/>
              <w:right w:val="single" w:color="auto" w:sz="4" w:space="0"/>
            </w:tcBorders>
            <w:vAlign w:val="top"/>
          </w:tcPr>
          <w:p w14:paraId="127E914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数量</w:t>
            </w:r>
          </w:p>
        </w:tc>
        <w:tc>
          <w:tcPr>
            <w:tcW w:w="677" w:type="pct"/>
            <w:tcBorders>
              <w:top w:val="single" w:color="auto" w:sz="12" w:space="0"/>
              <w:left w:val="single" w:color="auto" w:sz="4" w:space="0"/>
              <w:bottom w:val="single" w:color="auto" w:sz="4" w:space="0"/>
              <w:right w:val="single" w:color="auto" w:sz="4" w:space="0"/>
            </w:tcBorders>
            <w:vAlign w:val="top"/>
          </w:tcPr>
          <w:p w14:paraId="67D6F4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所报</w:t>
            </w:r>
            <w:r>
              <w:rPr>
                <w:rFonts w:hint="eastAsia" w:ascii="宋体" w:hAnsi="宋体" w:eastAsia="宋体" w:cs="宋体"/>
                <w:sz w:val="22"/>
                <w:szCs w:val="22"/>
                <w:highlight w:val="none"/>
              </w:rPr>
              <w:t>单价</w:t>
            </w:r>
          </w:p>
        </w:tc>
        <w:tc>
          <w:tcPr>
            <w:tcW w:w="807" w:type="pct"/>
            <w:tcBorders>
              <w:top w:val="single" w:color="auto" w:sz="12" w:space="0"/>
              <w:left w:val="single" w:color="auto" w:sz="4" w:space="0"/>
              <w:bottom w:val="single" w:color="auto" w:sz="4" w:space="0"/>
              <w:right w:val="single" w:color="auto" w:sz="12" w:space="0"/>
            </w:tcBorders>
            <w:vAlign w:val="top"/>
          </w:tcPr>
          <w:p w14:paraId="4FD641D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合计</w:t>
            </w:r>
          </w:p>
        </w:tc>
      </w:tr>
      <w:tr w14:paraId="1D5F29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2BBEEEB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764" w:type="pct"/>
            <w:tcBorders>
              <w:top w:val="single" w:color="auto" w:sz="4" w:space="0"/>
              <w:left w:val="single" w:color="auto" w:sz="4" w:space="0"/>
              <w:bottom w:val="single" w:color="auto" w:sz="4" w:space="0"/>
              <w:right w:val="single" w:color="auto" w:sz="4" w:space="0"/>
            </w:tcBorders>
            <w:vAlign w:val="top"/>
          </w:tcPr>
          <w:p w14:paraId="4701F7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1048" w:type="pct"/>
            <w:tcBorders>
              <w:top w:val="single" w:color="auto" w:sz="4" w:space="0"/>
              <w:left w:val="single" w:color="auto" w:sz="4" w:space="0"/>
              <w:bottom w:val="single" w:color="auto" w:sz="4" w:space="0"/>
              <w:right w:val="single" w:color="auto" w:sz="4" w:space="0"/>
            </w:tcBorders>
            <w:vAlign w:val="top"/>
          </w:tcPr>
          <w:p w14:paraId="58DD033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53" w:type="pct"/>
            <w:tcBorders>
              <w:top w:val="single" w:color="auto" w:sz="4" w:space="0"/>
              <w:left w:val="single" w:color="auto" w:sz="4" w:space="0"/>
              <w:bottom w:val="single" w:color="auto" w:sz="4" w:space="0"/>
              <w:right w:val="single" w:color="auto" w:sz="4" w:space="0"/>
            </w:tcBorders>
            <w:vAlign w:val="top"/>
          </w:tcPr>
          <w:p w14:paraId="7F5BD3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37" w:type="pct"/>
            <w:tcBorders>
              <w:top w:val="single" w:color="auto" w:sz="4" w:space="0"/>
              <w:left w:val="single" w:color="auto" w:sz="4" w:space="0"/>
              <w:bottom w:val="single" w:color="auto" w:sz="4" w:space="0"/>
              <w:right w:val="single" w:color="auto" w:sz="4" w:space="0"/>
            </w:tcBorders>
            <w:vAlign w:val="top"/>
          </w:tcPr>
          <w:p w14:paraId="7FF0917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77" w:type="pct"/>
            <w:tcBorders>
              <w:top w:val="single" w:color="auto" w:sz="4" w:space="0"/>
              <w:left w:val="single" w:color="auto" w:sz="4" w:space="0"/>
              <w:bottom w:val="single" w:color="auto" w:sz="4" w:space="0"/>
              <w:right w:val="single" w:color="auto" w:sz="4" w:space="0"/>
            </w:tcBorders>
            <w:vAlign w:val="top"/>
          </w:tcPr>
          <w:p w14:paraId="7CEF4184">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291C2346">
            <w:pPr>
              <w:spacing w:line="360" w:lineRule="auto"/>
              <w:jc w:val="center"/>
              <w:rPr>
                <w:rFonts w:hint="eastAsia" w:ascii="宋体" w:hAnsi="宋体" w:eastAsia="宋体" w:cs="宋体"/>
                <w:b w:val="0"/>
                <w:bCs w:val="0"/>
                <w:color w:val="000000"/>
                <w:sz w:val="22"/>
                <w:szCs w:val="22"/>
              </w:rPr>
            </w:pPr>
          </w:p>
        </w:tc>
      </w:tr>
      <w:tr w14:paraId="59269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477B8644">
            <w:pPr>
              <w:spacing w:line="360" w:lineRule="auto"/>
              <w:jc w:val="center"/>
              <w:rPr>
                <w:rFonts w:hint="eastAsia" w:ascii="宋体" w:hAnsi="宋体" w:eastAsia="宋体" w:cs="宋体"/>
                <w:b w:val="0"/>
                <w:bCs w:val="0"/>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2C1C3925">
            <w:pPr>
              <w:spacing w:line="360" w:lineRule="auto"/>
              <w:jc w:val="center"/>
              <w:rPr>
                <w:rFonts w:hint="eastAsia" w:ascii="宋体" w:hAnsi="宋体" w:eastAsia="宋体" w:cs="宋体"/>
                <w:b w:val="0"/>
                <w:bCs w:val="0"/>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2FC7A283">
            <w:pPr>
              <w:spacing w:line="360" w:lineRule="auto"/>
              <w:jc w:val="center"/>
              <w:rPr>
                <w:rFonts w:hint="eastAsia" w:ascii="宋体" w:hAnsi="宋体" w:eastAsia="宋体" w:cs="宋体"/>
                <w:b w:val="0"/>
                <w:bCs w:val="0"/>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4AAFD1ED">
            <w:pPr>
              <w:spacing w:line="360" w:lineRule="auto"/>
              <w:jc w:val="center"/>
              <w:rPr>
                <w:rFonts w:hint="eastAsia" w:ascii="宋体" w:hAnsi="宋体" w:eastAsia="宋体" w:cs="宋体"/>
                <w:b w:val="0"/>
                <w:bCs w:val="0"/>
                <w:color w:val="000000"/>
                <w:sz w:val="22"/>
                <w:szCs w:val="22"/>
              </w:rPr>
            </w:pPr>
            <w:bookmarkStart w:id="1" w:name="_GoBack"/>
            <w:bookmarkEnd w:id="1"/>
          </w:p>
        </w:tc>
        <w:tc>
          <w:tcPr>
            <w:tcW w:w="637" w:type="pct"/>
            <w:tcBorders>
              <w:top w:val="single" w:color="auto" w:sz="4" w:space="0"/>
              <w:left w:val="single" w:color="auto" w:sz="4" w:space="0"/>
              <w:bottom w:val="single" w:color="auto" w:sz="4" w:space="0"/>
              <w:right w:val="single" w:color="auto" w:sz="4" w:space="0"/>
            </w:tcBorders>
            <w:vAlign w:val="top"/>
          </w:tcPr>
          <w:p w14:paraId="5955663C">
            <w:pPr>
              <w:spacing w:line="360" w:lineRule="auto"/>
              <w:jc w:val="center"/>
              <w:rPr>
                <w:rFonts w:hint="eastAsia" w:ascii="宋体" w:hAnsi="宋体" w:eastAsia="宋体" w:cs="宋体"/>
                <w:b w:val="0"/>
                <w:bCs w:val="0"/>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6C2818CF">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3F9856D1">
            <w:pPr>
              <w:spacing w:line="360" w:lineRule="auto"/>
              <w:jc w:val="center"/>
              <w:rPr>
                <w:rFonts w:hint="eastAsia" w:ascii="宋体" w:hAnsi="宋体" w:eastAsia="宋体" w:cs="宋体"/>
                <w:b w:val="0"/>
                <w:bCs w:val="0"/>
                <w:color w:val="000000"/>
                <w:sz w:val="22"/>
                <w:szCs w:val="22"/>
              </w:rPr>
            </w:pPr>
          </w:p>
        </w:tc>
      </w:tr>
      <w:tr w14:paraId="71F10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6DA7E4F3">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614B8620">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5E5A8885">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3C40885A">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17BA9D71">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464D6BB4">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0041F968">
            <w:pPr>
              <w:spacing w:line="360" w:lineRule="auto"/>
              <w:jc w:val="center"/>
              <w:rPr>
                <w:rFonts w:hint="eastAsia" w:ascii="宋体" w:hAnsi="宋体" w:eastAsia="宋体" w:cs="宋体"/>
                <w:color w:val="000000"/>
                <w:sz w:val="22"/>
                <w:szCs w:val="22"/>
              </w:rPr>
            </w:pPr>
          </w:p>
        </w:tc>
      </w:tr>
      <w:tr w14:paraId="2C36B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1361E2D1">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2F31B99C">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19FE77A1">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6D24B0C6">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615C7AE2">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6B084C28">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3FEF9A5B">
            <w:pPr>
              <w:spacing w:line="360" w:lineRule="auto"/>
              <w:jc w:val="center"/>
              <w:rPr>
                <w:rFonts w:hint="eastAsia" w:ascii="宋体" w:hAnsi="宋体" w:eastAsia="宋体" w:cs="宋体"/>
                <w:color w:val="000000"/>
                <w:sz w:val="22"/>
                <w:szCs w:val="22"/>
              </w:rPr>
            </w:pPr>
          </w:p>
        </w:tc>
      </w:tr>
      <w:tr w14:paraId="17CF7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1175" w:type="pct"/>
            <w:gridSpan w:val="2"/>
            <w:tcBorders>
              <w:top w:val="single" w:color="auto" w:sz="4" w:space="0"/>
              <w:left w:val="single" w:color="auto" w:sz="12" w:space="0"/>
              <w:bottom w:val="single" w:color="auto" w:sz="12" w:space="0"/>
              <w:right w:val="single" w:color="auto" w:sz="4" w:space="0"/>
            </w:tcBorders>
            <w:vAlign w:val="top"/>
          </w:tcPr>
          <w:p w14:paraId="62274B4E">
            <w:pPr>
              <w:spacing w:line="360" w:lineRule="auto"/>
              <w:jc w:val="center"/>
              <w:rPr>
                <w:rFonts w:hint="eastAsia" w:ascii="宋体" w:hAnsi="宋体" w:eastAsia="宋体" w:cs="宋体"/>
                <w:sz w:val="22"/>
                <w:szCs w:val="22"/>
              </w:rPr>
            </w:pPr>
            <w:r>
              <w:rPr>
                <w:rFonts w:hint="eastAsia" w:ascii="宋体" w:hAnsi="宋体" w:eastAsia="宋体" w:cs="宋体"/>
                <w:sz w:val="22"/>
                <w:szCs w:val="22"/>
              </w:rPr>
              <w:t>总价</w:t>
            </w:r>
          </w:p>
        </w:tc>
        <w:tc>
          <w:tcPr>
            <w:tcW w:w="3824" w:type="pct"/>
            <w:gridSpan w:val="5"/>
            <w:tcBorders>
              <w:top w:val="single" w:color="auto" w:sz="4" w:space="0"/>
              <w:left w:val="single" w:color="auto" w:sz="4" w:space="0"/>
              <w:bottom w:val="single" w:color="auto" w:sz="12" w:space="0"/>
              <w:right w:val="single" w:color="auto" w:sz="12" w:space="0"/>
            </w:tcBorders>
            <w:vAlign w:val="top"/>
          </w:tcPr>
          <w:p w14:paraId="44419D1E">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rPr>
              <w:t>大写</w:t>
            </w:r>
            <w:r>
              <w:rPr>
                <w:rFonts w:hint="eastAsia" w:ascii="宋体" w:hAnsi="宋体" w:eastAsia="宋体" w:cs="宋体"/>
                <w:sz w:val="22"/>
                <w:szCs w:val="22"/>
                <w:lang w:eastAsia="zh-CN"/>
              </w:rPr>
              <w:t>：</w:t>
            </w:r>
          </w:p>
          <w:p w14:paraId="009CE81B">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小写：</w:t>
            </w:r>
          </w:p>
        </w:tc>
      </w:tr>
    </w:tbl>
    <w:p w14:paraId="5F8553F7">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rPr>
        <w:t>二、</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交货（包含安装调试）</w:t>
      </w: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供货</w:t>
      </w:r>
      <w:r>
        <w:rPr>
          <w:rFonts w:hint="eastAsia" w:ascii="宋体" w:hAnsi="宋体" w:eastAsia="宋体" w:cs="宋体"/>
          <w:b/>
          <w:color w:val="auto"/>
          <w:sz w:val="22"/>
          <w:szCs w:val="22"/>
          <w:highlight w:val="none"/>
        </w:rPr>
        <w:t>期</w:t>
      </w:r>
      <w:r>
        <w:rPr>
          <w:rFonts w:hint="eastAsia" w:ascii="宋体" w:hAnsi="宋体" w:eastAsia="宋体" w:cs="宋体"/>
          <w:b/>
          <w:color w:val="auto"/>
          <w:sz w:val="22"/>
          <w:szCs w:val="22"/>
          <w:highlight w:val="none"/>
          <w:lang w:eastAsia="zh-CN"/>
        </w:rPr>
        <w:t>、</w:t>
      </w:r>
      <w:r>
        <w:rPr>
          <w:rFonts w:hint="eastAsia" w:ascii="宋体" w:hAnsi="宋体" w:eastAsia="宋体" w:cs="宋体"/>
          <w:b/>
          <w:color w:val="auto"/>
          <w:sz w:val="22"/>
          <w:szCs w:val="22"/>
          <w:highlight w:val="none"/>
          <w:lang w:val="en-US" w:eastAsia="zh-CN"/>
        </w:rPr>
        <w:t>质保期</w:t>
      </w:r>
    </w:p>
    <w:p w14:paraId="32BB9BE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交货地点：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w:t>
      </w:r>
    </w:p>
    <w:p w14:paraId="5699887A">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本合同</w:t>
      </w:r>
      <w:r>
        <w:rPr>
          <w:rFonts w:hint="eastAsia" w:ascii="宋体" w:hAnsi="宋体" w:eastAsia="宋体" w:cs="宋体"/>
          <w:color w:val="auto"/>
          <w:sz w:val="22"/>
          <w:szCs w:val="22"/>
          <w:highlight w:val="none"/>
          <w:lang w:val="en-US" w:eastAsia="zh-CN"/>
        </w:rPr>
        <w:t>交货</w:t>
      </w:r>
      <w:r>
        <w:rPr>
          <w:rFonts w:hint="eastAsia" w:ascii="宋体" w:hAnsi="宋体" w:eastAsia="宋体" w:cs="宋体"/>
          <w:color w:val="auto"/>
          <w:sz w:val="22"/>
          <w:szCs w:val="22"/>
          <w:highlight w:val="none"/>
        </w:rPr>
        <w:t>期限为</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w:t>
      </w:r>
    </w:p>
    <w:p w14:paraId="355ACEE7">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3、质保期：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w:t>
      </w:r>
    </w:p>
    <w:p w14:paraId="32E9FF61">
      <w:pPr>
        <w:pageBreakBefore w:val="0"/>
        <w:widowControl w:val="0"/>
        <w:kinsoku/>
        <w:wordWrap/>
        <w:overflowPunct/>
        <w:topLinePunct w:val="0"/>
        <w:autoSpaceDE w:val="0"/>
        <w:autoSpaceDN w:val="0"/>
        <w:bidi w:val="0"/>
        <w:adjustRightInd w:val="0"/>
        <w:spacing w:line="360" w:lineRule="auto"/>
        <w:ind w:firstLine="442" w:firstLineChars="200"/>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color w:val="auto"/>
          <w:sz w:val="22"/>
          <w:szCs w:val="22"/>
          <w:highlight w:val="none"/>
        </w:rPr>
        <w:t>三、</w:t>
      </w:r>
      <w:r>
        <w:rPr>
          <w:rFonts w:hint="eastAsia" w:ascii="宋体" w:hAnsi="宋体" w:eastAsia="宋体" w:cs="宋体"/>
          <w:b/>
          <w:bCs/>
          <w:color w:val="000000" w:themeColor="text1"/>
          <w:sz w:val="22"/>
          <w:szCs w:val="22"/>
          <w:highlight w:val="none"/>
          <w:lang w:val="zh-CN"/>
          <w14:textFill>
            <w14:solidFill>
              <w14:schemeClr w14:val="tx1"/>
            </w14:solidFill>
          </w14:textFill>
        </w:rPr>
        <w:t>合同总价款</w:t>
      </w:r>
    </w:p>
    <w:p w14:paraId="3A23305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000000" w:themeColor="text1"/>
          <w:sz w:val="22"/>
          <w:szCs w:val="22"/>
          <w:highlight w:val="none"/>
          <w:lang w:val="zh-CN"/>
          <w14:textFill>
            <w14:solidFill>
              <w14:schemeClr w14:val="tx1"/>
            </w14:solidFill>
          </w14:textFill>
        </w:rPr>
        <w:t>1、本合同总价为人民币大写：</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元）。</w:t>
      </w:r>
    </w:p>
    <w:p w14:paraId="67345C3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lang w:val="zh-CN"/>
          <w14:textFill>
            <w14:solidFill>
              <w14:schemeClr w14:val="tx1"/>
            </w14:solidFill>
          </w14:textFill>
        </w:rPr>
        <w:t>合同总价即成交价，为一次性报价，不受市场价变化或实际工作量变化的影响。合同</w:t>
      </w:r>
      <w:r>
        <w:rPr>
          <w:rFonts w:hint="eastAsia" w:ascii="宋体" w:hAnsi="宋体" w:eastAsia="宋体" w:cs="宋体"/>
          <w:color w:val="000000" w:themeColor="text1"/>
          <w:sz w:val="22"/>
          <w:szCs w:val="22"/>
          <w:highlight w:val="none"/>
          <w:lang w:val="zh-CN" w:eastAsia="zh-CN"/>
          <w14:textFill>
            <w14:solidFill>
              <w14:schemeClr w14:val="tx1"/>
            </w14:solidFill>
          </w14:textFill>
        </w:rPr>
        <w:t>总价</w:t>
      </w:r>
      <w:r>
        <w:rPr>
          <w:rFonts w:hint="eastAsia" w:ascii="宋体" w:hAnsi="宋体" w:eastAsia="宋体" w:cs="宋体"/>
          <w:color w:val="000000" w:themeColor="text1"/>
          <w:sz w:val="22"/>
          <w:szCs w:val="22"/>
          <w:highlight w:val="none"/>
          <w:lang w:val="zh-CN"/>
          <w14:textFill>
            <w14:solidFill>
              <w14:schemeClr w14:val="tx1"/>
            </w14:solidFill>
          </w14:textFill>
        </w:rPr>
        <w:t>须是完成招标项目范围等全部工作内容的价格体现，包括本项目涉及的设计、设备价格、税金、运杂费（含仓储费、</w:t>
      </w:r>
      <w:r>
        <w:rPr>
          <w:rFonts w:hint="eastAsia" w:ascii="宋体" w:hAnsi="宋体" w:eastAsia="宋体" w:cs="宋体"/>
          <w:color w:val="000000" w:themeColor="text1"/>
          <w:sz w:val="22"/>
          <w:szCs w:val="22"/>
          <w:highlight w:val="none"/>
          <w:lang w:val="zh-CN" w:eastAsia="zh-CN"/>
          <w14:textFill>
            <w14:solidFill>
              <w14:schemeClr w14:val="tx1"/>
            </w14:solidFill>
          </w14:textFill>
        </w:rPr>
        <w:t>运输费、</w:t>
      </w:r>
      <w:r>
        <w:rPr>
          <w:rFonts w:hint="eastAsia" w:ascii="宋体" w:hAnsi="宋体" w:eastAsia="宋体" w:cs="宋体"/>
          <w:color w:val="000000" w:themeColor="text1"/>
          <w:sz w:val="22"/>
          <w:szCs w:val="22"/>
          <w:highlight w:val="none"/>
          <w:lang w:val="zh-CN"/>
          <w14:textFill>
            <w14:solidFill>
              <w14:schemeClr w14:val="tx1"/>
            </w14:solidFill>
          </w14:textFill>
        </w:rPr>
        <w:t>装卸费）、保险费、出厂装箱清单所列易损件、备品备件、与项目相关配套辅助材料及专用工具，安装、调试、技术服务费（含培训、指导）和售后服务等涉及的所有费用以及乙方应交纳的各种政策文件规定的所有费用和所需承担的一切风险的费用。</w:t>
      </w:r>
    </w:p>
    <w:p w14:paraId="625716E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000000" w:themeColor="text1"/>
          <w:sz w:val="22"/>
          <w:szCs w:val="22"/>
          <w:highlight w:val="none"/>
          <w:lang w:val="zh-CN"/>
          <w14:textFill>
            <w14:solidFill>
              <w14:schemeClr w14:val="tx1"/>
            </w14:solidFill>
          </w14:textFill>
        </w:rPr>
        <w:t>3、本合同执行期间合同总价不变，甲方无须另向乙方支付本合同规定之外的其他任何费用。</w:t>
      </w:r>
    </w:p>
    <w:p w14:paraId="34A85E47">
      <w:pPr>
        <w:pageBreakBefore w:val="0"/>
        <w:widowControl w:val="0"/>
        <w:numPr>
          <w:ilvl w:val="0"/>
          <w:numId w:val="0"/>
        </w:numPr>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四、</w:t>
      </w:r>
      <w:r>
        <w:rPr>
          <w:rFonts w:hint="eastAsia" w:ascii="宋体" w:hAnsi="宋体" w:eastAsia="宋体" w:cs="宋体"/>
          <w:b/>
          <w:color w:val="auto"/>
          <w:sz w:val="22"/>
          <w:szCs w:val="22"/>
          <w:highlight w:val="none"/>
        </w:rPr>
        <w:t>付款方式</w:t>
      </w:r>
    </w:p>
    <w:p w14:paraId="58388C5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 预付款，签订合同之日起，达到付款条件起10个工作日内，支付合同总金额的40.0%</w:t>
      </w:r>
    </w:p>
    <w:p w14:paraId="4721BCE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进度款，甲方验收合格后支付，付款前供应商应向甲方提供正规发票，达到付款条件起30个工作日内，支付合同总金额的60.0%</w:t>
      </w:r>
    </w:p>
    <w:p w14:paraId="763F761F">
      <w:pPr>
        <w:pageBreakBefore w:val="0"/>
        <w:widowControl w:val="0"/>
        <w:numPr>
          <w:numId w:val="0"/>
        </w:numPr>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五</w:t>
      </w:r>
      <w:r>
        <w:rPr>
          <w:rFonts w:hint="eastAsia" w:ascii="宋体" w:hAnsi="宋体" w:eastAsia="宋体" w:cs="宋体"/>
          <w:b/>
          <w:color w:val="auto"/>
          <w:sz w:val="22"/>
          <w:szCs w:val="22"/>
          <w:highlight w:val="none"/>
        </w:rPr>
        <w:t>、质量标准</w:t>
      </w:r>
    </w:p>
    <w:p w14:paraId="70EEEF81">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保证所供产品的设计、功能、质量、性能及产品测试等，均应按国家通行的现行标准和相应的技术规范执行，这些标准和技术规范应为合同签订日为止最新公布发行的标准和技术规范，无国家标准的应符合行业标准或企业标准，并满足甲方要求。</w:t>
      </w:r>
    </w:p>
    <w:p w14:paraId="28E9D71A">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2、保证所供硬件进货渠道正规，无假货、水货或翻新货，并能按期交付。</w:t>
      </w:r>
    </w:p>
    <w:p w14:paraId="207AED28">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3、保证所供产品在装卸、运输和仓储过程中有足够的包装保护，防止产品受潮、锈蚀、遭受冲撞及其他不可预见的损坏。</w:t>
      </w:r>
    </w:p>
    <w:p w14:paraId="28A75BFC">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4、所供产品因侵权而产生的一切后果由乙方负责，甲方保留索赔权力。</w:t>
      </w:r>
    </w:p>
    <w:p w14:paraId="6D48B0E0">
      <w:pPr>
        <w:pageBreakBefore w:val="0"/>
        <w:widowControl w:val="0"/>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六</w:t>
      </w:r>
      <w:r>
        <w:rPr>
          <w:rFonts w:hint="eastAsia" w:ascii="宋体" w:hAnsi="宋体" w:eastAsia="宋体" w:cs="宋体"/>
          <w:b/>
          <w:color w:val="auto"/>
          <w:sz w:val="22"/>
          <w:szCs w:val="22"/>
          <w:highlight w:val="none"/>
        </w:rPr>
        <w:t>、验收</w:t>
      </w:r>
      <w:r>
        <w:rPr>
          <w:rFonts w:hint="eastAsia" w:ascii="宋体" w:hAnsi="宋体" w:eastAsia="宋体" w:cs="宋体"/>
          <w:b/>
          <w:color w:val="auto"/>
          <w:sz w:val="22"/>
          <w:szCs w:val="22"/>
          <w:highlight w:val="none"/>
          <w:lang w:val="en-US" w:eastAsia="zh-CN"/>
        </w:rPr>
        <w:t>要求</w:t>
      </w:r>
    </w:p>
    <w:p w14:paraId="54AD2770">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由采购人和中标供应商共同对项目进行整体验收。其内容包括：</w:t>
      </w:r>
    </w:p>
    <w:p w14:paraId="7A1C21D0">
      <w:pPr>
        <w:pageBreakBefore w:val="0"/>
        <w:widowControl w:val="0"/>
        <w:numPr>
          <w:ilvl w:val="0"/>
          <w:numId w:val="1"/>
        </w:numPr>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符合国家标准、行业标准及采购人需求。</w:t>
      </w:r>
    </w:p>
    <w:p w14:paraId="29330D04">
      <w:pPr>
        <w:pageBreakBefore w:val="0"/>
        <w:widowControl w:val="0"/>
        <w:numPr>
          <w:numId w:val="0"/>
        </w:numPr>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2、验收依据（1）招标文件、投标文件、澄清答疑资料（如有）；（2）本合同及附件文本；（3）国家相应的标准、规范。</w:t>
      </w:r>
    </w:p>
    <w:p w14:paraId="38491A6F">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七、售后服务</w:t>
      </w:r>
    </w:p>
    <w:p w14:paraId="6984AC0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发生质量问题，接到采购人通知后： （1）服务响应时间不超过4小时，明确解决问题方案不超过2小时； （2）应于当日4小时内派出专业的维修人员到现场进行检测维修，发生的全部费用由成交供应商承担，若需送回生产厂家，成交供应商承担往返费用； （3）排除故障的期限不得超过2个工作日，否则采购人有权指定第三方维修，维修费用由成交供应商承担。</w:t>
      </w:r>
    </w:p>
    <w:p w14:paraId="2D0A0566">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八、</w:t>
      </w:r>
      <w:r>
        <w:rPr>
          <w:rFonts w:hint="eastAsia" w:ascii="宋体" w:hAnsi="宋体" w:eastAsia="宋体" w:cs="宋体"/>
          <w:b/>
          <w:bCs/>
          <w:color w:val="000000" w:themeColor="text1"/>
          <w:sz w:val="22"/>
          <w:szCs w:val="22"/>
          <w:highlight w:val="none"/>
          <w:lang w:val="zh-CN"/>
          <w14:textFill>
            <w14:solidFill>
              <w14:schemeClr w14:val="tx1"/>
            </w14:solidFill>
          </w14:textFill>
        </w:rPr>
        <w:t>不可抗力事件处理</w:t>
      </w:r>
    </w:p>
    <w:p w14:paraId="729AC59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1、在合同有效期内，任何一方因不可抗力事件导致不能履行合同，则合同履行期可延长，其延长期与不可抗力影响期相同。</w:t>
      </w:r>
    </w:p>
    <w:p w14:paraId="377B395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2、不可抗力事件发生后，应立即通知对方，并寄送有关权威机构出具的证明。</w:t>
      </w:r>
    </w:p>
    <w:p w14:paraId="4ADF586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3、不可抗力事件延续</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天以上，双方应通过友好协商，确定是否继续履行合同。</w:t>
      </w:r>
    </w:p>
    <w:p w14:paraId="5CDB1836">
      <w:pPr>
        <w:pageBreakBefore w:val="0"/>
        <w:widowControl w:val="0"/>
        <w:kinsoku/>
        <w:wordWrap/>
        <w:overflowPunct/>
        <w:topLinePunct w:val="0"/>
        <w:bidi w:val="0"/>
        <w:spacing w:line="360" w:lineRule="auto"/>
        <w:ind w:firstLine="48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双方约定不可抗力情况指：双方不可预见、不可避免、不可克服的客观情况，但不包括双方的违约或疏忽。这些事件包括但不限于：战争、严重火灾、洪水、台风、地震等。</w:t>
      </w:r>
    </w:p>
    <w:p w14:paraId="5E3E3A95">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九、</w:t>
      </w:r>
      <w:r>
        <w:rPr>
          <w:rFonts w:hint="eastAsia" w:ascii="宋体" w:hAnsi="宋体" w:eastAsia="宋体" w:cs="宋体"/>
          <w:b/>
          <w:color w:val="auto"/>
          <w:sz w:val="22"/>
          <w:szCs w:val="22"/>
          <w:highlight w:val="none"/>
        </w:rPr>
        <w:t>违约责任</w:t>
      </w:r>
    </w:p>
    <w:p w14:paraId="1E78C8F7">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按《中华人民共和国政府采购法》及其实施条例、《中华人民共和国民法典》中的相关条款执行。</w:t>
      </w:r>
    </w:p>
    <w:p w14:paraId="2246F39E">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乙方未按合同或</w:t>
      </w:r>
      <w:r>
        <w:rPr>
          <w:rFonts w:hint="eastAsia" w:ascii="宋体" w:hAnsi="宋体" w:eastAsia="宋体" w:cs="宋体"/>
          <w:color w:val="auto"/>
          <w:sz w:val="22"/>
          <w:szCs w:val="22"/>
          <w:highlight w:val="none"/>
          <w:lang w:val="en-US" w:eastAsia="zh-CN"/>
        </w:rPr>
        <w:t>招标</w:t>
      </w:r>
      <w:r>
        <w:rPr>
          <w:rFonts w:hint="eastAsia" w:ascii="宋体" w:hAnsi="宋体" w:eastAsia="宋体" w:cs="宋体"/>
          <w:color w:val="auto"/>
          <w:sz w:val="22"/>
          <w:szCs w:val="22"/>
          <w:highlight w:val="none"/>
        </w:rPr>
        <w:t>文件要求提供服务或供应的产品质量、指标不能满足甲方技术要求，甲方有权终止合同，甚至对乙方违约行为进行追究。</w:t>
      </w:r>
    </w:p>
    <w:p w14:paraId="3071530C">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乙方的</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rPr>
        <w:t>文件为签订正式书面合同书不可分割的部分，乙方应履行相应的责任。</w:t>
      </w:r>
    </w:p>
    <w:p w14:paraId="17FA6247">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十、知识产权</w:t>
      </w:r>
    </w:p>
    <w:p w14:paraId="2D4FC0F1">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default" w:ascii="宋体" w:hAnsi="宋体" w:eastAsia="宋体" w:cs="宋体"/>
          <w:color w:val="auto"/>
          <w:sz w:val="22"/>
          <w:szCs w:val="22"/>
          <w:highlight w:val="none"/>
          <w:lang w:val="en-US" w:eastAsia="zh-CN"/>
        </w:rPr>
      </w:pPr>
      <w:r>
        <w:rPr>
          <w:rFonts w:hint="default" w:ascii="宋体" w:hAnsi="宋体" w:eastAsia="宋体" w:cs="宋体"/>
          <w:color w:val="auto"/>
          <w:sz w:val="22"/>
          <w:szCs w:val="22"/>
          <w:highlight w:val="none"/>
          <w:lang w:val="en-US" w:eastAsia="zh-CN"/>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28570D07">
      <w:pPr>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十一</w:t>
      </w:r>
      <w:r>
        <w:rPr>
          <w:rFonts w:hint="eastAsia" w:ascii="宋体" w:hAnsi="宋体" w:eastAsia="宋体" w:cs="宋体"/>
          <w:b/>
          <w:bCs/>
          <w:color w:val="auto"/>
          <w:sz w:val="22"/>
          <w:szCs w:val="22"/>
          <w:highlight w:val="none"/>
        </w:rPr>
        <w:t>、保密条款</w:t>
      </w:r>
    </w:p>
    <w:p w14:paraId="2DA381BB">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甲乙双方均有责任对本合同内容保守秘密，对因协议内容的公开而造成经济和名誉损失，有责任的一方应该承担法律责任。</w:t>
      </w:r>
    </w:p>
    <w:p w14:paraId="6281E912">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lang w:val="en-US" w:eastAsia="zh-CN"/>
        </w:rPr>
        <w:t>2、</w:t>
      </w:r>
      <w:r>
        <w:rPr>
          <w:rFonts w:hint="eastAsia" w:ascii="宋体" w:hAnsi="宋体" w:eastAsia="宋体" w:cs="宋体"/>
          <w:bCs/>
          <w:color w:val="auto"/>
          <w:sz w:val="22"/>
          <w:szCs w:val="22"/>
          <w:highlight w:val="none"/>
        </w:rPr>
        <w:t>乙方在服务过程中必须严格遵守甲方相关规定。</w:t>
      </w:r>
    </w:p>
    <w:p w14:paraId="0D348A6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十二、</w:t>
      </w:r>
      <w:r>
        <w:rPr>
          <w:rFonts w:hint="eastAsia" w:ascii="宋体" w:hAnsi="宋体" w:eastAsia="宋体" w:cs="宋体"/>
          <w:b/>
          <w:bCs/>
          <w:color w:val="000000" w:themeColor="text1"/>
          <w:sz w:val="22"/>
          <w:szCs w:val="22"/>
          <w:highlight w:val="none"/>
          <w:lang w:val="zh-CN"/>
          <w14:textFill>
            <w14:solidFill>
              <w14:schemeClr w14:val="tx1"/>
            </w14:solidFill>
          </w14:textFill>
        </w:rPr>
        <w:t>合同的变更和终止</w:t>
      </w:r>
    </w:p>
    <w:p w14:paraId="4D72FC7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合同一经签订，不得擅自变更、中止或者终止合同。对确需变更、调整或者中止、终止合同的，应按规定履行相应的手续。</w:t>
      </w:r>
    </w:p>
    <w:p w14:paraId="01E07CCA">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十三、</w:t>
      </w:r>
      <w:r>
        <w:rPr>
          <w:rFonts w:hint="eastAsia" w:ascii="宋体" w:hAnsi="宋体" w:eastAsia="宋体" w:cs="宋体"/>
          <w:b/>
          <w:bCs/>
          <w:color w:val="000000" w:themeColor="text1"/>
          <w:sz w:val="22"/>
          <w:szCs w:val="22"/>
          <w:highlight w:val="none"/>
          <w:lang w:val="zh-CN"/>
          <w14:textFill>
            <w14:solidFill>
              <w14:schemeClr w14:val="tx1"/>
            </w14:solidFill>
          </w14:textFill>
        </w:rPr>
        <w:t>解决合同纠纷的方式</w:t>
      </w:r>
    </w:p>
    <w:p w14:paraId="0C267E5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1、在执行本合同中发生的或与本合同有关的争端，双方应通过友好协商解决，经协商在</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天内不能达成协议时，则采取以下第____种方式解决争议：</w:t>
      </w:r>
    </w:p>
    <w:p w14:paraId="362C1BF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（1）向甲方所在地有管辖权的人民法院提起诉讼；</w:t>
      </w:r>
    </w:p>
    <w:p w14:paraId="47B0168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（2）向____________仲裁委员会按其仲裁规则申请仲裁。</w:t>
      </w:r>
    </w:p>
    <w:p w14:paraId="4665ACA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2、在仲裁期间，本合同应继续履行。</w:t>
      </w:r>
    </w:p>
    <w:p w14:paraId="3C8E7037">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十四、</w:t>
      </w:r>
      <w:r>
        <w:rPr>
          <w:rFonts w:hint="eastAsia" w:ascii="宋体" w:hAnsi="宋体" w:eastAsia="宋体" w:cs="宋体"/>
          <w:b/>
          <w:bCs/>
          <w:color w:val="000000" w:themeColor="text1"/>
          <w:sz w:val="22"/>
          <w:szCs w:val="22"/>
          <w:highlight w:val="none"/>
          <w:lang w:val="zh-CN"/>
          <w14:textFill>
            <w14:solidFill>
              <w14:schemeClr w14:val="tx1"/>
            </w14:solidFill>
          </w14:textFill>
        </w:rPr>
        <w:t>合同的转让</w:t>
      </w:r>
    </w:p>
    <w:p w14:paraId="20C701A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乙方不得擅自部分或全部转让其应履行的合同义务。</w:t>
      </w:r>
    </w:p>
    <w:p w14:paraId="7458F1D4">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 xml:space="preserve">十五、补充协议 </w:t>
      </w:r>
    </w:p>
    <w:p w14:paraId="1D7E77A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合同未尽事宜，经双方协商可签订补充协议，所签订的补充协议与本合同具有同等的法律效力，补充协议的生效应符合本合同的有关规定。合同补充条款应同时报同级财政部门备案。</w:t>
      </w:r>
    </w:p>
    <w:p w14:paraId="2A533E71">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十六、</w:t>
      </w:r>
      <w:r>
        <w:rPr>
          <w:rFonts w:hint="eastAsia" w:ascii="宋体" w:hAnsi="宋体" w:eastAsia="宋体" w:cs="宋体"/>
          <w:b/>
          <w:bCs/>
          <w:color w:val="000000" w:themeColor="text1"/>
          <w:sz w:val="22"/>
          <w:szCs w:val="22"/>
          <w:highlight w:val="none"/>
          <w:lang w:val="zh-CN"/>
          <w14:textFill>
            <w14:solidFill>
              <w14:schemeClr w14:val="tx1"/>
            </w14:solidFill>
          </w14:textFill>
        </w:rPr>
        <w:t>合同生效及其他</w:t>
      </w:r>
    </w:p>
    <w:p w14:paraId="6CB429E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1、本合同自签订之日起生效。</w:t>
      </w:r>
    </w:p>
    <w:p w14:paraId="3733B0A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2、本合同一式</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份，甲乙双方各执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份</w:t>
      </w:r>
      <w:r>
        <w:rPr>
          <w:rFonts w:hint="eastAsia" w:ascii="宋体" w:hAnsi="宋体" w:eastAsia="宋体" w:cs="宋体"/>
          <w:color w:val="000000" w:themeColor="text1"/>
          <w:sz w:val="22"/>
          <w:szCs w:val="22"/>
          <w:highlight w:val="none"/>
          <w14:textFill>
            <w14:solidFill>
              <w14:schemeClr w14:val="tx1"/>
            </w14:solidFill>
          </w14:textFill>
        </w:rPr>
        <w:t>。</w:t>
      </w:r>
    </w:p>
    <w:p w14:paraId="6A7564A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3、本合同应按照中华人民共和国的现行法律进行解释。</w:t>
      </w:r>
    </w:p>
    <w:p w14:paraId="43DF5E8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十七、</w:t>
      </w:r>
      <w:r>
        <w:rPr>
          <w:rFonts w:hint="eastAsia" w:ascii="宋体" w:hAnsi="宋体" w:eastAsia="宋体" w:cs="宋体"/>
          <w:b/>
          <w:bCs/>
          <w:color w:val="000000" w:themeColor="text1"/>
          <w:sz w:val="22"/>
          <w:szCs w:val="22"/>
          <w:highlight w:val="none"/>
          <w:lang w:val="zh-CN"/>
          <w14:textFill>
            <w14:solidFill>
              <w14:schemeClr w14:val="tx1"/>
            </w14:solidFill>
          </w14:textFill>
        </w:rPr>
        <w:t>组成本合同的文件</w:t>
      </w:r>
    </w:p>
    <w:p w14:paraId="5F2E4DF2">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w:t>
      </w:r>
      <w:r>
        <w:rPr>
          <w:rFonts w:hint="eastAsia" w:ascii="宋体" w:hAnsi="宋体" w:eastAsia="宋体" w:cs="宋体"/>
          <w:color w:val="000000" w:themeColor="text1"/>
          <w:sz w:val="22"/>
          <w:szCs w:val="22"/>
          <w:highlight w:val="none"/>
          <w:lang w:val="en-US" w:eastAsia="zh-CN"/>
          <w14:textFill>
            <w14:solidFill>
              <w14:schemeClr w14:val="tx1"/>
            </w14:solidFill>
          </w14:textFill>
        </w:rPr>
        <w:t>中标</w:t>
      </w:r>
      <w:r>
        <w:rPr>
          <w:rFonts w:hint="eastAsia" w:ascii="宋体" w:hAnsi="宋体" w:eastAsia="宋体" w:cs="宋体"/>
          <w:color w:val="000000" w:themeColor="text1"/>
          <w:sz w:val="22"/>
          <w:szCs w:val="22"/>
          <w:highlight w:val="none"/>
          <w:lang w:val="zh-CN"/>
          <w14:textFill>
            <w14:solidFill>
              <w14:schemeClr w14:val="tx1"/>
            </w14:solidFill>
          </w14:textFill>
        </w:rPr>
        <w:t>通知书</w:t>
      </w:r>
    </w:p>
    <w:p w14:paraId="071D3E4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2、</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lang w:val="zh-CN"/>
        </w:rPr>
        <w:t>文件</w:t>
      </w:r>
    </w:p>
    <w:p w14:paraId="3446BD9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3、澄清文件</w:t>
      </w:r>
    </w:p>
    <w:p w14:paraId="2657C5C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4、招标文件</w:t>
      </w:r>
    </w:p>
    <w:p w14:paraId="36DB49E7">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5、其他</w:t>
      </w:r>
    </w:p>
    <w:p w14:paraId="528937B9">
      <w:pPr>
        <w:pStyle w:val="2"/>
        <w:spacing w:line="360" w:lineRule="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sz w:val="22"/>
          <w:szCs w:val="22"/>
          <w:lang w:val="zh-CN"/>
        </w:rPr>
        <w:t>（</w:t>
      </w:r>
      <w:r>
        <w:rPr>
          <w:rFonts w:hint="eastAsia" w:ascii="宋体" w:hAnsi="宋体" w:eastAsia="宋体" w:cs="宋体"/>
          <w:sz w:val="22"/>
          <w:szCs w:val="22"/>
          <w:lang w:val="en-US" w:eastAsia="zh-CN"/>
        </w:rPr>
        <w:t>本页无正文</w:t>
      </w:r>
      <w:r>
        <w:rPr>
          <w:rFonts w:hint="eastAsia" w:ascii="宋体" w:hAnsi="宋体" w:eastAsia="宋体" w:cs="宋体"/>
          <w:sz w:val="22"/>
          <w:szCs w:val="22"/>
          <w:lang w:val="zh-CN"/>
        </w:rPr>
        <w:t>）</w:t>
      </w:r>
    </w:p>
    <w:p w14:paraId="0622F2F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采购人（甲方）：（盖章）</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供应商（乙方）：（盖章）   </w:t>
      </w:r>
    </w:p>
    <w:p w14:paraId="5DDA6D1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地 址：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地  址：                    </w:t>
      </w:r>
    </w:p>
    <w:p w14:paraId="7EEF6FCD">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邮政编码：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邮政编码：                  </w:t>
      </w:r>
    </w:p>
    <w:p w14:paraId="6DC8BC7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法定代表人或其授权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法定代表人或其授权</w:t>
      </w:r>
    </w:p>
    <w:p w14:paraId="3637153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的代理人：（签字或盖章）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的代理人：（签字或盖章）    </w:t>
      </w:r>
    </w:p>
    <w:p w14:paraId="5C5E278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开户银行：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开户银行：                  </w:t>
      </w:r>
    </w:p>
    <w:p w14:paraId="6855E2D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账号：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账号：                       </w:t>
      </w:r>
    </w:p>
    <w:p w14:paraId="4700196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电话：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电话：                      </w:t>
      </w:r>
    </w:p>
    <w:p w14:paraId="696D065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传真：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传真：                      </w:t>
      </w:r>
    </w:p>
    <w:p w14:paraId="405FE8C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电子邮箱：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电子邮箱：                  </w:t>
      </w:r>
    </w:p>
    <w:p w14:paraId="2937AB0C">
      <w:pPr>
        <w:pStyle w:val="7"/>
        <w:spacing w:line="360" w:lineRule="auto"/>
      </w:pPr>
      <w:r>
        <w:rPr>
          <w:rFonts w:hint="eastAsia" w:ascii="宋体" w:hAnsi="宋体" w:eastAsia="宋体" w:cs="宋体"/>
          <w:color w:val="000000" w:themeColor="text1"/>
          <w:sz w:val="20"/>
          <w:szCs w:val="20"/>
          <w:highlight w:val="none"/>
          <w:lang w:val="zh-CN"/>
          <w14:textFill>
            <w14:solidFill>
              <w14:schemeClr w14:val="tx1"/>
            </w14:solidFill>
          </w14:textFill>
        </w:rPr>
        <w:t>注：本合同未定事宜，双方可根据具体情况结合有关规定另行签订补充协议，补充协议与本合同具有同等法律效力。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CEE529"/>
    <w:multiLevelType w:val="singleLevel"/>
    <w:tmpl w:val="DCCEE52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64178"/>
    <w:rsid w:val="02793D4F"/>
    <w:rsid w:val="2C341FC8"/>
    <w:rsid w:val="2D2B79D4"/>
    <w:rsid w:val="6DDB7228"/>
    <w:rsid w:val="7B99362E"/>
    <w:rsid w:val="7C064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snapToGrid w:val="0"/>
      <w:spacing w:before="10" w:after="10" w:line="500" w:lineRule="atLeast"/>
      <w:ind w:firstLine="200" w:firstLineChars="200"/>
    </w:pPr>
    <w:rPr>
      <w:kern w:val="0"/>
      <w:sz w:val="28"/>
      <w:szCs w:val="20"/>
    </w:rPr>
  </w:style>
  <w:style w:type="paragraph" w:styleId="3">
    <w:name w:val="Body Text"/>
    <w:basedOn w:val="1"/>
    <w:unhideWhenUsed/>
    <w:qFormat/>
    <w:uiPriority w:val="99"/>
    <w:pPr>
      <w:spacing w:after="120"/>
    </w:p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2827</Words>
  <Characters>2870</Characters>
  <Lines>0</Lines>
  <Paragraphs>0</Paragraphs>
  <TotalTime>2</TotalTime>
  <ScaleCrop>false</ScaleCrop>
  <LinksUpToDate>false</LinksUpToDate>
  <CharactersWithSpaces>3576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2026-05-06T03:27:00Z</dcterms:created>
  <dc:creator>Administrator</dc:creator>
  <cp:lastModifiedBy>10</cp:lastModifiedBy>
  <dcterms:modified xsi:type="dcterms:W3CDTF">2026-07-23T02:11:49Z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7ED7A8E46E9447B1970063034E0E3ECC_11</vt:lpwstr>
  </property>
  <property fmtid="{D5CDD505-2E9C-101B-9397-08002B2CF9AE}" pid="4" name="KSOTemplateDocerSaveRecord">
    <vt:lpwstr>eyJoZGlkIjoiNjRjOWY0MjVjMjAwODhhZDcxMzJhMWI2N2U4MzhjMjAiLCJ1c2VySWQiOiI2MTI0ODUxNzAifQ==</vt:lpwstr>
  </property>
</Properties>
</file>