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版本号：JXRC-260530.1B120260618001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无掩模紫外光刻机采购项目(二次)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JXRC-260530.1B1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无掩模紫外光刻机采购项目(二次)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JXRC-260530.1B1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无掩模紫外光刻机采购项目(二次)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为提升学校全课程体系的教学实验平台水平，建立现代分析测试中心微纳加工光刻实验室模块儿，拟采购一套无掩模紫外光刻机。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采购包1（无掩模紫外光刻机采购项目）：属于专门面向中小企业采购。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开户银行：民生银行西安分行营业部(备注:转账时须附言“260530投标保证金”)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为提升学校全课程体系的教学实验平台水平，建立现代分析测试中心微纳加工光刻实验室模块儿，拟采购一套无掩模紫外光刻机。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无掩模紫外光刻机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标的名称：无掩模紫外光刻机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光源与曝光系统</w:t>
            </w:r>
          </w:p>
          <w:p>
            <w:pPr>
              <w:pStyle w:val="null3"/>
            </w:pPr>
            <w:r>
              <w:rPr>
                <w:rFonts w:ascii="仿宋_GB2312" w:hAnsi="仿宋_GB2312" w:cs="仿宋_GB2312" w:eastAsia="仿宋_GB2312"/>
                <w:sz w:val="24"/>
              </w:rPr>
              <w:t>★1.1光源波长：配置中心波长为365nm±2nm和405nm±2nm的双波段紫外LED光源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1.2</w:t>
            </w:r>
            <w:r>
              <w:rPr>
                <w:rFonts w:ascii="仿宋_GB2312" w:hAnsi="仿宋_GB2312" w:cs="仿宋_GB2312" w:eastAsia="仿宋_GB2312"/>
                <w:sz w:val="24"/>
              </w:rPr>
              <w:t>光源寿命：使用寿命≥1万小时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1.3</w:t>
            </w:r>
            <w:r>
              <w:rPr>
                <w:rFonts w:ascii="仿宋_GB2312" w:hAnsi="仿宋_GB2312" w:cs="仿宋_GB2312" w:eastAsia="仿宋_GB2312"/>
                <w:sz w:val="24"/>
              </w:rPr>
              <w:t>曝光速度：单次曝光时间≤300毫秒</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1.4</w:t>
            </w:r>
            <w:r>
              <w:rPr>
                <w:rFonts w:ascii="仿宋_GB2312" w:hAnsi="仿宋_GB2312" w:cs="仿宋_GB2312" w:eastAsia="仿宋_GB2312"/>
                <w:sz w:val="24"/>
              </w:rPr>
              <w:t>曝光均匀度：≥90%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1.5</w:t>
            </w:r>
            <w:r>
              <w:rPr>
                <w:rFonts w:ascii="仿宋_GB2312" w:hAnsi="仿宋_GB2312" w:cs="仿宋_GB2312" w:eastAsia="仿宋_GB2312"/>
                <w:sz w:val="24"/>
              </w:rPr>
              <w:t>对焦技术：支持压电主动自动对焦或光学（激光）主动自动对焦，对焦速度≤1秒</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▲1.6灰度曝光能力：支持8位灰度光刻，可用于制备三维微结构或渐变图形</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1.7</w:t>
            </w:r>
            <w:r>
              <w:rPr>
                <w:rFonts w:ascii="仿宋_GB2312" w:hAnsi="仿宋_GB2312" w:cs="仿宋_GB2312" w:eastAsia="仿宋_GB2312"/>
                <w:sz w:val="24"/>
              </w:rPr>
              <w:t>模组化光学引擎：模块化光学系统</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光刻镜头及无掩模技术：</w:t>
            </w:r>
          </w:p>
          <w:p>
            <w:pPr>
              <w:pStyle w:val="null3"/>
            </w:pPr>
            <w:r>
              <w:rPr>
                <w:rFonts w:ascii="仿宋_GB2312" w:hAnsi="仿宋_GB2312" w:cs="仿宋_GB2312" w:eastAsia="仿宋_GB2312"/>
                <w:sz w:val="24"/>
              </w:rPr>
              <w:t>▲2.1至少配备4个光刻镜头（50×(必选)，20×，10×，5×）中的3个</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2.2</w:t>
            </w:r>
            <w:r>
              <w:rPr>
                <w:rFonts w:ascii="仿宋_GB2312" w:hAnsi="仿宋_GB2312" w:cs="仿宋_GB2312" w:eastAsia="仿宋_GB2312"/>
                <w:sz w:val="24"/>
              </w:rPr>
              <w:t>配备基于数字微透镜（DMD）的无掩模光刻技术</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2.3DMD</w:t>
            </w:r>
            <w:r>
              <w:rPr>
                <w:rFonts w:ascii="仿宋_GB2312" w:hAnsi="仿宋_GB2312" w:cs="仿宋_GB2312" w:eastAsia="仿宋_GB2312"/>
                <w:sz w:val="24"/>
              </w:rPr>
              <w:t>显示分辨率至少2880×1620</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分辨率与最小线宽</w:t>
            </w:r>
          </w:p>
          <w:p>
            <w:pPr>
              <w:pStyle w:val="null3"/>
            </w:pPr>
            <w:r>
              <w:rPr>
                <w:rFonts w:ascii="仿宋_GB2312" w:hAnsi="仿宋_GB2312" w:cs="仿宋_GB2312" w:eastAsia="仿宋_GB2312"/>
                <w:sz w:val="24"/>
              </w:rPr>
              <w:t>★3.1最小特征线宽：≤0.5μm（@50×镜头）；≤0.8μm（@20×镜头）；≤1.5μm（@10×镜头）；≤3μm（@5×镜头）</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3.2</w:t>
            </w:r>
            <w:r>
              <w:rPr>
                <w:rFonts w:ascii="仿宋_GB2312" w:hAnsi="仿宋_GB2312" w:cs="仿宋_GB2312" w:eastAsia="仿宋_GB2312"/>
                <w:sz w:val="24"/>
              </w:rPr>
              <w:t>单场曝光速度：≥3mm</w:t>
            </w:r>
            <w:r>
              <w:rPr>
                <w:rFonts w:ascii="仿宋_GB2312" w:hAnsi="仿宋_GB2312" w:cs="仿宋_GB2312" w:eastAsia="仿宋_GB2312"/>
                <w:sz w:val="24"/>
                <w:vertAlign w:val="superscript"/>
              </w:rPr>
              <w:t>2</w:t>
            </w:r>
            <w:r>
              <w:rPr>
                <w:rFonts w:ascii="仿宋_GB2312" w:hAnsi="仿宋_GB2312" w:cs="仿宋_GB2312" w:eastAsia="仿宋_GB2312"/>
                <w:sz w:val="24"/>
              </w:rPr>
              <w:t>/min（@50×镜头）；≥15mm</w:t>
            </w:r>
            <w:r>
              <w:rPr>
                <w:rFonts w:ascii="仿宋_GB2312" w:hAnsi="仿宋_GB2312" w:cs="仿宋_GB2312" w:eastAsia="仿宋_GB2312"/>
                <w:sz w:val="24"/>
                <w:vertAlign w:val="superscript"/>
              </w:rPr>
              <w:t>2</w:t>
            </w:r>
            <w:r>
              <w:rPr>
                <w:rFonts w:ascii="仿宋_GB2312" w:hAnsi="仿宋_GB2312" w:cs="仿宋_GB2312" w:eastAsia="仿宋_GB2312"/>
                <w:sz w:val="24"/>
              </w:rPr>
              <w:t>/min（@20×镜头）；≥60mm</w:t>
            </w:r>
            <w:r>
              <w:rPr>
                <w:rFonts w:ascii="仿宋_GB2312" w:hAnsi="仿宋_GB2312" w:cs="仿宋_GB2312" w:eastAsia="仿宋_GB2312"/>
                <w:sz w:val="24"/>
                <w:vertAlign w:val="superscript"/>
              </w:rPr>
              <w:t>2</w:t>
            </w:r>
            <w:r>
              <w:rPr>
                <w:rFonts w:ascii="仿宋_GB2312" w:hAnsi="仿宋_GB2312" w:cs="仿宋_GB2312" w:eastAsia="仿宋_GB2312"/>
                <w:sz w:val="24"/>
              </w:rPr>
              <w:t>/min（@10×镜头）；≥200mm</w:t>
            </w:r>
            <w:r>
              <w:rPr>
                <w:rFonts w:ascii="仿宋_GB2312" w:hAnsi="仿宋_GB2312" w:cs="仿宋_GB2312" w:eastAsia="仿宋_GB2312"/>
                <w:sz w:val="24"/>
                <w:vertAlign w:val="superscript"/>
              </w:rPr>
              <w:t>2</w:t>
            </w:r>
            <w:r>
              <w:rPr>
                <w:rFonts w:ascii="仿宋_GB2312" w:hAnsi="仿宋_GB2312" w:cs="仿宋_GB2312" w:eastAsia="仿宋_GB2312"/>
                <w:sz w:val="24"/>
              </w:rPr>
              <w:t>/min（@5×镜头）</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套刻与拼接精度</w:t>
            </w:r>
          </w:p>
          <w:p>
            <w:pPr>
              <w:pStyle w:val="null3"/>
            </w:pPr>
            <w:r>
              <w:rPr>
                <w:rFonts w:ascii="仿宋_GB2312" w:hAnsi="仿宋_GB2312" w:cs="仿宋_GB2312" w:eastAsia="仿宋_GB2312"/>
                <w:sz w:val="24"/>
              </w:rPr>
              <w:t>▲4.1套刻精度：≤1μm（@10mm×10mm区域）</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▲4.2拼接精度：误差控制在±0.3μm以内</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▲4.3最大拼接面积：≥100mm×100mm</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运动台与定位精度</w:t>
            </w:r>
          </w:p>
          <w:p>
            <w:pPr>
              <w:pStyle w:val="null3"/>
            </w:pPr>
            <w:r>
              <w:rPr>
                <w:rFonts w:ascii="仿宋_GB2312" w:hAnsi="仿宋_GB2312" w:cs="仿宋_GB2312" w:eastAsia="仿宋_GB2312"/>
                <w:sz w:val="24"/>
              </w:rPr>
              <w:t>5.1</w:t>
            </w:r>
            <w:r>
              <w:rPr>
                <w:rFonts w:ascii="仿宋_GB2312" w:hAnsi="仿宋_GB2312" w:cs="仿宋_GB2312" w:eastAsia="仿宋_GB2312"/>
                <w:sz w:val="24"/>
              </w:rPr>
              <w:t>位移台性能：X/Y轴重复定位精度优于±0.2μm（100mm行程），Z轴分辨率≤10nm</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rPr>
              <w:t>5.2</w:t>
            </w:r>
            <w:r>
              <w:rPr>
                <w:rFonts w:ascii="仿宋_GB2312" w:hAnsi="仿宋_GB2312" w:cs="仿宋_GB2312" w:eastAsia="仿宋_GB2312"/>
                <w:sz w:val="24"/>
              </w:rPr>
              <w:t>多轴调节功能：精密电动XY位移台、调平平台</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软件功能</w:t>
            </w:r>
          </w:p>
          <w:p>
            <w:pPr>
              <w:pStyle w:val="null3"/>
            </w:pPr>
            <w:r>
              <w:rPr>
                <w:rFonts w:ascii="仿宋_GB2312" w:hAnsi="仿宋_GB2312" w:cs="仿宋_GB2312" w:eastAsia="仿宋_GB2312"/>
                <w:sz w:val="24"/>
              </w:rPr>
              <w:t>6.1</w:t>
            </w:r>
            <w:r>
              <w:rPr>
                <w:rFonts w:ascii="仿宋_GB2312" w:hAnsi="仿宋_GB2312" w:cs="仿宋_GB2312" w:eastAsia="仿宋_GB2312"/>
                <w:sz w:val="24"/>
              </w:rPr>
              <w:t>原位绘图：支持TIFF、JPG、GDS、BMP、PNG等多格式文件，可经软件直接绘制。</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6.2</w:t>
            </w:r>
            <w:r>
              <w:rPr>
                <w:rFonts w:ascii="仿宋_GB2312" w:hAnsi="仿宋_GB2312" w:cs="仿宋_GB2312" w:eastAsia="仿宋_GB2312"/>
                <w:sz w:val="24"/>
              </w:rPr>
              <w:t>智能辅助：具备物像绑定、拼接校正、畸变矫正、OPC邻近效应修正等功能，提升光刻图形质量</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rPr>
              <w:t>6.3</w:t>
            </w:r>
            <w:r>
              <w:rPr>
                <w:rFonts w:ascii="仿宋_GB2312" w:hAnsi="仿宋_GB2312" w:cs="仿宋_GB2312" w:eastAsia="仿宋_GB2312"/>
                <w:sz w:val="24"/>
              </w:rPr>
              <w:t>自动化流程：支持软件控制自动对焦（如CCD图像对焦、压电自动对焦或激光主动对焦）、自动曝光与多场拼接</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样品台</w:t>
            </w:r>
          </w:p>
          <w:p>
            <w:pPr>
              <w:pStyle w:val="null3"/>
            </w:pPr>
            <w:r>
              <w:rPr>
                <w:rFonts w:ascii="仿宋_GB2312" w:hAnsi="仿宋_GB2312" w:cs="仿宋_GB2312" w:eastAsia="仿宋_GB2312"/>
                <w:sz w:val="24"/>
              </w:rPr>
              <w:t>7.1</w:t>
            </w:r>
            <w:r>
              <w:rPr>
                <w:rFonts w:ascii="仿宋_GB2312" w:hAnsi="仿宋_GB2312" w:cs="仿宋_GB2312" w:eastAsia="仿宋_GB2312"/>
                <w:sz w:val="24"/>
              </w:rPr>
              <w:t>基底尺寸：既支持10mm×10mm的小样品，也支持4英寸或更大的晶圆基片</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7.2</w:t>
            </w:r>
            <w:r>
              <w:rPr>
                <w:rFonts w:ascii="仿宋_GB2312" w:hAnsi="仿宋_GB2312" w:cs="仿宋_GB2312" w:eastAsia="仿宋_GB2312"/>
                <w:sz w:val="24"/>
              </w:rPr>
              <w:t>样品厚度：兼容厚度0~5mm的样品，适配硅片、玻璃、柔性衬底等多种材料</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rPr>
              <w:t>8.</w:t>
            </w:r>
            <w:r>
              <w:rPr>
                <w:rFonts w:ascii="仿宋_GB2312" w:hAnsi="仿宋_GB2312" w:cs="仿宋_GB2312" w:eastAsia="仿宋_GB2312"/>
                <w:sz w:val="24"/>
              </w:rPr>
              <w:t>附属系统:配置气浮减震平台（尺寸：需光刻机主机尺寸相匹配）</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数据处理终端及操作软件</w:t>
            </w:r>
          </w:p>
          <w:p>
            <w:pPr>
              <w:pStyle w:val="null3"/>
            </w:pPr>
            <w:r>
              <w:rPr>
                <w:rFonts w:ascii="仿宋_GB2312" w:hAnsi="仿宋_GB2312" w:cs="仿宋_GB2312" w:eastAsia="仿宋_GB2312"/>
                <w:sz w:val="24"/>
              </w:rPr>
              <w:t>9.1</w:t>
            </w:r>
            <w:r>
              <w:rPr>
                <w:rFonts w:ascii="仿宋_GB2312" w:hAnsi="仿宋_GB2312" w:cs="仿宋_GB2312" w:eastAsia="仿宋_GB2312"/>
                <w:sz w:val="24"/>
              </w:rPr>
              <w:t>配置1套可用于操控光刻实验及数据采集与存储系统CPU核心数≥8核、主频≥3.5GHz；DDR5内存容量≥32G；SSD硬盘容量≥1TB、液晶显示屏尺寸≥25英寸（分辨率≥1920</w:t>
            </w:r>
            <w:r>
              <w:rPr>
                <w:rFonts w:ascii="仿宋_GB2312" w:hAnsi="仿宋_GB2312" w:cs="仿宋_GB2312" w:eastAsia="仿宋_GB2312"/>
                <w:sz w:val="24"/>
              </w:rPr>
              <w:t>×1080</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rPr>
              <w:t>9.2</w:t>
            </w:r>
            <w:r>
              <w:rPr>
                <w:rFonts w:ascii="仿宋_GB2312" w:hAnsi="仿宋_GB2312" w:cs="仿宋_GB2312" w:eastAsia="仿宋_GB2312"/>
                <w:sz w:val="24"/>
              </w:rPr>
              <w:t>软件：预装具有原位绘图、图案载入、图案拼接/剪裁、光刻套刻控制、拼接精度校正等功能的软件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进度款，设备运抵甲方指定地点并经甲方初步查验无误后，达到付款条件起9个工作日内，支付合同总金额的30.0%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进度款，设备安装调试完成，经甲方验收合格并签署《验收合格报告》后，乙方开具全额合法有效的增值税专用发票，达到付款条件起9个工作日内，支付合同总金额的30.0%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招标文件、投标文件及技术澄清文件（函）），《购置合同》（包括合同的配置清单、技术规格资料、技术协议、补充协议等）、装运单据（包括航空、铁路、公路、轮船、邮寄和快递等运单）和装箱清单等； 无掩模紫外光刻机的标准须符合GB/T21186-2007《无掩模紫外光刻机》的要求、试验方法、检验规则、标志、包装、运输及贮存、质量保证等。 （2）验收流程 ①到货初检（采购人、中标人共同参与）： 检查外包装完整性、运输损伤情况； 核对货物型号、数量、规格是否与合同一致； 检查随机文件（合格证、说明书、保修卡等）。 ②安装调试验收 提供并且安排工程技术人员免费进行安装调试及培训验收。 ③性能测试验收（关键指标实测） 连续运行120小时无故障； ④最终验收 设备安装调试完毕、正常运行6个月后。签署《验收报告》，产品保修期自验收合格之日起算，由中标人提供产品保修文件。 （3）中标人安装调试完毕，双方按合同文本及附件进行配件清点及功能认证。 （4）供应商应提供相关设备在安装调试、校验、初始运转中涉及费用（包括试剂、耗材、配件、服务等）应包括在报价中。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1、供应商提供仪器的现场安装调试并达到技术指标要求的技术性能，满足甲方使用要求，并同时在现场对用户进行操作培训。质保期自仪器验收合格之日起至少壹年。 2、仪器安装运行能正常使用，质保维护及时；售后服务响应时间（质保期内）：即时响应（包括电话响应）；电话响应无法解决24小时内到达现场。修复时间12小时内解决；如在24小时内无法修复，则提供部件冗余服务或采取应急措施，提供相同产品或不低于故障产品规格档次的备用产品供采购人使用，以确保货物的正常使用。 3、中标人终身维修，在保修期外只收配件成本费。 4、制造商为用户提供仪器的基本原理、操作、日常维护及基础分析仪器理论课程，并为用户提供1人次制造商培训中心的上机培训，要求培训后能够熟练使用仪器。同时具备协助客户项目开发、仪器试用等功能。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中标供应商未按合同约定的交货日期交货的，每逾期一日，向采购人支付逾期交付货物价款的0.1%的违约金，但不超过合同总金额的10%。中标供应商支付逾期交货违约金并不免除其交货的责任。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一、付款方式（因系统编制受限，招标文件中关于付款方式的描述有不一致的地方以此处为准） 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二、采购标的的安装调试及配套工程、质量保证、售后服务等要求。 （1）耗材及备件 配备设备常用维护工具1套 提供设备验收所需耗材，如光刻胶、显影液、剥离液、刻蚀液及一些待光刻的样品。 （2）安装调试要求 调试周期：连续120小时无故障运行测试； 人员培训：提供相关操作人员培训资料。 （3）配套工程 包含安装设备所需叉车及各种工具（需提前2日做好准备）。 （4）质量保证 质量追溯：提供原材料来源证明及质量检验报告； 货物要求：以采购人的要求为准，为采购人提供全新的货物（包括零部件）。 （5）售后服务 响应时限：在保修期期间和保修期外，供应商接到用户电话24个工作小时内做出响应，需要到现场解决的，需要在1-3天内到达用户现场，保证提供及时优质的售后服务； 定期维护：每季度提供至少1次预防性维护服务。 三、产品保修期内，修理、更换、退货要求 （1）质量标准：中标人的产品质量应当符合国家行业规定的标准，并无任何瑕疵；中标人应按配置清单要求提供原装产品，除人为因素损坏外，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技术保障：中标人提供的设备及配套产品，必须是合同规定厂家制造的、合格、全新、未曾使用的产品，产品内部无损坏，外表无磨损，内部包装无破损。必须等同于投标指标，并能按国家标准供应、检测、调试，确保产品技术指标满足使用要求。中标人须保证所提供的货物经正确安装、正常运转和保养，在其使用寿命期内须具有符合质量要求和产品说明书的性能。 四、技术资料及培训要求 1.供应商应提供仪器安装调试后，在现场对用户进行操作培训，培训内容包括仪器的基本原理、操作及一般仪器维护保养知识。 2.供应商需为用户提供仪器的基本原理、操作、日常维护及基础分析仪器理论课程，并为用户提供上机培训。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其他材料 残疾人福利性单位声明函 投标文件封面 投标人基本信息 监狱企业的证明文件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带“★”标识（共2项）的参数需求为实质性要求，必须响应并满足参数需求。 1、带“▲”号技术指标满分15分，（共5项）有一项不满足扣3分； 2、非“▲”和非“★”号技术参数（共18项）满分15分，每有一项负偏离扣0.84分。 注：对标“▲”和“★”号技术参数供应商必须提供相关技术参数佐证材料（包括国家认可的检测机构出具的检测报告或制造商检验报告或公开发布的产品功能参数彩页或官网截图）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上述2项评审内容全部满足评审标准得9分；每有一个评审内容缺项扣3分，扣完为止；每有一项评审内容存在缺陷，扣（0-3）分。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投标人提供本项目所投产品的合法来源证明文件，内容包括但不限于产品授权书等，确保所投产品无假货、水货、翻新货且无产权纠纷。 提供合法来源渠道证明文件，得1分；未提供不得分。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设备选型方案思路很清晰、科学合理，可行性很强、完全满足采购人需求得5分； 设备选型方案思路较清晰、科学合理，可行性较强、满足采购人需求得3分； 设备选型方案合理完善、可行性较强、基本满足采购人需求得1分；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及培训方案。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质保期满足招标文件要求（1年）的基础上，每增加一年得1分（产品验收合格后开始计算），最高得3分。提供承诺，无承诺不得分。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提供产品生产厂家或投标人自2023年1月1日至投标文件递交截止时间前（以合同签订时间为准）同类项目业绩，每提供一份完整资料得2分，最多得6分。未提供得0分。 注：需提供完整且清晰有效的项目供货合同扫描件并加盖公章（若合同中无法体现签订时间、产品品牌、型号等相关信息的视为无效，不得分）。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