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版本号：RDX-ZB2026第010号.1B120260512001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汉台区林业局秦岭违规穿越智慧防控项目(二次)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RDX-ZB2026第010号.1B1</w:t>
      </w:r>
      <w:r>
        <w:br/>
      </w:r>
      <w:r>
        <w:br/>
      </w:r>
      <w:r>
        <w:br/>
      </w:r>
    </w:p>
    <w:p>
      <w:pPr>
        <w:pStyle w:val="null3"/>
        <w:jc w:val="center"/>
        <w:outlineLvl w:val="2"/>
      </w:pPr>
      <w:r>
        <w:rPr>
          <w:rFonts w:ascii="仿宋_GB2312" w:hAnsi="仿宋_GB2312" w:cs="仿宋_GB2312" w:eastAsia="仿宋_GB2312"/>
          <w:sz w:val="28"/>
          <w:b/>
        </w:rPr>
        <w:t>汉中市汉台区林业局</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汉中市汉台区林业局</w:t>
      </w:r>
      <w:r>
        <w:rPr>
          <w:rFonts w:ascii="仿宋_GB2312" w:hAnsi="仿宋_GB2312" w:cs="仿宋_GB2312" w:eastAsia="仿宋_GB2312"/>
        </w:rPr>
        <w:t>委托，拟对</w:t>
      </w:r>
      <w:r>
        <w:rPr>
          <w:rFonts w:ascii="仿宋_GB2312" w:hAnsi="仿宋_GB2312" w:cs="仿宋_GB2312" w:eastAsia="仿宋_GB2312"/>
        </w:rPr>
        <w:t>汉台区林业局秦岭违规穿越智慧防控项目(二次)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RDX-ZB2026第010号.1B1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汉台区林业局秦岭违规穿越智慧防控项目(二次)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秦岭违规穿越智慧管理系统”和“野生动植物智慧监测系统”，布设一批具备智能行为识别功能的高清监控摄像头，在重点防控区域构建“无死角”的监控网络，对违规穿越行为和野生动植物管理进行精准识别与实时预警，以科技赋能，强化秦岭长效管护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采购包1（汉台区林业局秦岭违规穿越智慧防控项目）：属于专门面向中小企业采购。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 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授权委托书（附法定代表人身份证复印件）及被授权委托人身份证（法定代表人参加投标只须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汉台区天台路中段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0916-2214048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李雪丽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开户银行：中国工商银行汉中汉江路分理处</w:t>
            </w:r>
          </w:p>
          <w:p>
            <w:pPr>
              <w:pStyle w:val="null3"/>
            </w:pPr>
            <w:r>
              <w:rPr>
                <w:rFonts w:ascii="仿宋_GB2312" w:hAnsi="仿宋_GB2312" w:cs="仿宋_GB2312" w:eastAsia="仿宋_GB2312"/>
              </w:rPr>
              <w:t>银行账号：2606 0221 0920 0040 966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代理服务费收费标准：参考《国家发展改革委关于降低部分建设项目收费标准规范收费行为等有关问题的通知》（发改价格[2011]534号）文件及采购代理合同收取。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汉中市汉台区林业局</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陕西容德轩项目管理有限公司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采购包1：分包比例30%，分包履行的内容：采购项目的非主体、非关键性工作；资质要求详见第4章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地址：陕西省汉中市汉台区南关正街汉上第一街12号楼23层采购和招标代理部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秦岭违规穿越智慧管理系统”和“野生动植物智慧监测系统”，布设一批具备智能行为识别功能的高清监控摄像头，在重点防控区域构建“无死角”的监控网络，对违规穿越行为和野生动植物管理进行精准识别与实时预警，以科技赋能，强化秦岭长效管护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汉台区林业局秦岭违规穿越智慧防控项目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标的名称：汉台区林业局秦岭违规穿越智慧防控项目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86"/>
              <w:gridCol w:w="235"/>
              <w:gridCol w:w="216"/>
              <w:gridCol w:w="186"/>
              <w:gridCol w:w="2098"/>
            </w:tblGrid>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序号</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服务项目</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服务单位</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数量</w:t>
                  </w:r>
                </w:p>
              </w:tc>
              <w:tc>
                <w:tcPr>
                  <w:tcW w:type="dxa" w:w="20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服务要求</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数据采集服务</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路</w:t>
                  </w:r>
                  <w:r>
                    <w:rPr>
                      <w:rFonts w:ascii="仿宋_GB2312" w:hAnsi="仿宋_GB2312" w:cs="仿宋_GB2312" w:eastAsia="仿宋_GB2312"/>
                      <w:sz w:val="22"/>
                      <w:color w:val="000000"/>
                    </w:rPr>
                    <w:t>/</w:t>
                  </w:r>
                  <w:r>
                    <w:rPr>
                      <w:rFonts w:ascii="仿宋_GB2312" w:hAnsi="仿宋_GB2312" w:cs="仿宋_GB2312" w:eastAsia="仿宋_GB2312"/>
                      <w:sz w:val="22"/>
                      <w:color w:val="000000"/>
                    </w:rPr>
                    <w:t>年</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50</w:t>
                  </w:r>
                </w:p>
              </w:tc>
              <w:tc>
                <w:tcPr>
                  <w:tcW w:type="dxa" w:w="20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服务应满足的要求：前端点位高清视频图像及结构化数据的采集、分析与上报服务。</w:t>
                  </w:r>
                  <w:r>
                    <w:br/>
                  </w:r>
                  <w:r>
                    <w:rPr>
                      <w:rFonts w:ascii="仿宋_GB2312" w:hAnsi="仿宋_GB2312" w:cs="仿宋_GB2312" w:eastAsia="仿宋_GB2312"/>
                      <w:sz w:val="22"/>
                      <w:color w:val="000000"/>
                    </w:rPr>
                    <w:t xml:space="preserve"> 一、画质与算力指标：</w:t>
                  </w:r>
                  <w:r>
                    <w:br/>
                  </w:r>
                  <w:r>
                    <w:rPr>
                      <w:rFonts w:ascii="仿宋_GB2312" w:hAnsi="仿宋_GB2312" w:cs="仿宋_GB2312" w:eastAsia="仿宋_GB2312"/>
                      <w:sz w:val="22"/>
                      <w:color w:val="000000"/>
                    </w:rPr>
                    <w:t xml:space="preserve"> 1.视频分辨率不低于2560x1440</w:t>
                  </w:r>
                  <w:r>
                    <w:br/>
                  </w:r>
                  <w:r>
                    <w:rPr>
                      <w:rFonts w:ascii="仿宋_GB2312" w:hAnsi="仿宋_GB2312" w:cs="仿宋_GB2312" w:eastAsia="仿宋_GB2312"/>
                      <w:sz w:val="22"/>
                      <w:color w:val="000000"/>
                    </w:rPr>
                    <w:t xml:space="preserve"> 2.靶面尺寸不小于1/1.8英寸</w:t>
                  </w:r>
                  <w:r>
                    <w:br/>
                  </w:r>
                  <w:r>
                    <w:rPr>
                      <w:rFonts w:ascii="仿宋_GB2312" w:hAnsi="仿宋_GB2312" w:cs="仿宋_GB2312" w:eastAsia="仿宋_GB2312"/>
                      <w:sz w:val="22"/>
                      <w:color w:val="000000"/>
                    </w:rPr>
                    <w:t xml:space="preserve"> 3.最低照度彩色≤0.0005lx。</w:t>
                  </w:r>
                  <w:r>
                    <w:br/>
                  </w:r>
                  <w:r>
                    <w:rPr>
                      <w:rFonts w:ascii="仿宋_GB2312" w:hAnsi="仿宋_GB2312" w:cs="仿宋_GB2312" w:eastAsia="仿宋_GB2312"/>
                      <w:sz w:val="22"/>
                      <w:color w:val="000000"/>
                    </w:rPr>
                    <w:t xml:space="preserve"> 4.内置1颗CPU、GPU、NPU于一体的芯片。</w:t>
                  </w:r>
                  <w:r>
                    <w:br/>
                  </w:r>
                  <w:r>
                    <w:rPr>
                      <w:rFonts w:ascii="仿宋_GB2312" w:hAnsi="仿宋_GB2312" w:cs="仿宋_GB2312" w:eastAsia="仿宋_GB2312"/>
                      <w:sz w:val="22"/>
                      <w:color w:val="000000"/>
                    </w:rPr>
                    <w:t xml:space="preserve"> 5.★补光灯灯杯采用双层透镜结构，外表平面为柔光层，采用复眼式微透镜阵列，具有六边形阵列纹路;下层束光层为鳞甲TIR透镜，内壁具有鳞甲阵列纹路。提供证明资料</w:t>
                  </w:r>
                  <w:r>
                    <w:br/>
                  </w:r>
                  <w:r>
                    <w:rPr>
                      <w:rFonts w:ascii="仿宋_GB2312" w:hAnsi="仿宋_GB2312" w:cs="仿宋_GB2312" w:eastAsia="仿宋_GB2312"/>
                      <w:sz w:val="22"/>
                      <w:color w:val="000000"/>
                    </w:rPr>
                    <w:t xml:space="preserve"> 6.★补光灯开启后，灯光应为椭圆形形状，且补光灯均匀无波纹状、圆环状、麻点状、条纹状和不规则亮斑。提供证明资料</w:t>
                  </w:r>
                  <w:r>
                    <w:br/>
                  </w:r>
                  <w:r>
                    <w:rPr>
                      <w:rFonts w:ascii="仿宋_GB2312" w:hAnsi="仿宋_GB2312" w:cs="仿宋_GB2312" w:eastAsia="仿宋_GB2312"/>
                      <w:sz w:val="22"/>
                      <w:color w:val="000000"/>
                    </w:rPr>
                    <w:t xml:space="preserve"> 7.开启补光灯，可识别距设备30m处人体轮廓。</w:t>
                  </w:r>
                  <w:r>
                    <w:br/>
                  </w:r>
                  <w:r>
                    <w:rPr>
                      <w:rFonts w:ascii="仿宋_GB2312" w:hAnsi="仿宋_GB2312" w:cs="仿宋_GB2312" w:eastAsia="仿宋_GB2312"/>
                      <w:sz w:val="22"/>
                      <w:color w:val="000000"/>
                    </w:rPr>
                    <w:t xml:space="preserve"> 8.同一场景相同图像质量下设备在H.264或H.265编码方式时，开启智能编码功能和不开启智能编码相比，码率节约50%。</w:t>
                  </w:r>
                  <w:r>
                    <w:br/>
                  </w:r>
                  <w:r>
                    <w:rPr>
                      <w:rFonts w:ascii="仿宋_GB2312" w:hAnsi="仿宋_GB2312" w:cs="仿宋_GB2312" w:eastAsia="仿宋_GB2312"/>
                      <w:sz w:val="22"/>
                      <w:color w:val="000000"/>
                    </w:rPr>
                    <w:t xml:space="preserve"> 9.可对出现在监控画面中的两眼瞳距不小于40像素的人脸进行检验，并叠加目标提示框。</w:t>
                  </w:r>
                  <w:r>
                    <w:br/>
                  </w:r>
                  <w:r>
                    <w:rPr>
                      <w:rFonts w:ascii="仿宋_GB2312" w:hAnsi="仿宋_GB2312" w:cs="仿宋_GB2312" w:eastAsia="仿宋_GB2312"/>
                      <w:sz w:val="22"/>
                      <w:color w:val="000000"/>
                    </w:rPr>
                    <w:t xml:space="preserve"> 10.★可同时对经过设定检测区域内的不低于10个行人进行人脸检测、跟踪、评分和抓拍。可筛选和抓拍最佳人脸图片存储及上报中心。抓拍图片数量、大小可设，支持上传全景照。提供证明资料</w:t>
                  </w:r>
                  <w:r>
                    <w:br/>
                  </w:r>
                  <w:r>
                    <w:rPr>
                      <w:rFonts w:ascii="仿宋_GB2312" w:hAnsi="仿宋_GB2312" w:cs="仿宋_GB2312" w:eastAsia="仿宋_GB2312"/>
                      <w:sz w:val="22"/>
                      <w:color w:val="000000"/>
                    </w:rPr>
                    <w:t xml:space="preserve"> 11.★当智能分析行为类型为移动侦测，报警目标设置为人形时，仅当检测场景中出现人形时触发报警，在设定区域内出现以下情况时，不触发报警：光线明暗变化、篮球滚动、狗行走、树摇晃、旗帜飘动、车辆。提供证明资料</w:t>
                  </w:r>
                  <w:r>
                    <w:br/>
                  </w:r>
                  <w:r>
                    <w:rPr>
                      <w:rFonts w:ascii="仿宋_GB2312" w:hAnsi="仿宋_GB2312" w:cs="仿宋_GB2312" w:eastAsia="仿宋_GB2312"/>
                      <w:sz w:val="22"/>
                      <w:color w:val="000000"/>
                    </w:rPr>
                    <w:t xml:space="preserve"> 12.当触发报警时，可在报警布防时间内联动声音报警。警戒音具有不低于10种不同语音播报类型可选，报警音量和重复次数可设置。</w:t>
                  </w:r>
                  <w:r>
                    <w:br/>
                  </w:r>
                  <w:r>
                    <w:rPr>
                      <w:rFonts w:ascii="仿宋_GB2312" w:hAnsi="仿宋_GB2312" w:cs="仿宋_GB2312" w:eastAsia="仿宋_GB2312"/>
                      <w:sz w:val="22"/>
                      <w:color w:val="000000"/>
                    </w:rPr>
                    <w:t xml:space="preserve"> 13.★具有AI-ISP图像质量提升功能，在低照度环境下，可自动调节预览场景视频画面中人脸、人体、车辆等目标及预览场景视频画面的区域曝光、亮度、色彩饱和度、对比度、锐度等。提供证明资料</w:t>
                  </w:r>
                  <w:r>
                    <w:br/>
                  </w:r>
                  <w:r>
                    <w:rPr>
                      <w:rFonts w:ascii="仿宋_GB2312" w:hAnsi="仿宋_GB2312" w:cs="仿宋_GB2312" w:eastAsia="仿宋_GB2312"/>
                      <w:sz w:val="22"/>
                      <w:color w:val="000000"/>
                    </w:rPr>
                    <w:t xml:space="preserve"> 14.具有不少于1个麦克风、1个喇叭，1个RJ45网络接口、1路音频输入、1路音频输出，设备采用DC12V供电</w:t>
                  </w:r>
                  <w:r>
                    <w:br/>
                  </w:r>
                  <w:r>
                    <w:rPr>
                      <w:rFonts w:ascii="仿宋_GB2312" w:hAnsi="仿宋_GB2312" w:cs="仿宋_GB2312" w:eastAsia="仿宋_GB2312"/>
                      <w:sz w:val="22"/>
                      <w:color w:val="000000"/>
                    </w:rPr>
                    <w:t xml:space="preserve"> 15.IP67防护等级。</w:t>
                  </w:r>
                  <w:r>
                    <w:br/>
                  </w:r>
                  <w:r>
                    <w:rPr>
                      <w:rFonts w:ascii="仿宋_GB2312" w:hAnsi="仿宋_GB2312" w:cs="仿宋_GB2312" w:eastAsia="仿宋_GB2312"/>
                      <w:sz w:val="22"/>
                      <w:color w:val="000000"/>
                    </w:rPr>
                    <w:t xml:space="preserve"> 二、智能功能指标：</w:t>
                  </w:r>
                  <w:r>
                    <w:br/>
                  </w:r>
                  <w:r>
                    <w:rPr>
                      <w:rFonts w:ascii="仿宋_GB2312" w:hAnsi="仿宋_GB2312" w:cs="仿宋_GB2312" w:eastAsia="仿宋_GB2312"/>
                      <w:sz w:val="22"/>
                      <w:color w:val="000000"/>
                    </w:rPr>
                    <w:t xml:space="preserve"> 16.补光效果：夜间补光需呈椭圆形均匀光斑，无波纹/麻点/圆环状亮斑，能识别30米处人体轮廓。</w:t>
                  </w:r>
                  <w:r>
                    <w:br/>
                  </w:r>
                  <w:r>
                    <w:rPr>
                      <w:rFonts w:ascii="仿宋_GB2312" w:hAnsi="仿宋_GB2312" w:cs="仿宋_GB2312" w:eastAsia="仿宋_GB2312"/>
                      <w:sz w:val="22"/>
                      <w:color w:val="000000"/>
                    </w:rPr>
                    <w:t xml:space="preserve"> 17.人脸抓拍：支持同时检测不少于10个行人的跟踪、评分及最优人脸抓拍上报（瞳距≥40像素触发）。</w:t>
                  </w:r>
                  <w:r>
                    <w:br/>
                  </w:r>
                  <w:r>
                    <w:rPr>
                      <w:rFonts w:ascii="仿宋_GB2312" w:hAnsi="仿宋_GB2312" w:cs="仿宋_GB2312" w:eastAsia="仿宋_GB2312"/>
                      <w:sz w:val="22"/>
                      <w:color w:val="000000"/>
                    </w:rPr>
                    <w:t xml:space="preserve"> 18.精准报警：仅针对人形触发移动侦测报警，需有效过滤光线变化、狗行走、树摇晃、篮球滚动等干扰源。</w:t>
                  </w:r>
                  <w:r>
                    <w:br/>
                  </w:r>
                  <w:r>
                    <w:rPr>
                      <w:rFonts w:ascii="仿宋_GB2312" w:hAnsi="仿宋_GB2312" w:cs="仿宋_GB2312" w:eastAsia="仿宋_GB2312"/>
                    </w:rPr>
                    <w:t xml:space="preserve">  </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2</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能源供给服务</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点</w:t>
                  </w:r>
                  <w:r>
                    <w:rPr>
                      <w:rFonts w:ascii="仿宋_GB2312" w:hAnsi="仿宋_GB2312" w:cs="仿宋_GB2312" w:eastAsia="仿宋_GB2312"/>
                      <w:sz w:val="22"/>
                      <w:color w:val="000000"/>
                    </w:rPr>
                    <w:t>/</w:t>
                  </w:r>
                  <w:r>
                    <w:rPr>
                      <w:rFonts w:ascii="仿宋_GB2312" w:hAnsi="仿宋_GB2312" w:cs="仿宋_GB2312" w:eastAsia="仿宋_GB2312"/>
                      <w:sz w:val="22"/>
                      <w:color w:val="000000"/>
                    </w:rPr>
                    <w:t>年</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10</w:t>
                  </w:r>
                </w:p>
              </w:tc>
              <w:tc>
                <w:tcPr>
                  <w:tcW w:type="dxa" w:w="20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一、服务应满足的要求：提供基于太阳能24h不间断供电保障服务。</w:t>
                  </w:r>
                  <w:r>
                    <w:br/>
                  </w:r>
                  <w:r>
                    <w:rPr>
                      <w:rFonts w:ascii="仿宋_GB2312" w:hAnsi="仿宋_GB2312" w:cs="仿宋_GB2312" w:eastAsia="仿宋_GB2312"/>
                      <w:sz w:val="22"/>
                      <w:color w:val="000000"/>
                    </w:rPr>
                    <w:t xml:space="preserve"> 二、系统配置与性能要求：</w:t>
                  </w:r>
                  <w:r>
                    <w:br/>
                  </w:r>
                  <w:r>
                    <w:rPr>
                      <w:rFonts w:ascii="仿宋_GB2312" w:hAnsi="仿宋_GB2312" w:cs="仿宋_GB2312" w:eastAsia="仿宋_GB2312"/>
                      <w:sz w:val="22"/>
                      <w:color w:val="000000"/>
                    </w:rPr>
                    <w:t xml:space="preserve"> 太阳能板：</w:t>
                  </w:r>
                  <w:r>
                    <w:br/>
                  </w:r>
                  <w:r>
                    <w:rPr>
                      <w:rFonts w:ascii="仿宋_GB2312" w:hAnsi="仿宋_GB2312" w:cs="仿宋_GB2312" w:eastAsia="仿宋_GB2312"/>
                      <w:sz w:val="22"/>
                      <w:color w:val="000000"/>
                    </w:rPr>
                    <w:t xml:space="preserve"> 1.峰值功率：≥300W</w:t>
                  </w:r>
                  <w:r>
                    <w:br/>
                  </w:r>
                  <w:r>
                    <w:rPr>
                      <w:rFonts w:ascii="仿宋_GB2312" w:hAnsi="仿宋_GB2312" w:cs="仿宋_GB2312" w:eastAsia="仿宋_GB2312"/>
                      <w:sz w:val="22"/>
                      <w:color w:val="000000"/>
                    </w:rPr>
                    <w:t xml:space="preserve"> 2.开路电压：≥36V（±10%）</w:t>
                  </w:r>
                  <w:r>
                    <w:br/>
                  </w:r>
                  <w:r>
                    <w:rPr>
                      <w:rFonts w:ascii="仿宋_GB2312" w:hAnsi="仿宋_GB2312" w:cs="仿宋_GB2312" w:eastAsia="仿宋_GB2312"/>
                      <w:sz w:val="22"/>
                      <w:color w:val="000000"/>
                    </w:rPr>
                    <w:t xml:space="preserve"> 3.开路电流：≥5.5a（±10%）</w:t>
                  </w:r>
                  <w:r>
                    <w:br/>
                  </w:r>
                  <w:r>
                    <w:rPr>
                      <w:rFonts w:ascii="仿宋_GB2312" w:hAnsi="仿宋_GB2312" w:cs="仿宋_GB2312" w:eastAsia="仿宋_GB2312"/>
                      <w:sz w:val="22"/>
                      <w:color w:val="000000"/>
                    </w:rPr>
                    <w:t xml:space="preserve"> 4.转换效能：≥21%（±1.5%）</w:t>
                  </w:r>
                  <w:r>
                    <w:br/>
                  </w:r>
                  <w:r>
                    <w:rPr>
                      <w:rFonts w:ascii="仿宋_GB2312" w:hAnsi="仿宋_GB2312" w:cs="仿宋_GB2312" w:eastAsia="仿宋_GB2312"/>
                      <w:sz w:val="22"/>
                      <w:color w:val="000000"/>
                    </w:rPr>
                    <w:t xml:space="preserve"> 5.工作温度范围：-35℃，+85℃</w:t>
                  </w:r>
                  <w:r>
                    <w:br/>
                  </w:r>
                  <w:r>
                    <w:rPr>
                      <w:rFonts w:ascii="仿宋_GB2312" w:hAnsi="仿宋_GB2312" w:cs="仿宋_GB2312" w:eastAsia="仿宋_GB2312"/>
                      <w:sz w:val="22"/>
                      <w:color w:val="000000"/>
                    </w:rPr>
                    <w:t xml:space="preserve"> 6.设计使用寿命：≥15年"</w:t>
                  </w:r>
                  <w:r>
                    <w:br/>
                  </w:r>
                  <w:r>
                    <w:rPr>
                      <w:rFonts w:ascii="仿宋_GB2312" w:hAnsi="仿宋_GB2312" w:cs="仿宋_GB2312" w:eastAsia="仿宋_GB2312"/>
                      <w:sz w:val="22"/>
                      <w:color w:val="000000"/>
                    </w:rPr>
                    <w:t xml:space="preserve"> 电池：</w:t>
                  </w:r>
                  <w:r>
                    <w:br/>
                  </w:r>
                  <w:r>
                    <w:rPr>
                      <w:rFonts w:ascii="仿宋_GB2312" w:hAnsi="仿宋_GB2312" w:cs="仿宋_GB2312" w:eastAsia="仿宋_GB2312"/>
                      <w:sz w:val="22"/>
                      <w:color w:val="000000"/>
                    </w:rPr>
                    <w:t xml:space="preserve"> 1.容量：≥250AH</w:t>
                  </w:r>
                  <w:r>
                    <w:br/>
                  </w:r>
                  <w:r>
                    <w:rPr>
                      <w:rFonts w:ascii="仿宋_GB2312" w:hAnsi="仿宋_GB2312" w:cs="仿宋_GB2312" w:eastAsia="仿宋_GB2312"/>
                      <w:sz w:val="22"/>
                      <w:color w:val="000000"/>
                    </w:rPr>
                    <w:t xml:space="preserve"> 2.工作电压：≥24V</w:t>
                  </w:r>
                  <w:r>
                    <w:br/>
                  </w:r>
                  <w:r>
                    <w:rPr>
                      <w:rFonts w:ascii="仿宋_GB2312" w:hAnsi="仿宋_GB2312" w:cs="仿宋_GB2312" w:eastAsia="仿宋_GB2312"/>
                      <w:sz w:val="22"/>
                      <w:color w:val="000000"/>
                    </w:rPr>
                    <w:t xml:space="preserve"> 3.充放电次数≥2500次</w:t>
                  </w:r>
                  <w:r>
                    <w:br/>
                  </w:r>
                  <w:r>
                    <w:rPr>
                      <w:rFonts w:ascii="仿宋_GB2312" w:hAnsi="仿宋_GB2312" w:cs="仿宋_GB2312" w:eastAsia="仿宋_GB2312"/>
                      <w:sz w:val="22"/>
                      <w:color w:val="000000"/>
                    </w:rPr>
                    <w:t xml:space="preserve"> 防水箱：用于安放电池，控制器，等配件，重量：＜4kg，含抱箍支架全天候防风雨型，配备门锁，外壳材料为钢结构，表面镀锌喷塑防腐处理</w:t>
                  </w:r>
                  <w:r>
                    <w:br/>
                  </w:r>
                  <w:r>
                    <w:rPr>
                      <w:rFonts w:ascii="仿宋_GB2312" w:hAnsi="仿宋_GB2312" w:cs="仿宋_GB2312" w:eastAsia="仿宋_GB2312"/>
                      <w:sz w:val="22"/>
                      <w:color w:val="000000"/>
                    </w:rPr>
                    <w:t xml:space="preserve"> 光伏板支架：热镀锌Q235碳钢型材焊接而成，重量：＜7kg，支架水平倾角30°，支架所有安装开椭圆形长孔，留有余量</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3</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数据无线传输服务</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路</w:t>
                  </w:r>
                  <w:r>
                    <w:rPr>
                      <w:rFonts w:ascii="仿宋_GB2312" w:hAnsi="仿宋_GB2312" w:cs="仿宋_GB2312" w:eastAsia="仿宋_GB2312"/>
                      <w:sz w:val="22"/>
                      <w:color w:val="000000"/>
                    </w:rPr>
                    <w:t>/</w:t>
                  </w:r>
                  <w:r>
                    <w:rPr>
                      <w:rFonts w:ascii="仿宋_GB2312" w:hAnsi="仿宋_GB2312" w:cs="仿宋_GB2312" w:eastAsia="仿宋_GB2312"/>
                      <w:sz w:val="22"/>
                      <w:color w:val="000000"/>
                    </w:rPr>
                    <w:t>年</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50</w:t>
                  </w:r>
                </w:p>
              </w:tc>
              <w:tc>
                <w:tcPr>
                  <w:tcW w:type="dxa" w:w="20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服务应满足的要求：</w:t>
                  </w:r>
                  <w:r>
                    <w:br/>
                  </w:r>
                  <w:r>
                    <w:rPr>
                      <w:rFonts w:ascii="仿宋_GB2312" w:hAnsi="仿宋_GB2312" w:cs="仿宋_GB2312" w:eastAsia="仿宋_GB2312"/>
                      <w:sz w:val="22"/>
                      <w:color w:val="000000"/>
                    </w:rPr>
                    <w:t xml:space="preserve"> 提供前端视频数据至后端平台的实时无线回传通道。</w:t>
                  </w:r>
                  <w:r>
                    <w:br/>
                  </w:r>
                  <w:r>
                    <w:rPr>
                      <w:rFonts w:ascii="仿宋_GB2312" w:hAnsi="仿宋_GB2312" w:cs="仿宋_GB2312" w:eastAsia="仿宋_GB2312"/>
                      <w:sz w:val="22"/>
                      <w:color w:val="000000"/>
                    </w:rPr>
                    <w:t xml:space="preserve"> 性能要求：</w:t>
                  </w:r>
                  <w:r>
                    <w:br/>
                  </w:r>
                  <w:r>
                    <w:rPr>
                      <w:rFonts w:ascii="仿宋_GB2312" w:hAnsi="仿宋_GB2312" w:cs="仿宋_GB2312" w:eastAsia="仿宋_GB2312"/>
                      <w:sz w:val="22"/>
                      <w:color w:val="000000"/>
                    </w:rPr>
                    <w:t xml:space="preserve"> 支持24小时实时视频流稳定回传，无频繁卡顿或断流。</w:t>
                  </w:r>
                  <w:r>
                    <w:br/>
                  </w:r>
                  <w:r>
                    <w:rPr>
                      <w:rFonts w:ascii="仿宋_GB2312" w:hAnsi="仿宋_GB2312" w:cs="仿宋_GB2312" w:eastAsia="仿宋_GB2312"/>
                      <w:sz w:val="22"/>
                      <w:color w:val="000000"/>
                    </w:rPr>
                    <w:t xml:space="preserve"> 资费全包：服务期内产生的全部5年4G流量费用由供应商承担。</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4</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语音播放服务</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路</w:t>
                  </w:r>
                  <w:r>
                    <w:rPr>
                      <w:rFonts w:ascii="仿宋_GB2312" w:hAnsi="仿宋_GB2312" w:cs="仿宋_GB2312" w:eastAsia="仿宋_GB2312"/>
                      <w:sz w:val="22"/>
                      <w:color w:val="000000"/>
                    </w:rPr>
                    <w:t>/</w:t>
                  </w:r>
                  <w:r>
                    <w:rPr>
                      <w:rFonts w:ascii="仿宋_GB2312" w:hAnsi="仿宋_GB2312" w:cs="仿宋_GB2312" w:eastAsia="仿宋_GB2312"/>
                      <w:sz w:val="22"/>
                      <w:color w:val="000000"/>
                    </w:rPr>
                    <w:t>年</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10</w:t>
                  </w:r>
                </w:p>
              </w:tc>
              <w:tc>
                <w:tcPr>
                  <w:tcW w:type="dxa" w:w="20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服务应满足的要求：提供远程定向语音警示与广播服务。</w:t>
                  </w:r>
                  <w:r>
                    <w:br/>
                  </w:r>
                  <w:r>
                    <w:rPr>
                      <w:rFonts w:ascii="仿宋_GB2312" w:hAnsi="仿宋_GB2312" w:cs="仿宋_GB2312" w:eastAsia="仿宋_GB2312"/>
                      <w:sz w:val="22"/>
                      <w:color w:val="000000"/>
                    </w:rPr>
                    <w:t xml:space="preserve"> 1.声学指标：</w:t>
                  </w:r>
                  <w:r>
                    <w:br/>
                  </w:r>
                  <w:r>
                    <w:rPr>
                      <w:rFonts w:ascii="仿宋_GB2312" w:hAnsi="仿宋_GB2312" w:cs="仿宋_GB2312" w:eastAsia="仿宋_GB2312"/>
                      <w:sz w:val="22"/>
                      <w:color w:val="000000"/>
                    </w:rPr>
                    <w:t xml:space="preserve"> 1.1额定功率不低于20W，最大声压级不低于80dB。</w:t>
                  </w:r>
                  <w:r>
                    <w:br/>
                  </w:r>
                  <w:r>
                    <w:rPr>
                      <w:rFonts w:ascii="仿宋_GB2312" w:hAnsi="仿宋_GB2312" w:cs="仿宋_GB2312" w:eastAsia="仿宋_GB2312"/>
                      <w:sz w:val="22"/>
                      <w:color w:val="000000"/>
                    </w:rPr>
                    <w:t xml:space="preserve"> 1.2防护等级不低于IP66，工作温度范围-30℃至+70℃。</w:t>
                  </w:r>
                  <w:r>
                    <w:br/>
                  </w:r>
                  <w:r>
                    <w:rPr>
                      <w:rFonts w:ascii="仿宋_GB2312" w:hAnsi="仿宋_GB2312" w:cs="仿宋_GB2312" w:eastAsia="仿宋_GB2312"/>
                      <w:sz w:val="22"/>
                      <w:color w:val="000000"/>
                    </w:rPr>
                    <w:t xml:space="preserve"> 1.3防拆、防雷、防腐蚀</w:t>
                  </w:r>
                  <w:r>
                    <w:br/>
                  </w:r>
                  <w:r>
                    <w:rPr>
                      <w:rFonts w:ascii="仿宋_GB2312" w:hAnsi="仿宋_GB2312" w:cs="仿宋_GB2312" w:eastAsia="仿宋_GB2312"/>
                      <w:sz w:val="22"/>
                      <w:color w:val="000000"/>
                    </w:rPr>
                    <w:t xml:space="preserve"> 1.4电源：12V～24V（宽压）</w:t>
                  </w:r>
                  <w:r>
                    <w:br/>
                  </w:r>
                  <w:r>
                    <w:rPr>
                      <w:rFonts w:ascii="仿宋_GB2312" w:hAnsi="仿宋_GB2312" w:cs="仿宋_GB2312" w:eastAsia="仿宋_GB2312"/>
                      <w:sz w:val="22"/>
                      <w:color w:val="000000"/>
                    </w:rPr>
                    <w:t xml:space="preserve"> 2.联动功能：需与数据采集服务联动，触发自动播放预设警戒音</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5</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安装调测服务</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点</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50</w:t>
                  </w:r>
                </w:p>
              </w:tc>
              <w:tc>
                <w:tcPr>
                  <w:tcW w:type="dxa" w:w="20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服务应满足的要求：环境设配及调测服务。</w:t>
                  </w:r>
                  <w:r>
                    <w:br/>
                  </w:r>
                  <w:r>
                    <w:rPr>
                      <w:rFonts w:ascii="仿宋_GB2312" w:hAnsi="仿宋_GB2312" w:cs="仿宋_GB2312" w:eastAsia="仿宋_GB2312"/>
                      <w:sz w:val="22"/>
                      <w:color w:val="000000"/>
                    </w:rPr>
                    <w:t xml:space="preserve"> 工艺标准：</w:t>
                  </w:r>
                  <w:r>
                    <w:br/>
                  </w:r>
                  <w:r>
                    <w:rPr>
                      <w:rFonts w:ascii="仿宋_GB2312" w:hAnsi="仿宋_GB2312" w:cs="仿宋_GB2312" w:eastAsia="仿宋_GB2312"/>
                      <w:sz w:val="22"/>
                      <w:color w:val="000000"/>
                    </w:rPr>
                    <w:t xml:space="preserve"> 1.立杆规格：高度不低于4.5米，管径不低于165mm壁厚 ≥4mm一体式直杆（无变径），含横臂和法兰底座，底座钢板厚≥15mm。</w:t>
                  </w:r>
                  <w:r>
                    <w:br/>
                  </w:r>
                  <w:r>
                    <w:rPr>
                      <w:rFonts w:ascii="仿宋_GB2312" w:hAnsi="仿宋_GB2312" w:cs="仿宋_GB2312" w:eastAsia="仿宋_GB2312"/>
                      <w:sz w:val="22"/>
                      <w:color w:val="000000"/>
                    </w:rPr>
                    <w:t xml:space="preserve"> 2.基础施工：立杆基础坑深不低于1.1米；电池地埋坑深不低于0.8米。</w:t>
                  </w:r>
                  <w:r>
                    <w:br/>
                  </w:r>
                  <w:r>
                    <w:rPr>
                      <w:rFonts w:ascii="仿宋_GB2312" w:hAnsi="仿宋_GB2312" w:cs="仿宋_GB2312" w:eastAsia="仿宋_GB2312"/>
                      <w:sz w:val="22"/>
                      <w:color w:val="000000"/>
                    </w:rPr>
                    <w:t xml:space="preserve"> 3.防雷接地：所有杆体及防水箱必须做防雷接地处理。</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6</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巡检及维护服务</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3"/>
                      <w:color w:val="000000"/>
                    </w:rPr>
                    <w:t>项</w:t>
                  </w:r>
                  <w:r>
                    <w:rPr>
                      <w:rFonts w:ascii="仿宋_GB2312" w:hAnsi="仿宋_GB2312" w:cs="仿宋_GB2312" w:eastAsia="仿宋_GB2312"/>
                      <w:sz w:val="23"/>
                      <w:color w:val="000000"/>
                    </w:rPr>
                    <w:t>/5</w:t>
                  </w:r>
                  <w:r>
                    <w:rPr>
                      <w:rFonts w:ascii="仿宋_GB2312" w:hAnsi="仿宋_GB2312" w:cs="仿宋_GB2312" w:eastAsia="仿宋_GB2312"/>
                      <w:sz w:val="23"/>
                      <w:color w:val="000000"/>
                    </w:rPr>
                    <w:t>年</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w:t>
                  </w:r>
                </w:p>
              </w:tc>
              <w:tc>
                <w:tcPr>
                  <w:tcW w:type="dxa" w:w="20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服务应满足的要求：保障50个数据采集点稳定采集数据。</w:t>
                  </w:r>
                  <w:r>
                    <w:br/>
                  </w:r>
                  <w:r>
                    <w:rPr>
                      <w:rFonts w:ascii="仿宋_GB2312" w:hAnsi="仿宋_GB2312" w:cs="仿宋_GB2312" w:eastAsia="仿宋_GB2312"/>
                      <w:sz w:val="22"/>
                      <w:color w:val="000000"/>
                    </w:rPr>
                    <w:t xml:space="preserve"> 1.巡检频次与内容：</w:t>
                  </w:r>
                  <w:r>
                    <w:br/>
                  </w:r>
                  <w:r>
                    <w:rPr>
                      <w:rFonts w:ascii="仿宋_GB2312" w:hAnsi="仿宋_GB2312" w:cs="仿宋_GB2312" w:eastAsia="仿宋_GB2312"/>
                      <w:sz w:val="22"/>
                      <w:color w:val="000000"/>
                    </w:rPr>
                    <w:t xml:space="preserve"> -常规月检：每月至少1次全覆盖现场巡检。</w:t>
                  </w:r>
                  <w:r>
                    <w:br/>
                  </w:r>
                  <w:r>
                    <w:rPr>
                      <w:rFonts w:ascii="仿宋_GB2312" w:hAnsi="仿宋_GB2312" w:cs="仿宋_GB2312" w:eastAsia="仿宋_GB2312"/>
                      <w:sz w:val="22"/>
                      <w:color w:val="000000"/>
                    </w:rPr>
                    <w:t xml:space="preserve"> -重点季检：汛期/雷雨季加密至每半个月1次专项巡检。</w:t>
                  </w:r>
                  <w:r>
                    <w:br/>
                  </w:r>
                  <w:r>
                    <w:rPr>
                      <w:rFonts w:ascii="仿宋_GB2312" w:hAnsi="仿宋_GB2312" w:cs="仿宋_GB2312" w:eastAsia="仿宋_GB2312"/>
                      <w:sz w:val="22"/>
                      <w:color w:val="000000"/>
                    </w:rPr>
                    <w:t xml:space="preserve"> -年度深检：每年12月进行防雷接地、供电系统全面检测保养。</w:t>
                  </w:r>
                  <w:r>
                    <w:br/>
                  </w:r>
                  <w:r>
                    <w:rPr>
                      <w:rFonts w:ascii="仿宋_GB2312" w:hAnsi="仿宋_GB2312" w:cs="仿宋_GB2312" w:eastAsia="仿宋_GB2312"/>
                      <w:sz w:val="22"/>
                      <w:color w:val="000000"/>
                    </w:rPr>
                    <w:t xml:space="preserve"> 2.故障响应时效：</w:t>
                  </w:r>
                  <w:r>
                    <w:br/>
                  </w:r>
                  <w:r>
                    <w:rPr>
                      <w:rFonts w:ascii="仿宋_GB2312" w:hAnsi="仿宋_GB2312" w:cs="仿宋_GB2312" w:eastAsia="仿宋_GB2312"/>
                      <w:sz w:val="22"/>
                      <w:color w:val="000000"/>
                    </w:rPr>
                    <w:t xml:space="preserve"> -响应时间：服务离线或数据采集异常报警后2小时内响应。</w:t>
                  </w:r>
                  <w:r>
                    <w:br/>
                  </w:r>
                  <w:r>
                    <w:rPr>
                      <w:rFonts w:ascii="仿宋_GB2312" w:hAnsi="仿宋_GB2312" w:cs="仿宋_GB2312" w:eastAsia="仿宋_GB2312"/>
                      <w:sz w:val="22"/>
                      <w:color w:val="000000"/>
                    </w:rPr>
                    <w:t xml:space="preserve"> -到场时间：12小时内到达现场排查。</w:t>
                  </w:r>
                  <w:r>
                    <w:br/>
                  </w:r>
                  <w:r>
                    <w:rPr>
                      <w:rFonts w:ascii="仿宋_GB2312" w:hAnsi="仿宋_GB2312" w:cs="仿宋_GB2312" w:eastAsia="仿宋_GB2312"/>
                      <w:sz w:val="22"/>
                      <w:color w:val="000000"/>
                    </w:rPr>
                    <w:t xml:space="preserve"> -恢复时间：一般故障24小时内恢复。</w:t>
                  </w:r>
                </w:p>
              </w:tc>
            </w:tr>
            <w:tr>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7</w:t>
                  </w:r>
                </w:p>
              </w:tc>
              <w:tc>
                <w:tcPr>
                  <w:tcW w:type="dxa" w:w="2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系统数据对接服务</w:t>
                  </w:r>
                </w:p>
              </w:tc>
              <w:tc>
                <w:tcPr>
                  <w:tcW w:type="dxa" w:w="21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项</w:t>
                  </w:r>
                </w:p>
              </w:tc>
              <w:tc>
                <w:tcPr>
                  <w:tcW w:type="dxa" w:w="1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w:t>
                  </w:r>
                </w:p>
              </w:tc>
              <w:tc>
                <w:tcPr>
                  <w:tcW w:type="dxa" w:w="20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服务应满足的要求：提供数据集成服务。</w:t>
                  </w:r>
                  <w:r>
                    <w:br/>
                  </w:r>
                  <w:r>
                    <w:rPr>
                      <w:rFonts w:ascii="仿宋_GB2312" w:hAnsi="仿宋_GB2312" w:cs="仿宋_GB2312" w:eastAsia="仿宋_GB2312"/>
                      <w:sz w:val="22"/>
                      <w:color w:val="000000"/>
                    </w:rPr>
                    <w:t xml:space="preserve"> 集成对接范围：</w:t>
                  </w:r>
                  <w:r>
                    <w:br/>
                  </w:r>
                  <w:r>
                    <w:rPr>
                      <w:rFonts w:ascii="仿宋_GB2312" w:hAnsi="仿宋_GB2312" w:cs="仿宋_GB2312" w:eastAsia="仿宋_GB2312"/>
                      <w:sz w:val="22"/>
                      <w:color w:val="000000"/>
                    </w:rPr>
                    <w:t xml:space="preserve"> -实现视频监控模块数据对接。</w:t>
                  </w:r>
                  <w:r>
                    <w:br/>
                  </w:r>
                  <w:r>
                    <w:rPr>
                      <w:rFonts w:ascii="仿宋_GB2312" w:hAnsi="仿宋_GB2312" w:cs="仿宋_GB2312" w:eastAsia="仿宋_GB2312"/>
                      <w:sz w:val="22"/>
                      <w:color w:val="000000"/>
                    </w:rPr>
                    <w:t xml:space="preserve"> -实现鸟类保护模块数据对接。</w:t>
                  </w:r>
                  <w:r>
                    <w:br/>
                  </w:r>
                  <w:r>
                    <w:rPr>
                      <w:rFonts w:ascii="仿宋_GB2312" w:hAnsi="仿宋_GB2312" w:cs="仿宋_GB2312" w:eastAsia="仿宋_GB2312"/>
                      <w:sz w:val="22"/>
                      <w:color w:val="000000"/>
                    </w:rPr>
                    <w:t xml:space="preserve"> -实现秦岭违规穿越模块数据对接</w:t>
                  </w:r>
                  <w:r>
                    <w:br/>
                  </w:r>
                  <w:r>
                    <w:rPr>
                      <w:rFonts w:ascii="仿宋_GB2312" w:hAnsi="仿宋_GB2312" w:cs="仿宋_GB2312" w:eastAsia="仿宋_GB2312"/>
                      <w:sz w:val="22"/>
                      <w:color w:val="000000"/>
                    </w:rPr>
                    <w:t xml:space="preserve"> -实现协议、数据、接口、统一，确保系统稳定互通、可兼容。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设备配置满足本项目服务要求。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用电子保函提交磋商保证金的供应商，须在投标响应文件提交截止时间前将电子保函发送至邮箱369655531@qq.com。二、成交供应商在领取成交通知书时，须提交纸质磋商响应文件正本壹份、副本贰份、电子版壹份（U盘壹份注明单位名称），内容和通过电子化交易平台提交的磋商响应文件一致；纸质投标文件正副本分别胶装成册，采用双面打印。</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达到国家规定验收标准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达到付款条件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6．报价明显低于其他合格投标供应商的报价，并在现场规定的时间内不能提供有效证明材料且经磋商小组认定形成不正当竞争的；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 自然人提供身份证明文件。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非联合体投标：本项目不接受联合体投标（提供非联合体声明函）</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服务内容及服务邀请应答表 中小企业声明函 商务应答表 其他证明材料.docx 报价表 响应文件封面 供应商应提交的相关资格证明材料.docx 残疾人福利性单位声明函 服务方案 技术标偏离表.docx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1.报价未超过采购包最高限价且报价唯一； 2.报价货币符合招标文件要求。</w:t>
            </w:r>
          </w:p>
        </w:tc>
        <w:tc>
          <w:tcPr>
            <w:tcW w:type="dxa" w:w="1661"/>
          </w:tcPr>
          <w:p>
            <w:pPr>
              <w:pStyle w:val="null3"/>
            </w:pPr>
            <w:r>
              <w:rPr>
                <w:rFonts w:ascii="仿宋_GB2312" w:hAnsi="仿宋_GB2312" w:cs="仿宋_GB2312" w:eastAsia="仿宋_GB2312"/>
              </w:rPr>
              <w:t>标的清单 技术标偏离表.docx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磋商供应商竞争性磋商响应文件中保证金缴纳凭证符合要求。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服务内容及服务邀请应答表 中小企业声明函 商务应答表 其他证明材料.docx 报价表 响应文件封面 供应商应提交的相关资格证明材料.docx 残疾人福利性单位声明函 服务方案 标的清单 技术标偏离表.docx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产品功能、参数</w:t>
            </w:r>
          </w:p>
        </w:tc>
        <w:tc>
          <w:tcPr>
            <w:tcW w:type="dxa" w:w="2492"/>
          </w:tcPr>
          <w:p>
            <w:pPr>
              <w:pStyle w:val="null3"/>
            </w:pPr>
            <w:r>
              <w:rPr>
                <w:rFonts w:ascii="仿宋_GB2312" w:hAnsi="仿宋_GB2312" w:cs="仿宋_GB2312" w:eastAsia="仿宋_GB2312"/>
              </w:rPr>
              <w:t>根据供应商所投产品选型、产品功能、产品参数等方面进行评审（提供拟供产品相关技术参数证明材料，包括但不限于产品介绍或彩页或说明书或检测报告等）。带★项参数为招标实质性参数，不允许偏离；非★项参数根据供应商提供的参数响应表中的参数响应情况，每有1项技术参数满足得0.5分，本项最高得18分。 注：若供应商虚假响应其响应文件按无效响应文件处理。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供货、换货方案</w:t>
            </w:r>
          </w:p>
        </w:tc>
        <w:tc>
          <w:tcPr>
            <w:tcW w:type="dxa" w:w="2492"/>
          </w:tcPr>
          <w:p>
            <w:pPr>
              <w:pStyle w:val="null3"/>
            </w:pPr>
            <w:r>
              <w:rPr>
                <w:rFonts w:ascii="仿宋_GB2312" w:hAnsi="仿宋_GB2312" w:cs="仿宋_GB2312" w:eastAsia="仿宋_GB2312"/>
              </w:rPr>
              <w:t>一、评审内容 针对本项目提出运输、供货、换货方案，方案内容包含运输交货至指定地点的方案；①运输及交货方案； ②保证货物充足供应方案；③出现质量问题换货流程及方案。 二、评审标准 评审标准（每一项） （1）方案完整、针对性强、可实施性高，得4分。 （2）方案基本完整、具有一定的针对性、可实施性，得3分。 （3）方案完整性较为全面、针对性、可实施性一般，得2分。 （4）缺乏针对性、可实施性、完整性，得0—1分。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系统运维方案</w:t>
            </w:r>
          </w:p>
        </w:tc>
        <w:tc>
          <w:tcPr>
            <w:tcW w:type="dxa" w:w="2492"/>
          </w:tcPr>
          <w:p>
            <w:pPr>
              <w:pStyle w:val="null3"/>
            </w:pPr>
            <w:r>
              <w:rPr>
                <w:rFonts w:ascii="仿宋_GB2312" w:hAnsi="仿宋_GB2312" w:cs="仿宋_GB2312" w:eastAsia="仿宋_GB2312"/>
              </w:rPr>
              <w:t>一、评审内容： 针对本项目提出相关运维方案，内容包含①核心目标分析（包括但不限于高可用性、数据有效性、安全性、高效响应等）；②运维体系组成；③数据维护。④运维服务流程；⑤日常数据维护管理方案； 二评审标准 评审标准（每一项） （1）方案完整、针对性强、可实施性高，得4分。 （2）方案基本完整、具有一定的针对性、可实施性，得3分。 （3）方案完整性较为全面、针对性、可实施性一般，得2分。 （4）缺乏针对性、可实施性、完整性，得0—1分。 （5）未提供的不得分。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供应商拟投入本项目人员进行评审，内容包含①拟投入人员数量、岗位职责（包括但不限于项目负责人、安装调试人员、售后维保人员）；②人员管理制度；③人员服务标准。 二、评审标准 评审标准（每一项） （1）方案完整、针对性强、可实施性高，得4分。 （2）方案基本完整、具有一定的针对性、可实施性，得3分。 （3）方案完整性较为全面、针对性、可实施性一般，得2分。 （4）缺乏针对性、可实施性、完整性，得0—1分。 （5）未提供的不得分。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一、评审内容 针对本项目提出相关保障措施，内容包含①质量保障措施；②人员培训措施；③保密措施；④安全保障措施。 二、评审标准 评审标准（每一项） （1）方案完整、针对性强、可实施性高，得4分。 （2）方案基本完整、具有一定的针对性、可实施性，得3分。 （3）方案完整性较为全面、针对性、可实施性一般，得2分。 （4）缺乏针对性、可实施性、完整性，得0—1分。 （5）未提供的不得分。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售后服务承诺及合理化建议</w:t>
            </w:r>
          </w:p>
        </w:tc>
        <w:tc>
          <w:tcPr>
            <w:tcW w:type="dxa" w:w="2492"/>
          </w:tcPr>
          <w:p>
            <w:pPr>
              <w:pStyle w:val="null3"/>
            </w:pPr>
            <w:r>
              <w:rPr>
                <w:rFonts w:ascii="仿宋_GB2312" w:hAnsi="仿宋_GB2312" w:cs="仿宋_GB2312" w:eastAsia="仿宋_GB2312"/>
              </w:rPr>
              <w:t>一、评审内容 根据本项目提出服务承诺和建议，内容包括：①售后服务承诺；②合理化建议。 二、评审标准 评审标准（每一项） （1）方案完整、针对性强、可实施性高，得3.5分。 （2）方案基本完整、具有一定的针对性、可实施性，得2.5分。 （3）方案完整性较为全面、针对性、可实施性一般，得1分。 （4）缺乏针对性、可实施性、完整性，得0—1分。 （5）未提供的不得分。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 年 1 月 1 日起至今，具有类似项目业绩，每提供一份有效业绩得2.5分，最多得5分。（时间以合同或中标（成交）通知书日期为准，响应文件中附加盖公章的合同或中标（成交）通知书复印件，否则不作为评审依据）。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满足磋商文件要求且投标价格最低的投标报价为评标基准价，其价格分为满分。其他投标供应商的价格分统一按照下列公式计算：投标报价得分=(磋商基准价／磋商评审价 )×10%×100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详见附件：技术标偏离表.docx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