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版本号：GCZB2026-07-149-Q20260806001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立行楼一楼教室智慧化改造项目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GCZB2026-07-149-Q</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立行楼一楼教室智慧化改造项目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GCZB2026-07-149-Q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立行楼一楼教室智慧化改造项目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西安医学院立行楼一楼教室智慧化改造项目，1批，具体内容详见招标文件第三章技术要求。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2025年度审计报告，或提交投标文件截止时间前六个月内其基本账户开户银行出具的资信证明（提供银行出具的资信证明的需同时提供开户许可证或基本银行账户信息复印件加盖公章）；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已缴存的至少一个月的纳税证明或完税证明（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投标文件截止之日前一年内已缴存的至少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说明：本项目需提交合同金额5%的履约保证金，合同签订前，成交供应商交纳履约保证金到采购需求单位指定账户，履约期满后一次性无息返还至成交供应商。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的通知（计价格[2002]1980号）及发改办价格[2003]857号规定的标准收取招标代理服务费。成交金额50万元以上的下浮20%收取，成交金额50万元以下的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踏勘时间：2026-08-14 10:00:00</w:t>
            </w:r>
          </w:p>
          <w:p>
            <w:pPr>
              <w:pStyle w:val="null3"/>
              <w:ind w:firstLine="975"/>
            </w:pPr>
            <w:r>
              <w:rPr>
                <w:rFonts w:ascii="仿宋_GB2312" w:hAnsi="仿宋_GB2312" w:cs="仿宋_GB2312" w:eastAsia="仿宋_GB2312"/>
              </w:rPr>
              <w:t>踏勘地点：西安市辛王路1号西安医学院未央校区图书馆门前</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联系电话号码：13689195027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按照招标文件、投标文件以及合同约定执行。包括每一项技术要求及商务要求的履约情况。</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地址：西安市莲湖区高新一路5号正信大厦A座24楼（1152611386@qq.com）</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立行楼一楼教室智慧化改造项目，将搭建智能化、数字化、融合化的智慧教学空间。通过软硬件一体化升级改造，打破传统课堂教学壁垒，实现教学环境智能可控、教学模式多元创新、教学资源互联互通、教学数据精准赋能、教学运维高效便捷，全面支撑线上线下混合式教学、小组研讨教学、跨校协同教学等新型教学场景，实现师生在课堂中的多维度资源共享，满足从理论教学课件到实践研讨展示的全场景教学交互需求。全方位升级显示系统，增加数据分析录播系统并将教室纳入在线巡课平台，有力保障课程资源的存留与教学情况的分析提升。整合音视频采集、设备智能管控、影像采集和数据分析等技术，打造课前备课资源推送、课中互动数据采集、课后学情分析反馈的全流程数字化教学闭环，提升教学效率与精准度。进行教室教学环境的提升，为师生带来舒适，专注的教学空间体验感。对接采购人教务平台、资源平台、一卡通平台及教学管理平台等，实现优质教学资源的高效共享与高效管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1,280,000.00</w:t>
      </w:r>
    </w:p>
    <w:p>
      <w:pPr>
        <w:pStyle w:val="null3"/>
      </w:pPr>
      <w:r>
        <w:rPr>
          <w:rFonts w:ascii="仿宋_GB2312" w:hAnsi="仿宋_GB2312" w:cs="仿宋_GB2312" w:eastAsia="仿宋_GB2312"/>
        </w:rPr>
        <w:t>采购包最高限价（元）: 1,280,000.00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其他信息化设备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1.设备清单：</w:t>
            </w:r>
          </w:p>
          <w:tbl>
            <w:tblPr>
              <w:tblInd w:type="dxa" w:w="120"/>
              <w:tblBorders>
                <w:top w:val="none" w:color="000000" w:sz="4"/>
                <w:left w:val="none" w:color="000000" w:sz="4"/>
                <w:bottom w:val="none" w:color="000000" w:sz="4"/>
                <w:right w:val="none" w:color="000000" w:sz="4"/>
                <w:insideH w:val="none"/>
                <w:insideV w:val="none"/>
              </w:tblBorders>
            </w:tblPr>
            <w:tblGrid>
              <w:gridCol w:w="329"/>
              <w:gridCol w:w="1350"/>
              <w:gridCol w:w="455"/>
              <w:gridCol w:w="419"/>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设备名称</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智能教学交互设备</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教学书写绿板</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教学转播设备</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教师教学状态采集设备</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学生学习状态采集分析设备</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录播采集管理软硬件设备</w:t>
                  </w:r>
                  <w:r>
                    <w:rPr>
                      <w:rFonts w:ascii="仿宋_GB2312" w:hAnsi="仿宋_GB2312" w:cs="仿宋_GB2312" w:eastAsia="仿宋_GB2312"/>
                      <w:sz w:val="20"/>
                      <w:b/>
                      <w:color w:val="000000"/>
                    </w:rPr>
                    <w:t>（核心产品）</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网络时钟</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专用教学音箱</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智能扩声主机</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吊麦</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只</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智能控制设备</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USB扩展坞</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电源时序器</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多媒体讲桌</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教室前后吸音墙处理</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教室照明灯</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盏</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墙面翻新</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760</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平方米</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教室窗帘套装</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讲台改造</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间</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线材辅料</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综合布线</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3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3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系统集成与对接</w:t>
                  </w:r>
                </w:p>
              </w:tc>
              <w:tc>
                <w:tcPr>
                  <w:tcW w:type="dxa" w:w="4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0"/>
              </w:rPr>
              <w:t>2.技术参数</w:t>
            </w:r>
          </w:p>
          <w:tbl>
            <w:tblPr>
              <w:tblInd w:type="dxa" w:w="120"/>
              <w:tblBorders>
                <w:top w:val="none" w:color="000000" w:sz="4"/>
                <w:left w:val="none" w:color="000000" w:sz="4"/>
                <w:bottom w:val="none" w:color="000000" w:sz="4"/>
                <w:right w:val="none" w:color="000000" w:sz="4"/>
                <w:insideH w:val="none"/>
                <w:insideV w:val="none"/>
              </w:tblBorders>
            </w:tblPr>
            <w:tblGrid>
              <w:gridCol w:w="217"/>
              <w:gridCol w:w="257"/>
              <w:gridCol w:w="223"/>
              <w:gridCol w:w="223"/>
              <w:gridCol w:w="1619"/>
            </w:tblGrid>
            <w:tr>
              <w:tc>
                <w:tcPr>
                  <w:tcW w:type="dxa" w:w="21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设备名称</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16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参数</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智能教学交互设备</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18"/>
                      <w:color w:val="000000"/>
                    </w:rPr>
                    <w:t>采用</w:t>
                  </w:r>
                  <w:r>
                    <w:rPr>
                      <w:rFonts w:ascii="仿宋_GB2312" w:hAnsi="仿宋_GB2312" w:cs="仿宋_GB2312" w:eastAsia="仿宋_GB2312"/>
                      <w:sz w:val="18"/>
                      <w:color w:val="000000"/>
                    </w:rPr>
                    <w:t>98英寸液晶显示屏，显示分辨率≥3840x2160，可视⻆度≥170°。</w:t>
                  </w:r>
                  <w:r>
                    <w:br/>
                  </w:r>
                  <w:r>
                    <w:rPr>
                      <w:rFonts w:ascii="仿宋_GB2312" w:hAnsi="仿宋_GB2312" w:cs="仿宋_GB2312" w:eastAsia="仿宋_GB2312"/>
                      <w:sz w:val="18"/>
                      <w:color w:val="000000"/>
                    </w:rPr>
                    <w:t>2、终端自带CPU≥8核，主频≥2.2GHz，内存≥4GB，存储空间≥64GB。</w:t>
                  </w:r>
                  <w:r>
                    <w:br/>
                  </w:r>
                  <w:r>
                    <w:rPr>
                      <w:rFonts w:ascii="仿宋_GB2312" w:hAnsi="仿宋_GB2312" w:cs="仿宋_GB2312" w:eastAsia="仿宋_GB2312"/>
                      <w:sz w:val="18"/>
                      <w:color w:val="000000"/>
                    </w:rPr>
                    <w:t>3、整机CPU芯片，WIFI与蓝牙芯片、摄像头图像处理芯片、均采用国产自主芯片。</w:t>
                  </w:r>
                  <w:r>
                    <w:br/>
                  </w:r>
                  <w:r>
                    <w:rPr>
                      <w:rFonts w:ascii="仿宋_GB2312" w:hAnsi="仿宋_GB2312" w:cs="仿宋_GB2312" w:eastAsia="仿宋_GB2312"/>
                      <w:sz w:val="18"/>
                      <w:color w:val="000000"/>
                    </w:rPr>
                    <w:t>4、内置2.2声道扬声器，高音扬声器及中低音扬声器均不少于2个，功率≥80W，内置≥8阵列麦克风。</w:t>
                  </w:r>
                  <w:r>
                    <w:br/>
                  </w:r>
                  <w:r>
                    <w:rPr>
                      <w:rFonts w:ascii="仿宋_GB2312" w:hAnsi="仿宋_GB2312" w:cs="仿宋_GB2312" w:eastAsia="仿宋_GB2312"/>
                      <w:sz w:val="18"/>
                      <w:color w:val="000000"/>
                    </w:rPr>
                    <w:t>5、可通过前置面板物理按键一键启动录屏功能，将屏幕中显示的课件、音频内容与人声同时录制设备</w:t>
                  </w:r>
                </w:p>
                <w:p>
                  <w:pPr>
                    <w:pStyle w:val="null3"/>
                    <w:jc w:val="left"/>
                  </w:pPr>
                  <w:r>
                    <w:rPr>
                      <w:rFonts w:ascii="仿宋_GB2312" w:hAnsi="仿宋_GB2312" w:cs="仿宋_GB2312" w:eastAsia="仿宋_GB2312"/>
                      <w:sz w:val="18"/>
                      <w:color w:val="000000"/>
                    </w:rPr>
                    <w:t>6、非独立摄像头≥5000万像素，视场角≥135度且水平视场角≥120度，可输出4:3、16:9比例的图片和视频；</w:t>
                  </w:r>
                  <w:r>
                    <w:br/>
                  </w:r>
                  <w:r>
                    <w:rPr>
                      <w:rFonts w:ascii="仿宋_GB2312" w:hAnsi="仿宋_GB2312" w:cs="仿宋_GB2312" w:eastAsia="仿宋_GB2312"/>
                      <w:sz w:val="18"/>
                      <w:color w:val="000000"/>
                    </w:rPr>
                    <w:t>▲7、整机采用红外触控技术，Windows系统和Android系统均具备≥50点触控及书写划线。触控延迟≤25ms。触摸响应≤4ms。触摸识别物≤3mm。</w:t>
                  </w:r>
                  <w:r>
                    <w:br/>
                  </w:r>
                  <w:r>
                    <w:rPr>
                      <w:rFonts w:ascii="仿宋_GB2312" w:hAnsi="仿宋_GB2312" w:cs="仿宋_GB2312" w:eastAsia="仿宋_GB2312"/>
                      <w:sz w:val="18"/>
                      <w:color w:val="000000"/>
                    </w:rPr>
                    <w:t>8、内置电脑模块，CPU主频≥2.0Ghz，核心数≥8核心，</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≥16GBDDR4。硬盘≥512GB、</w:t>
                  </w:r>
                  <w:r>
                    <w:rPr>
                      <w:rFonts w:ascii="仿宋_GB2312" w:hAnsi="仿宋_GB2312" w:cs="仿宋_GB2312" w:eastAsia="仿宋_GB2312"/>
                      <w:sz w:val="18"/>
                      <w:color w:val="000000"/>
                    </w:rPr>
                    <w:t>SSD固态硬盘。</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教学书写绿板</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整体尺寸</w:t>
                  </w:r>
                  <w:r>
                    <w:rPr>
                      <w:rFonts w:ascii="仿宋_GB2312" w:hAnsi="仿宋_GB2312" w:cs="仿宋_GB2312" w:eastAsia="仿宋_GB2312"/>
                      <w:sz w:val="18"/>
                      <w:color w:val="000000"/>
                    </w:rPr>
                    <w:t>≥4000mm*1420mm；须与98英寸</w:t>
                  </w:r>
                  <w:r>
                    <w:rPr>
                      <w:rFonts w:ascii="仿宋_GB2312" w:hAnsi="仿宋_GB2312" w:cs="仿宋_GB2312" w:eastAsia="仿宋_GB2312"/>
                      <w:sz w:val="18"/>
                      <w:color w:val="000000"/>
                    </w:rPr>
                    <w:t>触控显示终端适配并整体包边，黑板尺寸</w:t>
                  </w:r>
                  <w:r>
                    <w:rPr>
                      <w:rFonts w:ascii="仿宋_GB2312" w:hAnsi="仿宋_GB2312" w:cs="仿宋_GB2312" w:eastAsia="仿宋_GB2312"/>
                      <w:sz w:val="18"/>
                      <w:color w:val="000000"/>
                    </w:rPr>
                    <w:t>≥1500mm＊1350mm。书写面板采用墨绿色烤漆面板，厚度≥0.3mm，外框及黑板边框须采用金属型材包边。</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教学转播设备</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显示分辨率</w:t>
                  </w:r>
                  <w:r>
                    <w:rPr>
                      <w:rFonts w:ascii="仿宋_GB2312" w:hAnsi="仿宋_GB2312" w:cs="仿宋_GB2312" w:eastAsia="仿宋_GB2312"/>
                      <w:sz w:val="18"/>
                      <w:color w:val="000000"/>
                    </w:rPr>
                    <w:t>≥4K，预装安卓系统；显示尺寸≥55英寸</w:t>
                  </w:r>
                  <w:r>
                    <w:rPr>
                      <w:rFonts w:ascii="仿宋_GB2312" w:hAnsi="仿宋_GB2312" w:cs="仿宋_GB2312" w:eastAsia="仿宋_GB2312"/>
                      <w:sz w:val="18"/>
                      <w:color w:val="000000"/>
                    </w:rPr>
                    <w:t>，加电自启，输入端口</w:t>
                  </w:r>
                  <w:r>
                    <w:rPr>
                      <w:rFonts w:ascii="仿宋_GB2312" w:hAnsi="仿宋_GB2312" w:cs="仿宋_GB2312" w:eastAsia="仿宋_GB2312"/>
                      <w:sz w:val="18"/>
                      <w:color w:val="000000"/>
                    </w:rPr>
                    <w:t>≥1*USB 、≥1*HDMI；按学校要求配套伸缩支架。</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教师教学状态采集设备</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有效像素</w:t>
                  </w:r>
                  <w:r>
                    <w:rPr>
                      <w:rFonts w:ascii="仿宋_GB2312" w:hAnsi="仿宋_GB2312" w:cs="仿宋_GB2312" w:eastAsia="仿宋_GB2312"/>
                      <w:sz w:val="18"/>
                      <w:color w:val="000000"/>
                    </w:rPr>
                    <w:t>≥800万；图像传感器≥1/2.8</w:t>
                  </w:r>
                  <w:r>
                    <w:rPr>
                      <w:rFonts w:ascii="仿宋_GB2312" w:hAnsi="仿宋_GB2312" w:cs="仿宋_GB2312" w:eastAsia="仿宋_GB2312"/>
                      <w:sz w:val="18"/>
                      <w:color w:val="000000"/>
                    </w:rPr>
                    <w:t>英寸</w:t>
                  </w:r>
                  <w:r>
                    <w:rPr>
                      <w:rFonts w:ascii="仿宋_GB2312" w:hAnsi="仿宋_GB2312" w:cs="仿宋_GB2312" w:eastAsia="仿宋_GB2312"/>
                      <w:sz w:val="18"/>
                      <w:color w:val="000000"/>
                    </w:rPr>
                    <w:t>CMOS；水平视场角≥40°,垂直≥20°</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内置教师图像跟踪算法，单镜头可输出全景和特写两个景别；</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特写和全景同时</w:t>
                  </w:r>
                  <w:r>
                    <w:rPr>
                      <w:rFonts w:ascii="仿宋_GB2312" w:hAnsi="仿宋_GB2312" w:cs="仿宋_GB2312" w:eastAsia="仿宋_GB2312"/>
                      <w:sz w:val="18"/>
                      <w:color w:val="000000"/>
                    </w:rPr>
                    <w:t>RTSP推流；≥3种跟踪模式设置</w:t>
                  </w:r>
                  <w:r>
                    <w:rPr>
                      <w:rFonts w:ascii="仿宋_GB2312" w:hAnsi="仿宋_GB2312" w:cs="仿宋_GB2312" w:eastAsia="仿宋_GB2312"/>
                      <w:sz w:val="18"/>
                      <w:color w:val="000000"/>
                    </w:rPr>
                    <w:t>，</w:t>
                  </w:r>
                  <w:r>
                    <w:rPr>
                      <w:rFonts w:ascii="仿宋_GB2312" w:hAnsi="仿宋_GB2312" w:cs="仿宋_GB2312" w:eastAsia="仿宋_GB2312"/>
                      <w:sz w:val="18"/>
                      <w:color w:val="000000"/>
                    </w:rPr>
                    <w:t>包括但不限于实时跟踪模式、电影模式、区域跟踪模式；</w:t>
                  </w:r>
                  <w:r>
                    <w:rPr>
                      <w:rFonts w:ascii="仿宋_GB2312" w:hAnsi="仿宋_GB2312" w:cs="仿宋_GB2312" w:eastAsia="仿宋_GB2312"/>
                      <w:sz w:val="18"/>
                      <w:color w:val="000000"/>
                    </w:rPr>
                    <w:t>≥2种</w:t>
                  </w:r>
                  <w:r>
                    <w:rPr>
                      <w:rFonts w:ascii="仿宋_GB2312" w:hAnsi="仿宋_GB2312" w:cs="仿宋_GB2312" w:eastAsia="仿宋_GB2312"/>
                      <w:sz w:val="18"/>
                      <w:color w:val="000000"/>
                    </w:rPr>
                    <w:t>跟踪</w:t>
                  </w:r>
                  <w:r>
                    <w:rPr>
                      <w:rFonts w:ascii="仿宋_GB2312" w:hAnsi="仿宋_GB2312" w:cs="仿宋_GB2312" w:eastAsia="仿宋_GB2312"/>
                      <w:sz w:val="18"/>
                      <w:color w:val="000000"/>
                    </w:rPr>
                    <w:t>动作调节、方向调节；</w:t>
                  </w:r>
                </w:p>
                <w:p>
                  <w:pPr>
                    <w:pStyle w:val="null3"/>
                    <w:jc w:val="both"/>
                  </w:pP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RJ45接口，USB接口</w:t>
                  </w:r>
                  <w:r>
                    <w:rPr>
                      <w:rFonts w:ascii="仿宋_GB2312" w:hAnsi="仿宋_GB2312" w:cs="仿宋_GB2312" w:eastAsia="仿宋_GB2312"/>
                      <w:sz w:val="18"/>
                      <w:color w:val="000000"/>
                    </w:rPr>
                    <w:t>均不少于</w:t>
                  </w:r>
                  <w:r>
                    <w:rPr>
                      <w:rFonts w:ascii="仿宋_GB2312" w:hAnsi="仿宋_GB2312" w:cs="仿宋_GB2312" w:eastAsia="仿宋_GB2312"/>
                      <w:sz w:val="18"/>
                      <w:color w:val="000000"/>
                    </w:rPr>
                    <w:t>1路</w:t>
                  </w:r>
                  <w:r>
                    <w:rPr>
                      <w:rFonts w:ascii="仿宋_GB2312" w:hAnsi="仿宋_GB2312" w:cs="仿宋_GB2312" w:eastAsia="仿宋_GB2312"/>
                      <w:sz w:val="18"/>
                      <w:color w:val="000000"/>
                    </w:rPr>
                    <w:t>；具备</w:t>
                  </w:r>
                  <w:r>
                    <w:rPr>
                      <w:rFonts w:ascii="仿宋_GB2312" w:hAnsi="仿宋_GB2312" w:cs="仿宋_GB2312" w:eastAsia="仿宋_GB2312"/>
                      <w:sz w:val="18"/>
                      <w:color w:val="000000"/>
                    </w:rPr>
                    <w:t>POE供电及信号传输，同时</w:t>
                  </w:r>
                  <w:r>
                    <w:rPr>
                      <w:rFonts w:ascii="仿宋_GB2312" w:hAnsi="仿宋_GB2312" w:cs="仿宋_GB2312" w:eastAsia="仿宋_GB2312"/>
                      <w:sz w:val="18"/>
                      <w:color w:val="000000"/>
                    </w:rPr>
                    <w:t>可</w:t>
                  </w:r>
                  <w:r>
                    <w:rPr>
                      <w:rFonts w:ascii="仿宋_GB2312" w:hAnsi="仿宋_GB2312" w:cs="仿宋_GB2312" w:eastAsia="仿宋_GB2312"/>
                      <w:sz w:val="18"/>
                      <w:color w:val="000000"/>
                    </w:rPr>
                    <w:t>输出多路画面</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视频压缩</w:t>
                  </w:r>
                  <w:r>
                    <w:rPr>
                      <w:rFonts w:ascii="仿宋_GB2312" w:hAnsi="仿宋_GB2312" w:cs="仿宋_GB2312" w:eastAsia="仿宋_GB2312"/>
                      <w:sz w:val="18"/>
                      <w:color w:val="000000"/>
                    </w:rPr>
                    <w:t>H.264、H.265；音频压缩AAC，音频接口：≥1路LINE IN；</w:t>
                  </w:r>
                </w:p>
                <w:p>
                  <w:pPr>
                    <w:pStyle w:val="null3"/>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RTSP、RTMP、ONVIF等</w:t>
                  </w:r>
                  <w:r>
                    <w:rPr>
                      <w:rFonts w:ascii="仿宋_GB2312" w:hAnsi="仿宋_GB2312" w:cs="仿宋_GB2312" w:eastAsia="仿宋_GB2312"/>
                      <w:sz w:val="18"/>
                      <w:color w:val="000000"/>
                    </w:rPr>
                    <w:t>网络</w:t>
                  </w:r>
                  <w:r>
                    <w:rPr>
                      <w:rFonts w:ascii="仿宋_GB2312" w:hAnsi="仿宋_GB2312" w:cs="仿宋_GB2312" w:eastAsia="仿宋_GB2312"/>
                      <w:sz w:val="18"/>
                      <w:color w:val="000000"/>
                    </w:rPr>
                    <w:t>协议；</w:t>
                  </w:r>
                </w:p>
                <w:p>
                  <w:pPr>
                    <w:pStyle w:val="null3"/>
                    <w:jc w:val="both"/>
                  </w:pPr>
                  <w:r>
                    <w:rPr>
                      <w:rFonts w:ascii="仿宋_GB2312" w:hAnsi="仿宋_GB2312" w:cs="仿宋_GB2312" w:eastAsia="仿宋_GB2312"/>
                      <w:sz w:val="18"/>
                      <w:color w:val="000000"/>
                    </w:rPr>
                    <w:t>6、为后期拓展AI分析，须与学校现有的系统实现统一纳管。</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学生学习状态采集分析设备</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▲1、采用物理云台式双镜头一体化嵌入式架构，有效像素≥800万,≥3840x2160 25FPS视频输出，兼容1080p，720p等分辨率。</w:t>
                  </w:r>
                  <w:r>
                    <w:br/>
                  </w:r>
                  <w:r>
                    <w:rPr>
                      <w:rFonts w:ascii="仿宋_GB2312" w:hAnsi="仿宋_GB2312" w:cs="仿宋_GB2312" w:eastAsia="仿宋_GB2312"/>
                      <w:sz w:val="18"/>
                      <w:color w:val="000000"/>
                    </w:rPr>
                    <w:t>2、具备2D/3D降噪算法及噪点控制功能。</w:t>
                  </w:r>
                  <w:r>
                    <w:br/>
                  </w:r>
                  <w:r>
                    <w:rPr>
                      <w:rFonts w:ascii="仿宋_GB2312" w:hAnsi="仿宋_GB2312" w:cs="仿宋_GB2312" w:eastAsia="仿宋_GB2312"/>
                      <w:sz w:val="18"/>
                      <w:color w:val="000000"/>
                    </w:rPr>
                    <w:t>3、以下接口均须≥1路：RJ45接口（具备POE功能）、HDMI接口、RS232 IN接口；</w:t>
                  </w:r>
                </w:p>
                <w:p>
                  <w:pPr>
                    <w:pStyle w:val="null3"/>
                    <w:jc w:val="left"/>
                  </w:pPr>
                  <w:r>
                    <w:rPr>
                      <w:rFonts w:ascii="仿宋_GB2312" w:hAnsi="仿宋_GB2312" w:cs="仿宋_GB2312" w:eastAsia="仿宋_GB2312"/>
                      <w:sz w:val="18"/>
                      <w:color w:val="000000"/>
                    </w:rPr>
                    <w:t>4、特写分析镜头图像传感器≥1/2.5</w:t>
                  </w:r>
                  <w:r>
                    <w:rPr>
                      <w:rFonts w:ascii="仿宋_GB2312" w:hAnsi="仿宋_GB2312" w:cs="仿宋_GB2312" w:eastAsia="仿宋_GB2312"/>
                      <w:sz w:val="18"/>
                      <w:color w:val="000000"/>
                    </w:rPr>
                    <w:t>英寸</w:t>
                  </w:r>
                  <w:r>
                    <w:rPr>
                      <w:rFonts w:ascii="仿宋_GB2312" w:hAnsi="仿宋_GB2312" w:cs="仿宋_GB2312" w:eastAsia="仿宋_GB2312"/>
                      <w:sz w:val="18"/>
                      <w:color w:val="000000"/>
                    </w:rPr>
                    <w:t>CMOS，有效像素≥820万，焦距不低于4.7～94.0mm，光学变焦≥12倍，视场角≥50°，通过手动或自动东调节实现聚焦，PTZ触发，一键触发；</w:t>
                  </w:r>
                  <w:r>
                    <w:br/>
                  </w:r>
                  <w:r>
                    <w:rPr>
                      <w:rFonts w:ascii="仿宋_GB2312" w:hAnsi="仿宋_GB2312" w:cs="仿宋_GB2312" w:eastAsia="仿宋_GB2312"/>
                      <w:sz w:val="18"/>
                      <w:color w:val="000000"/>
                    </w:rPr>
                    <w:t>▲5、全景分析镜头图像传感器≥1/2.5</w:t>
                  </w:r>
                  <w:r>
                    <w:rPr>
                      <w:rFonts w:ascii="仿宋_GB2312" w:hAnsi="仿宋_GB2312" w:cs="仿宋_GB2312" w:eastAsia="仿宋_GB2312"/>
                      <w:sz w:val="18"/>
                      <w:color w:val="000000"/>
                    </w:rPr>
                    <w:t>英寸</w:t>
                  </w:r>
                  <w:r>
                    <w:rPr>
                      <w:rFonts w:ascii="仿宋_GB2312" w:hAnsi="仿宋_GB2312" w:cs="仿宋_GB2312" w:eastAsia="仿宋_GB2312"/>
                      <w:sz w:val="18"/>
                      <w:color w:val="000000"/>
                    </w:rPr>
                    <w:t>CMOS，有效像素≥800万，焦距≥2.8mm，视场角水平≥90°，垂直≥60°；自动畸变矫正；</w:t>
                  </w:r>
                  <w:r>
                    <w:br/>
                  </w:r>
                  <w:r>
                    <w:rPr>
                      <w:rFonts w:ascii="仿宋_GB2312" w:hAnsi="仿宋_GB2312" w:cs="仿宋_GB2312" w:eastAsia="仿宋_GB2312"/>
                      <w:sz w:val="18"/>
                      <w:color w:val="000000"/>
                    </w:rPr>
                    <w:t>6、通过RJ45接口实现摄像机供电、控制和信号同步传输功能，同时输出特写和全景等多路画面。</w:t>
                  </w:r>
                  <w:r>
                    <w:br/>
                  </w:r>
                  <w:r>
                    <w:rPr>
                      <w:rFonts w:ascii="仿宋_GB2312" w:hAnsi="仿宋_GB2312" w:cs="仿宋_GB2312" w:eastAsia="仿宋_GB2312"/>
                      <w:sz w:val="18"/>
                      <w:color w:val="000000"/>
                    </w:rPr>
                    <w:t>7、网络协议：具备HTTP，RTSP，RTMP，TCP，UDP，ONVIF协议等。</w:t>
                  </w:r>
                  <w:r>
                    <w:br/>
                  </w:r>
                  <w:r>
                    <w:rPr>
                      <w:rFonts w:ascii="仿宋_GB2312" w:hAnsi="仿宋_GB2312" w:cs="仿宋_GB2312" w:eastAsia="仿宋_GB2312"/>
                      <w:sz w:val="18"/>
                      <w:color w:val="000000"/>
                    </w:rPr>
                    <w:t>▲8、具备采集、计算处理、存储、上报等模型机制，</w:t>
                  </w:r>
                  <w:r>
                    <w:br/>
                  </w:r>
                  <w:r>
                    <w:rPr>
                      <w:rFonts w:ascii="仿宋_GB2312" w:hAnsi="仿宋_GB2312" w:cs="仿宋_GB2312" w:eastAsia="仿宋_GB2312"/>
                      <w:sz w:val="18"/>
                      <w:color w:val="000000"/>
                    </w:rPr>
                    <w:t>9、实现web页面访问方式进行设置，包括但不限于上下左右灵敏度设置，镜头推进速度设置，云台控制，镜头对焦及校正，云台位置等配置。</w:t>
                  </w:r>
                  <w:r>
                    <w:br/>
                  </w:r>
                  <w:r>
                    <w:rPr>
                      <w:rFonts w:ascii="仿宋_GB2312" w:hAnsi="仿宋_GB2312" w:cs="仿宋_GB2312" w:eastAsia="仿宋_GB2312"/>
                      <w:sz w:val="18"/>
                      <w:color w:val="000000"/>
                    </w:rPr>
                    <w:t>●10、实现课堂学情统计分析功能，包括但不限于：前排就座率、抬头率、空座率；自由设定前排区间框架及座位数进行统计；可显示每个课程的组织机构、教师、标题、日期、学生应到人数、实到人数、出勤率、课堂抓拍等信息；（演示项）</w:t>
                  </w:r>
                  <w:r>
                    <w:br/>
                  </w:r>
                  <w:r>
                    <w:rPr>
                      <w:rFonts w:ascii="仿宋_GB2312" w:hAnsi="仿宋_GB2312" w:cs="仿宋_GB2312" w:eastAsia="仿宋_GB2312"/>
                      <w:sz w:val="18"/>
                      <w:color w:val="000000"/>
                    </w:rPr>
                    <w:t>11、实现分析结果统计功能，可显示每个时间节点中实到人数和抬头人数统计；具备多种展示方式，包括曲线图形式显示，曲线高低节点实现抬头率数据对比，形成教室数据分析与学生数据分析；</w:t>
                  </w:r>
                  <w:r>
                    <w:br/>
                  </w:r>
                  <w:r>
                    <w:rPr>
                      <w:rFonts w:ascii="仿宋_GB2312" w:hAnsi="仿宋_GB2312" w:cs="仿宋_GB2312" w:eastAsia="仿宋_GB2312"/>
                      <w:sz w:val="18"/>
                      <w:color w:val="000000"/>
                    </w:rPr>
                    <w:t>12、</w:t>
                  </w:r>
                  <w:r>
                    <w:rPr>
                      <w:rFonts w:ascii="仿宋_GB2312" w:hAnsi="仿宋_GB2312" w:cs="仿宋_GB2312" w:eastAsia="仿宋_GB2312"/>
                      <w:sz w:val="18"/>
                      <w:color w:val="000000"/>
                    </w:rPr>
                    <w:t>实现以</w:t>
                  </w:r>
                  <w:r>
                    <w:rPr>
                      <w:rFonts w:ascii="仿宋_GB2312" w:hAnsi="仿宋_GB2312" w:cs="仿宋_GB2312" w:eastAsia="仿宋_GB2312"/>
                      <w:sz w:val="18"/>
                      <w:color w:val="000000"/>
                    </w:rPr>
                    <w:t>实时电视墙的形式推送在网页端进行学情分析数据排序呈现；</w:t>
                  </w:r>
                  <w:r>
                    <w:br/>
                  </w:r>
                  <w:r>
                    <w:rPr>
                      <w:rFonts w:ascii="仿宋_GB2312" w:hAnsi="仿宋_GB2312" w:cs="仿宋_GB2312" w:eastAsia="仿宋_GB2312"/>
                      <w:sz w:val="18"/>
                      <w:color w:val="000000"/>
                    </w:rPr>
                    <w:t>●13、学生课堂行为分析模块：须具备学生行为画像功能，可以通过关键词检索查看学生行为，根据举手、趴桌、站立、向后看等维度。（演示项）</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b/>
                      <w:color w:val="000000"/>
                    </w:rPr>
                    <w:t>录播采集管理软硬件设备</w:t>
                  </w:r>
                  <w:r>
                    <w:rPr>
                      <w:rFonts w:ascii="仿宋_GB2312" w:hAnsi="仿宋_GB2312" w:cs="仿宋_GB2312" w:eastAsia="仿宋_GB2312"/>
                      <w:sz w:val="20"/>
                      <w:b/>
                      <w:color w:val="000000"/>
                    </w:rPr>
                    <w:t>（核心产品）</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1、内置</w:t>
                  </w:r>
                  <w:r>
                    <w:rPr>
                      <w:rFonts w:ascii="仿宋_GB2312" w:hAnsi="仿宋_GB2312" w:cs="仿宋_GB2312" w:eastAsia="仿宋_GB2312"/>
                      <w:sz w:val="18"/>
                      <w:color w:val="000000"/>
                    </w:rPr>
                    <w:t>操作系统，实现音视频信号采集、录制、直播、导播、</w:t>
                  </w:r>
                  <w:r>
                    <w:rPr>
                      <w:rFonts w:ascii="仿宋_GB2312" w:hAnsi="仿宋_GB2312" w:cs="仿宋_GB2312" w:eastAsia="仿宋_GB2312"/>
                      <w:sz w:val="18"/>
                      <w:color w:val="000000"/>
                    </w:rPr>
                    <w:t>1对多音视频互动等功能集成一体化；</w:t>
                  </w:r>
                  <w:r>
                    <w:br/>
                  </w:r>
                  <w:r>
                    <w:rPr>
                      <w:rFonts w:ascii="仿宋_GB2312" w:hAnsi="仿宋_GB2312" w:cs="仿宋_GB2312" w:eastAsia="仿宋_GB2312"/>
                      <w:sz w:val="18"/>
                      <w:color w:val="000000"/>
                    </w:rPr>
                    <w:t>2、HDMI输入接口≥2路，HDMI输出接口≥2路，内置≥512G硬盘，USB端口≥2路，Line in输入接口≥2路，Line Out输出接口≥2路；</w:t>
                  </w:r>
                </w:p>
                <w:p>
                  <w:pPr>
                    <w:pStyle w:val="null3"/>
                    <w:jc w:val="both"/>
                  </w:pPr>
                  <w:r>
                    <w:rPr>
                      <w:rFonts w:ascii="仿宋_GB2312" w:hAnsi="仿宋_GB2312" w:cs="仿宋_GB2312" w:eastAsia="仿宋_GB2312"/>
                      <w:sz w:val="18"/>
                      <w:color w:val="000000"/>
                    </w:rPr>
                    <w:t>▲3、内置幻象供电MIC接口，≥7路RS-232控制接口，并可外接≥5路摄像机云台，10/100/1000Mbps自适应网口，≥3个POE供电接口；</w:t>
                  </w:r>
                  <w:r>
                    <w:br/>
                  </w:r>
                  <w:r>
                    <w:rPr>
                      <w:rFonts w:ascii="仿宋_GB2312" w:hAnsi="仿宋_GB2312" w:cs="仿宋_GB2312" w:eastAsia="仿宋_GB2312"/>
                      <w:sz w:val="18"/>
                      <w:color w:val="000000"/>
                    </w:rPr>
                    <w:t>4、实现通过软硬件采集的</w:t>
                  </w:r>
                  <w:r>
                    <w:rPr>
                      <w:rFonts w:ascii="仿宋_GB2312" w:hAnsi="仿宋_GB2312" w:cs="仿宋_GB2312" w:eastAsia="仿宋_GB2312"/>
                      <w:sz w:val="18"/>
                      <w:color w:val="000000"/>
                    </w:rPr>
                    <w:t>编码方式进行音视频采集，</w:t>
                  </w:r>
                  <w:r>
                    <w:rPr>
                      <w:rFonts w:ascii="仿宋_GB2312" w:hAnsi="仿宋_GB2312" w:cs="仿宋_GB2312" w:eastAsia="仿宋_GB2312"/>
                      <w:sz w:val="18"/>
                    </w:rPr>
                    <w:t>兼容</w:t>
                  </w:r>
                  <w:r>
                    <w:rPr>
                      <w:rFonts w:ascii="仿宋_GB2312" w:hAnsi="仿宋_GB2312" w:cs="仿宋_GB2312" w:eastAsia="仿宋_GB2312"/>
                      <w:sz w:val="18"/>
                      <w:color w:val="000000"/>
                    </w:rPr>
                    <w:t>H.264、H.265视频编码等协议，PCMA（G.711A）、AAC音频编码；</w:t>
                  </w:r>
                  <w:r>
                    <w:br/>
                  </w:r>
                  <w:r>
                    <w:rPr>
                      <w:rFonts w:ascii="仿宋_GB2312" w:hAnsi="仿宋_GB2312" w:cs="仿宋_GB2312" w:eastAsia="仿宋_GB2312"/>
                      <w:sz w:val="18"/>
                      <w:color w:val="000000"/>
                    </w:rPr>
                    <w:t xml:space="preserve">5、视频输入格式包括但不限于1080P@60fps、1080P@30fps、1080P@25fps等，视频编码格式包括但不限于1080P@30fps、1080P@25fps、1080P@20fps、1080P@15fps、1080P@10fps、1080P@5fps可选； </w:t>
                  </w:r>
                  <w:r>
                    <w:br/>
                  </w:r>
                  <w:r>
                    <w:rPr>
                      <w:rFonts w:ascii="仿宋_GB2312" w:hAnsi="仿宋_GB2312" w:cs="仿宋_GB2312" w:eastAsia="仿宋_GB2312"/>
                      <w:sz w:val="18"/>
                      <w:color w:val="000000"/>
                    </w:rPr>
                    <w:t>▲6、内置专业音频处理模块，实现增益控制、回声消除、噪声抑制、智</w:t>
                  </w:r>
                  <w:r>
                    <w:rPr>
                      <w:rFonts w:ascii="仿宋_GB2312" w:hAnsi="仿宋_GB2312" w:cs="仿宋_GB2312" w:eastAsia="仿宋_GB2312"/>
                      <w:sz w:val="18"/>
                      <w:color w:val="000000"/>
                    </w:rPr>
                    <w:t>能混音等专业音频处理功能，满足远程音视频互动的需求；</w:t>
                  </w:r>
                  <w:r>
                    <w:br/>
                  </w:r>
                  <w:r>
                    <w:rPr>
                      <w:rFonts w:ascii="仿宋_GB2312" w:hAnsi="仿宋_GB2312" w:cs="仿宋_GB2312" w:eastAsia="仿宋_GB2312"/>
                      <w:sz w:val="18"/>
                      <w:color w:val="000000"/>
                    </w:rPr>
                    <w:t>7、兼容TCP/IP、RTSP、HTTP、FTP等标准网络协议，并具备IPv4与IPv6双栈网络的通信能力。</w:t>
                  </w:r>
                </w:p>
                <w:p>
                  <w:pPr>
                    <w:pStyle w:val="null3"/>
                    <w:jc w:val="left"/>
                  </w:pPr>
                  <w:r>
                    <w:rPr>
                      <w:rFonts w:ascii="仿宋_GB2312" w:hAnsi="仿宋_GB2312" w:cs="仿宋_GB2312" w:eastAsia="仿宋_GB2312"/>
                      <w:sz w:val="18"/>
                      <w:color w:val="000000"/>
                    </w:rPr>
                    <w:t>▲8、实现对课堂教学行为的实</w:t>
                  </w:r>
                  <w:r>
                    <w:rPr>
                      <w:rFonts w:ascii="仿宋_GB2312" w:hAnsi="仿宋_GB2312" w:cs="仿宋_GB2312" w:eastAsia="仿宋_GB2312"/>
                      <w:sz w:val="18"/>
                      <w:color w:val="000000"/>
                    </w:rPr>
                    <w:t>时分析；通过对课堂场景进行自动捕捉与分析，快速预览功能实时查看学生的实时分析界面，实现学生检测、学生行为分析；</w:t>
                  </w:r>
                  <w:r>
                    <w:br/>
                  </w:r>
                  <w:r>
                    <w:rPr>
                      <w:rFonts w:ascii="仿宋_GB2312" w:hAnsi="仿宋_GB2312" w:cs="仿宋_GB2312" w:eastAsia="仿宋_GB2312"/>
                      <w:sz w:val="18"/>
                      <w:color w:val="000000"/>
                    </w:rPr>
                    <w:t>▲</w:t>
                  </w:r>
                  <w:r>
                    <w:rPr>
                      <w:rFonts w:ascii="仿宋_GB2312" w:hAnsi="仿宋_GB2312" w:cs="仿宋_GB2312" w:eastAsia="仿宋_GB2312"/>
                      <w:sz w:val="18"/>
                      <w:color w:val="000000"/>
                    </w:rPr>
                    <w:t>9、基于B/S架构，兼容主流浏览器。包括但不限于视频处理模块、音频处理模块、VGA处理模块、直播模块、录制模块、管理模块等；</w:t>
                  </w:r>
                  <w:r>
                    <w:br/>
                  </w:r>
                  <w:r>
                    <w:rPr>
                      <w:rFonts w:ascii="仿宋_GB2312" w:hAnsi="仿宋_GB2312" w:cs="仿宋_GB2312" w:eastAsia="仿宋_GB2312"/>
                      <w:sz w:val="18"/>
                      <w:color w:val="000000"/>
                    </w:rPr>
                    <w:t>10、实现电影模式、资源模式等模式录制，≥1路电影模式加≥5路资源备份，可同时录制合成画面、教师全景、教师特写、学生全景、学生特写、板书画面、电脑画面。</w:t>
                  </w:r>
                  <w:r>
                    <w:br/>
                  </w:r>
                  <w:r>
                    <w:rPr>
                      <w:rFonts w:ascii="仿宋_GB2312" w:hAnsi="仿宋_GB2312" w:cs="仿宋_GB2312" w:eastAsia="仿宋_GB2312"/>
                      <w:sz w:val="18"/>
                      <w:color w:val="000000"/>
                    </w:rPr>
                    <w:t>11、录制格式须兼容MP4、FLV、TS等常见封装格式；录制分辨率≥1920×1080等高清标准；录制帧率选择可设定为25fps或30fps。</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12、实时显示录播主机硬盘使用情况，≥10路预监画面，可自定义通道预监画面名称。</w:t>
                  </w:r>
                  <w:r>
                    <w:rPr>
                      <w:rFonts w:ascii="仿宋_GB2312" w:hAnsi="仿宋_GB2312" w:cs="仿宋_GB2312" w:eastAsia="仿宋_GB2312"/>
                      <w:sz w:val="18"/>
                      <w:color w:val="000000"/>
                    </w:rPr>
                    <w:t>（演示项）</w:t>
                  </w:r>
                  <w:r>
                    <w:br/>
                  </w:r>
                  <w:r>
                    <w:rPr>
                      <w:rFonts w:ascii="仿宋_GB2312" w:hAnsi="仿宋_GB2312" w:cs="仿宋_GB2312" w:eastAsia="仿宋_GB2312"/>
                      <w:sz w:val="18"/>
                      <w:color w:val="000000"/>
                    </w:rPr>
                    <w:t>13、具备≥4个台标或LOGO的实时添加编辑功能，≥5种预设字幕的设置。</w:t>
                  </w:r>
                  <w:r>
                    <w:br/>
                  </w:r>
                  <w:r>
                    <w:rPr>
                      <w:rFonts w:ascii="仿宋_GB2312" w:hAnsi="仿宋_GB2312" w:cs="仿宋_GB2312" w:eastAsia="仿宋_GB2312"/>
                      <w:sz w:val="18"/>
                      <w:color w:val="000000"/>
                    </w:rPr>
                    <w:t>14、实现在断网情况下进行视频录制并存储于录播主机中功能，对设备异常断电、宕机造成的损坏视频文件进行修复。</w:t>
                  </w:r>
                  <w:r>
                    <w:rPr>
                      <w:rFonts w:ascii="仿宋_GB2312" w:hAnsi="仿宋_GB2312" w:cs="仿宋_GB2312" w:eastAsia="仿宋_GB2312"/>
                      <w:sz w:val="18"/>
                    </w:rPr>
                    <w:t>在磁盘格式化或满载后，提供停止录像和覆盖等至少两种模式。</w:t>
                  </w:r>
                  <w:r>
                    <w:rPr>
                      <w:rFonts w:ascii="仿宋_GB2312" w:hAnsi="仿宋_GB2312" w:cs="仿宋_GB2312" w:eastAsia="仿宋_GB2312"/>
                      <w:sz w:val="21"/>
                    </w:rPr>
                    <w:t xml:space="preserve">                   </w:t>
                  </w:r>
                  <w:r>
                    <w:br/>
                  </w:r>
                  <w:r>
                    <w:rPr>
                      <w:rFonts w:ascii="仿宋_GB2312" w:hAnsi="仿宋_GB2312" w:cs="仿宋_GB2312" w:eastAsia="仿宋_GB2312"/>
                      <w:sz w:val="18"/>
                      <w:color w:val="000000"/>
                    </w:rPr>
                    <w:t xml:space="preserve">15、通实现过浏览器即访问并使用导播功能，自定义布局方式，包括但不限于二分屏、三分屏、四分屏、画中画等布局； </w:t>
                  </w:r>
                  <w:r>
                    <w:br/>
                  </w:r>
                  <w:r>
                    <w:rPr>
                      <w:rFonts w:ascii="仿宋_GB2312" w:hAnsi="仿宋_GB2312" w:cs="仿宋_GB2312" w:eastAsia="仿宋_GB2312"/>
                      <w:sz w:val="18"/>
                      <w:color w:val="000000"/>
                    </w:rPr>
                    <w:t>▲16、</w:t>
                  </w:r>
                  <w:r>
                    <w:rPr>
                      <w:rFonts w:ascii="仿宋_GB2312" w:hAnsi="仿宋_GB2312" w:cs="仿宋_GB2312" w:eastAsia="仿宋_GB2312"/>
                      <w:sz w:val="18"/>
                    </w:rPr>
                    <w:t>具备视频会议功能，可根据网络状况自适应选择最佳分辨率与码流进行音视频互动；兼容</w:t>
                  </w:r>
                  <w:r>
                    <w:rPr>
                      <w:rFonts w:ascii="仿宋_GB2312" w:hAnsi="仿宋_GB2312" w:cs="仿宋_GB2312" w:eastAsia="仿宋_GB2312"/>
                      <w:sz w:val="18"/>
                    </w:rPr>
                    <w:t>SIP与H.323双协议栈，具有主动发起呼叫与被动接听功能；</w:t>
                  </w:r>
                  <w:r>
                    <w:br/>
                  </w:r>
                  <w:r>
                    <w:rPr>
                      <w:rFonts w:ascii="仿宋_GB2312" w:hAnsi="仿宋_GB2312" w:cs="仿宋_GB2312" w:eastAsia="仿宋_GB2312"/>
                      <w:sz w:val="18"/>
                      <w:color w:val="000000"/>
                    </w:rPr>
                    <w:t>▲17、</w:t>
                  </w:r>
                  <w:r>
                    <w:rPr>
                      <w:rFonts w:ascii="仿宋_GB2312" w:hAnsi="仿宋_GB2312" w:cs="仿宋_GB2312" w:eastAsia="仿宋_GB2312"/>
                      <w:sz w:val="18"/>
                    </w:rPr>
                    <w:t>具备电脑画面采集功能，教师电脑屏幕的采集至少满足屏幕变化百分比或像素变化值两种变化阈值设定的采集方式；</w:t>
                  </w:r>
                </w:p>
                <w:p>
                  <w:pPr>
                    <w:pStyle w:val="null3"/>
                    <w:jc w:val="left"/>
                  </w:pPr>
                  <w:r>
                    <w:rPr>
                      <w:rFonts w:ascii="仿宋_GB2312" w:hAnsi="仿宋_GB2312" w:cs="仿宋_GB2312" w:eastAsia="仿宋_GB2312"/>
                      <w:sz w:val="18"/>
                    </w:rPr>
                    <w:t>18、实现网络测试功能，包括上下行丢包率数据、带宽数据等。路由器跟踪测试，用于确定IP数据访问目标设备所经的路径；</w:t>
                  </w:r>
                  <w:r>
                    <w:br/>
                  </w:r>
                  <w:r>
                    <w:rPr>
                      <w:rFonts w:ascii="仿宋_GB2312" w:hAnsi="仿宋_GB2312" w:cs="仿宋_GB2312" w:eastAsia="仿宋_GB2312"/>
                      <w:sz w:val="18"/>
                    </w:rPr>
                    <w:t>19、自定义设置直播信号</w:t>
                  </w:r>
                  <w:r>
                    <w:rPr>
                      <w:rFonts w:ascii="仿宋_GB2312" w:hAnsi="仿宋_GB2312" w:cs="仿宋_GB2312" w:eastAsia="仿宋_GB2312"/>
                      <w:sz w:val="18"/>
                      <w:color w:val="000000"/>
                    </w:rPr>
                    <w:t>源、直播服务器信息，满足向</w:t>
                  </w:r>
                  <w:r>
                    <w:rPr>
                      <w:rFonts w:ascii="仿宋_GB2312" w:hAnsi="仿宋_GB2312" w:cs="仿宋_GB2312" w:eastAsia="仿宋_GB2312"/>
                      <w:sz w:val="18"/>
                      <w:color w:val="000000"/>
                    </w:rPr>
                    <w:t>≥3个直播服务器进行直播推流；</w:t>
                  </w:r>
                  <w:r>
                    <w:br/>
                  </w:r>
                  <w:r>
                    <w:rPr>
                      <w:rFonts w:ascii="仿宋_GB2312" w:hAnsi="仿宋_GB2312" w:cs="仿宋_GB2312" w:eastAsia="仿宋_GB2312"/>
                      <w:sz w:val="18"/>
                      <w:color w:val="000000"/>
                    </w:rPr>
                    <w:t>20、实现录像信息设置功能，至少包含学校名称或代码、学年学期、学科、授课年级、课程名称、教师、授课课时或日期、开课时间、授课地点及课程描述等教学信息；≥5种录制时长可选；自定义设置录像存储天数；进行查看录像列表、录像点播、下载、修改属性、删除等操作，录像文件支持自动上传平台；</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21、</w:t>
                  </w:r>
                  <w:r>
                    <w:rPr>
                      <w:rFonts w:ascii="仿宋_GB2312" w:hAnsi="仿宋_GB2312" w:cs="仿宋_GB2312" w:eastAsia="仿宋_GB2312"/>
                      <w:sz w:val="18"/>
                      <w:color w:val="000000"/>
                    </w:rPr>
                    <w:t>按照学校相关对接文档要求完成与学校相关系统对接，具有教学资源管理、课堂直播、课后学习评价、远程互动教学等功能，以满足数据互联互通、资源聚合的要求，须实现在同一平台下的录播计划自动创建和手动创建、课程点播、课程直播、资源管理、在线巡视、评课、督导教学等功能教学的应用。</w:t>
                  </w:r>
                  <w:r>
                    <w:br/>
                  </w:r>
                  <w:r>
                    <w:rPr>
                      <w:rFonts w:ascii="仿宋_GB2312" w:hAnsi="仿宋_GB2312" w:cs="仿宋_GB2312" w:eastAsia="仿宋_GB2312"/>
                      <w:sz w:val="18"/>
                      <w:color w:val="000000"/>
                    </w:rPr>
                    <w:t>22、与学校相关系统对接后，须实现且不限于以下功能：分权限管理：按人员身份分配巡课权限，限定具体课程、部分课程、全部课程等；根据用户个人使用习惯，实现分屏显示；巡课水印：通过巡课水印，防止视频被非法录制或窃取；评课活动：巡课过程中快速评课，打分评课与时间点评课；评课结束后快速生成评价报告。</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网络时钟</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1、时钟整体</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约为</w:t>
                  </w:r>
                  <w:r>
                    <w:rPr>
                      <w:rFonts w:ascii="仿宋_GB2312" w:hAnsi="仿宋_GB2312" w:cs="仿宋_GB2312" w:eastAsia="仿宋_GB2312"/>
                      <w:sz w:val="18"/>
                      <w:color w:val="000000"/>
                    </w:rPr>
                    <w:t>630mm*180mm*45mm；显示内容</w:t>
                  </w:r>
                  <w:r>
                    <w:rPr>
                      <w:rFonts w:ascii="仿宋_GB2312" w:hAnsi="仿宋_GB2312" w:cs="仿宋_GB2312" w:eastAsia="仿宋_GB2312"/>
                      <w:sz w:val="18"/>
                      <w:color w:val="000000"/>
                    </w:rPr>
                    <w:t>须</w:t>
                  </w:r>
                  <w:r>
                    <w:rPr>
                      <w:rFonts w:ascii="仿宋_GB2312" w:hAnsi="仿宋_GB2312" w:cs="仿宋_GB2312" w:eastAsia="仿宋_GB2312"/>
                      <w:sz w:val="18"/>
                      <w:color w:val="000000"/>
                    </w:rPr>
                    <w:t>包含</w:t>
                  </w:r>
                  <w:r>
                    <w:rPr>
                      <w:rFonts w:ascii="仿宋_GB2312" w:hAnsi="仿宋_GB2312" w:cs="仿宋_GB2312" w:eastAsia="仿宋_GB2312"/>
                      <w:sz w:val="18"/>
                      <w:color w:val="000000"/>
                    </w:rPr>
                    <w:t>：</w:t>
                  </w:r>
                  <w:r>
                    <w:rPr>
                      <w:rFonts w:ascii="仿宋_GB2312" w:hAnsi="仿宋_GB2312" w:cs="仿宋_GB2312" w:eastAsia="仿宋_GB2312"/>
                      <w:sz w:val="18"/>
                      <w:color w:val="000000"/>
                    </w:rPr>
                    <w:t>时</w:t>
                  </w:r>
                  <w:r>
                    <w:rPr>
                      <w:rFonts w:ascii="仿宋_GB2312" w:hAnsi="仿宋_GB2312" w:cs="仿宋_GB2312" w:eastAsia="仿宋_GB2312"/>
                      <w:sz w:val="18"/>
                      <w:color w:val="000000"/>
                    </w:rPr>
                    <w:t>、</w:t>
                  </w:r>
                  <w:r>
                    <w:rPr>
                      <w:rFonts w:ascii="仿宋_GB2312" w:hAnsi="仿宋_GB2312" w:cs="仿宋_GB2312" w:eastAsia="仿宋_GB2312"/>
                      <w:sz w:val="18"/>
                      <w:color w:val="000000"/>
                    </w:rPr>
                    <w:t>分</w:t>
                  </w:r>
                  <w:r>
                    <w:rPr>
                      <w:rFonts w:ascii="仿宋_GB2312" w:hAnsi="仿宋_GB2312" w:cs="仿宋_GB2312" w:eastAsia="仿宋_GB2312"/>
                      <w:sz w:val="18"/>
                      <w:color w:val="000000"/>
                    </w:rPr>
                    <w:t>、</w:t>
                  </w:r>
                  <w:r>
                    <w:rPr>
                      <w:rFonts w:ascii="仿宋_GB2312" w:hAnsi="仿宋_GB2312" w:cs="仿宋_GB2312" w:eastAsia="仿宋_GB2312"/>
                      <w:sz w:val="18"/>
                      <w:color w:val="000000"/>
                    </w:rPr>
                    <w:t>秒；</w:t>
                  </w:r>
                  <w:r>
                    <w:rPr>
                      <w:rFonts w:ascii="仿宋_GB2312" w:hAnsi="仿宋_GB2312" w:cs="仿宋_GB2312" w:eastAsia="仿宋_GB2312"/>
                      <w:sz w:val="18"/>
                      <w:color w:val="000000"/>
                    </w:rPr>
                    <w:t>时钟面板采用单红显示；</w:t>
                  </w:r>
                </w:p>
                <w:p>
                  <w:pPr>
                    <w:pStyle w:val="null3"/>
                    <w:jc w:val="left"/>
                  </w:pPr>
                  <w:r>
                    <w:rPr>
                      <w:rFonts w:ascii="仿宋_GB2312" w:hAnsi="仿宋_GB2312" w:cs="仿宋_GB2312" w:eastAsia="仿宋_GB2312"/>
                      <w:sz w:val="18"/>
                      <w:color w:val="000000"/>
                    </w:rPr>
                    <w:t>2、兼容</w:t>
                  </w:r>
                  <w:r>
                    <w:rPr>
                      <w:rFonts w:ascii="仿宋_GB2312" w:hAnsi="仿宋_GB2312" w:cs="仿宋_GB2312" w:eastAsia="仿宋_GB2312"/>
                      <w:sz w:val="18"/>
                      <w:color w:val="000000"/>
                    </w:rPr>
                    <w:t>TCP/IP和NTP两种协议，通信接口RJ45，</w:t>
                  </w:r>
                  <w:r>
                    <w:rPr>
                      <w:rFonts w:ascii="仿宋_GB2312" w:hAnsi="仿宋_GB2312" w:cs="仿宋_GB2312" w:eastAsia="仿宋_GB2312"/>
                      <w:sz w:val="18"/>
                      <w:color w:val="000000"/>
                    </w:rPr>
                    <w:t>采用标准</w:t>
                  </w:r>
                  <w:r>
                    <w:rPr>
                      <w:rFonts w:ascii="仿宋_GB2312" w:hAnsi="仿宋_GB2312" w:cs="仿宋_GB2312" w:eastAsia="仿宋_GB2312"/>
                      <w:sz w:val="18"/>
                      <w:color w:val="000000"/>
                    </w:rPr>
                    <w:t>POE供电</w:t>
                  </w:r>
                  <w:r>
                    <w:rPr>
                      <w:rFonts w:ascii="仿宋_GB2312" w:hAnsi="仿宋_GB2312" w:cs="仿宋_GB2312" w:eastAsia="仿宋_GB2312"/>
                      <w:sz w:val="18"/>
                      <w:color w:val="000000"/>
                    </w:rPr>
                    <w:t>；</w:t>
                  </w:r>
                  <w:r>
                    <w:rPr>
                      <w:rFonts w:ascii="仿宋_GB2312" w:hAnsi="仿宋_GB2312" w:cs="仿宋_GB2312" w:eastAsia="仿宋_GB2312"/>
                      <w:sz w:val="18"/>
                      <w:color w:val="000000"/>
                    </w:rPr>
                    <w:t>要求</w:t>
                  </w:r>
                  <w:r>
                    <w:rPr>
                      <w:rFonts w:ascii="仿宋_GB2312" w:hAnsi="仿宋_GB2312" w:cs="仿宋_GB2312" w:eastAsia="仿宋_GB2312"/>
                      <w:sz w:val="18"/>
                      <w:color w:val="000000"/>
                    </w:rPr>
                    <w:t>具备三种不同的时间来源方式</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1）为NTP授时服务器授时；</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2）为时间与信息管理系统软件授时；</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3）具有NTP授时服务器和时间与信息管理系统软件授时；</w:t>
                  </w:r>
                </w:p>
                <w:p>
                  <w:pPr>
                    <w:pStyle w:val="null3"/>
                    <w:jc w:val="left"/>
                  </w:pPr>
                  <w:r>
                    <w:rPr>
                      <w:rFonts w:ascii="仿宋_GB2312" w:hAnsi="仿宋_GB2312" w:cs="仿宋_GB2312" w:eastAsia="仿宋_GB2312"/>
                      <w:sz w:val="18"/>
                      <w:color w:val="000000"/>
                    </w:rPr>
                    <w:t>3、</w:t>
                  </w:r>
                  <w:r>
                    <w:rPr>
                      <w:rFonts w:ascii="仿宋_GB2312" w:hAnsi="仿宋_GB2312" w:cs="仿宋_GB2312" w:eastAsia="仿宋_GB2312"/>
                      <w:sz w:val="18"/>
                      <w:color w:val="000000"/>
                    </w:rPr>
                    <w:t>须与学校原有时钟管理服务器对接，纳入学校现有电子时钟系统。</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专用教学音箱</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rPr>
                    <w:t>扬声器配置双</w:t>
                  </w:r>
                  <w:r>
                    <w:rPr>
                      <w:rFonts w:ascii="仿宋_GB2312" w:hAnsi="仿宋_GB2312" w:cs="仿宋_GB2312" w:eastAsia="仿宋_GB2312"/>
                      <w:sz w:val="18"/>
                    </w:rPr>
                    <w:t>4</w:t>
                  </w:r>
                  <w:r>
                    <w:rPr>
                      <w:rFonts w:ascii="仿宋_GB2312" w:hAnsi="仿宋_GB2312" w:cs="仿宋_GB2312" w:eastAsia="仿宋_GB2312"/>
                      <w:sz w:val="18"/>
                    </w:rPr>
                    <w:t>英寸</w:t>
                  </w:r>
                  <w:r>
                    <w:rPr>
                      <w:rFonts w:ascii="仿宋_GB2312" w:hAnsi="仿宋_GB2312" w:cs="仿宋_GB2312" w:eastAsia="仿宋_GB2312"/>
                      <w:sz w:val="18"/>
                    </w:rPr>
                    <w:t>及以上</w:t>
                  </w:r>
                  <w:r>
                    <w:rPr>
                      <w:rFonts w:ascii="仿宋_GB2312" w:hAnsi="仿宋_GB2312" w:cs="仿宋_GB2312" w:eastAsia="仿宋_GB2312"/>
                      <w:sz w:val="18"/>
                    </w:rPr>
                    <w:t>扩</w:t>
                  </w:r>
                  <w:r>
                    <w:rPr>
                      <w:rFonts w:ascii="仿宋_GB2312" w:hAnsi="仿宋_GB2312" w:cs="仿宋_GB2312" w:eastAsia="仿宋_GB2312"/>
                      <w:sz w:val="18"/>
                    </w:rPr>
                    <w:t>声单元，额定阻抗不低于</w:t>
                  </w:r>
                  <w:r>
                    <w:rPr>
                      <w:rFonts w:ascii="仿宋_GB2312" w:hAnsi="仿宋_GB2312" w:cs="仿宋_GB2312" w:eastAsia="仿宋_GB2312"/>
                      <w:sz w:val="18"/>
                    </w:rPr>
                    <w:t>8Ω，额定功率≥60W；灵敏度（1W/1m）≥</w:t>
                  </w:r>
                  <w:r>
                    <w:rPr>
                      <w:rFonts w:ascii="仿宋_GB2312" w:hAnsi="仿宋_GB2312" w:cs="仿宋_GB2312" w:eastAsia="仿宋_GB2312"/>
                      <w:sz w:val="18"/>
                    </w:rPr>
                    <w:t>80</w:t>
                  </w:r>
                  <w:r>
                    <w:rPr>
                      <w:rFonts w:ascii="仿宋_GB2312" w:hAnsi="仿宋_GB2312" w:cs="仿宋_GB2312" w:eastAsia="仿宋_GB2312"/>
                      <w:sz w:val="18"/>
                    </w:rPr>
                    <w:t>dB</w:t>
                  </w:r>
                  <w:r>
                    <w:rPr>
                      <w:rFonts w:ascii="仿宋_GB2312" w:hAnsi="仿宋_GB2312" w:cs="仿宋_GB2312" w:eastAsia="仿宋_GB2312"/>
                      <w:sz w:val="18"/>
                    </w:rPr>
                    <w:t>，</w:t>
                  </w:r>
                  <w:r>
                    <w:rPr>
                      <w:rFonts w:ascii="仿宋_GB2312" w:hAnsi="仿宋_GB2312" w:cs="仿宋_GB2312" w:eastAsia="仿宋_GB2312"/>
                      <w:sz w:val="18"/>
                    </w:rPr>
                    <w:t>输出声压级</w:t>
                  </w:r>
                  <w:r>
                    <w:rPr>
                      <w:rFonts w:ascii="仿宋_GB2312" w:hAnsi="仿宋_GB2312" w:cs="仿宋_GB2312" w:eastAsia="仿宋_GB2312"/>
                      <w:sz w:val="18"/>
                    </w:rPr>
                    <w:t>≥10</w:t>
                  </w:r>
                  <w:r>
                    <w:rPr>
                      <w:rFonts w:ascii="仿宋_GB2312" w:hAnsi="仿宋_GB2312" w:cs="仿宋_GB2312" w:eastAsia="仿宋_GB2312"/>
                      <w:sz w:val="18"/>
                    </w:rPr>
                    <w:t>0</w:t>
                  </w:r>
                  <w:r>
                    <w:rPr>
                      <w:rFonts w:ascii="仿宋_GB2312" w:hAnsi="仿宋_GB2312" w:cs="仿宋_GB2312" w:eastAsia="仿宋_GB2312"/>
                      <w:sz w:val="18"/>
                    </w:rPr>
                    <w:t>dB；频率响应</w:t>
                  </w:r>
                  <w:r>
                    <w:rPr>
                      <w:rFonts w:ascii="仿宋_GB2312" w:hAnsi="仿宋_GB2312" w:cs="仿宋_GB2312" w:eastAsia="仿宋_GB2312"/>
                      <w:sz w:val="18"/>
                    </w:rPr>
                    <w:t>范围</w:t>
                  </w:r>
                  <w:r>
                    <w:rPr>
                      <w:rFonts w:ascii="仿宋_GB2312" w:hAnsi="仿宋_GB2312" w:cs="仿宋_GB2312" w:eastAsia="仿宋_GB2312"/>
                      <w:sz w:val="18"/>
                    </w:rPr>
                    <w:t>不低于</w:t>
                  </w:r>
                  <w:r>
                    <w:rPr>
                      <w:rFonts w:ascii="仿宋_GB2312" w:hAnsi="仿宋_GB2312" w:cs="仿宋_GB2312" w:eastAsia="仿宋_GB2312"/>
                      <w:sz w:val="18"/>
                    </w:rPr>
                    <w:t>110Hz~18kHz（±3dB）；声场覆盖扩散角度水平≥90°、垂直≥40°</w:t>
                  </w:r>
                  <w:r>
                    <w:rPr>
                      <w:rFonts w:ascii="仿宋_GB2312" w:hAnsi="仿宋_GB2312" w:cs="仿宋_GB2312" w:eastAsia="仿宋_GB2312"/>
                      <w:sz w:val="18"/>
                    </w:rPr>
                    <w:t>。</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智能扩声主机</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配置</w:t>
                  </w:r>
                  <w:r>
                    <w:rPr>
                      <w:rFonts w:ascii="仿宋_GB2312" w:hAnsi="仿宋_GB2312" w:cs="仿宋_GB2312" w:eastAsia="仿宋_GB2312"/>
                      <w:sz w:val="18"/>
                      <w:color w:val="000000"/>
                    </w:rPr>
                    <w:t xml:space="preserve">≥3.5 </w:t>
                  </w:r>
                  <w:r>
                    <w:rPr>
                      <w:rFonts w:ascii="仿宋_GB2312" w:hAnsi="仿宋_GB2312" w:cs="仿宋_GB2312" w:eastAsia="仿宋_GB2312"/>
                      <w:sz w:val="18"/>
                      <w:color w:val="000000"/>
                    </w:rPr>
                    <w:t>英寸</w:t>
                  </w:r>
                  <w:r>
                    <w:rPr>
                      <w:rFonts w:ascii="仿宋_GB2312" w:hAnsi="仿宋_GB2312" w:cs="仿宋_GB2312" w:eastAsia="仿宋_GB2312"/>
                      <w:sz w:val="18"/>
                      <w:color w:val="000000"/>
                    </w:rPr>
                    <w:t>触控屏；</w:t>
                  </w:r>
                  <w:r>
                    <w:rPr>
                      <w:rFonts w:ascii="仿宋_GB2312" w:hAnsi="仿宋_GB2312" w:cs="仿宋_GB2312" w:eastAsia="仿宋_GB2312"/>
                      <w:sz w:val="18"/>
                      <w:color w:val="000000"/>
                    </w:rPr>
                    <w:t>MIC 输入≥4 路；立体声线路输入</w:t>
                  </w:r>
                  <w:r>
                    <w:rPr>
                      <w:rFonts w:ascii="仿宋_GB2312" w:hAnsi="仿宋_GB2312" w:cs="仿宋_GB2312" w:eastAsia="仿宋_GB2312"/>
                      <w:sz w:val="18"/>
                      <w:color w:val="000000"/>
                    </w:rPr>
                    <w:t>、</w:t>
                  </w:r>
                  <w:r>
                    <w:rPr>
                      <w:rFonts w:ascii="仿宋_GB2312" w:hAnsi="仿宋_GB2312" w:cs="仿宋_GB2312" w:eastAsia="仿宋_GB2312"/>
                      <w:sz w:val="18"/>
                      <w:color w:val="000000"/>
                    </w:rPr>
                    <w:t>输出</w:t>
                  </w:r>
                  <w:r>
                    <w:rPr>
                      <w:rFonts w:ascii="仿宋_GB2312" w:hAnsi="仿宋_GB2312" w:cs="仿宋_GB2312" w:eastAsia="仿宋_GB2312"/>
                      <w:sz w:val="18"/>
                      <w:color w:val="000000"/>
                    </w:rPr>
                    <w:t>均</w:t>
                  </w:r>
                  <w:r>
                    <w:rPr>
                      <w:rFonts w:ascii="仿宋_GB2312" w:hAnsi="仿宋_GB2312" w:cs="仿宋_GB2312" w:eastAsia="仿宋_GB2312"/>
                      <w:sz w:val="18"/>
                      <w:color w:val="000000"/>
                    </w:rPr>
                    <w:t xml:space="preserve">≥2 路；RS232 </w:t>
                  </w:r>
                  <w:r>
                    <w:rPr>
                      <w:rFonts w:ascii="仿宋_GB2312" w:hAnsi="仿宋_GB2312" w:cs="仿宋_GB2312" w:eastAsia="仿宋_GB2312"/>
                      <w:sz w:val="18"/>
                      <w:color w:val="000000"/>
                    </w:rPr>
                    <w:t>、</w:t>
                  </w:r>
                  <w:r>
                    <w:rPr>
                      <w:rFonts w:ascii="仿宋_GB2312" w:hAnsi="仿宋_GB2312" w:cs="仿宋_GB2312" w:eastAsia="仿宋_GB2312"/>
                      <w:sz w:val="18"/>
                      <w:color w:val="000000"/>
                    </w:rPr>
                    <w:t>RS485 接口</w:t>
                  </w:r>
                  <w:r>
                    <w:rPr>
                      <w:rFonts w:ascii="仿宋_GB2312" w:hAnsi="仿宋_GB2312" w:cs="仿宋_GB2312" w:eastAsia="仿宋_GB2312"/>
                      <w:sz w:val="18"/>
                      <w:color w:val="000000"/>
                    </w:rPr>
                    <w:t>均</w:t>
                  </w:r>
                  <w:r>
                    <w:rPr>
                      <w:rFonts w:ascii="仿宋_GB2312" w:hAnsi="仿宋_GB2312" w:cs="仿宋_GB2312" w:eastAsia="仿宋_GB2312"/>
                      <w:sz w:val="18"/>
                      <w:color w:val="000000"/>
                    </w:rPr>
                    <w:t>≥1 个；功放输出≥2×120W ；内置音频 AI 处理芯片，可实现音频采集、反馈抑制、噪声抑制、声压监测、自动调音等功能。</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吊麦</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只</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频率响应</w:t>
                  </w:r>
                  <w:r>
                    <w:rPr>
                      <w:rFonts w:ascii="仿宋_GB2312" w:hAnsi="仿宋_GB2312" w:cs="仿宋_GB2312" w:eastAsia="仿宋_GB2312"/>
                      <w:sz w:val="18"/>
                      <w:color w:val="000000"/>
                    </w:rPr>
                    <w:t>范围</w:t>
                  </w:r>
                  <w:r>
                    <w:rPr>
                      <w:rFonts w:ascii="仿宋_GB2312" w:hAnsi="仿宋_GB2312" w:cs="仿宋_GB2312" w:eastAsia="仿宋_GB2312"/>
                      <w:sz w:val="18"/>
                      <w:color w:val="000000"/>
                    </w:rPr>
                    <w:t>≥80Hz～8kHz；灵敏度≥- 35dB；幻象电源供电；阻抗≥2</w:t>
                  </w:r>
                  <w:r>
                    <w:rPr>
                      <w:rFonts w:ascii="仿宋_GB2312" w:hAnsi="仿宋_GB2312" w:cs="仿宋_GB2312" w:eastAsia="仿宋_GB2312"/>
                      <w:sz w:val="18"/>
                      <w:color w:val="000000"/>
                    </w:rPr>
                    <w:t>0</w:t>
                  </w:r>
                  <w:r>
                    <w:rPr>
                      <w:rFonts w:ascii="仿宋_GB2312" w:hAnsi="仿宋_GB2312" w:cs="仿宋_GB2312" w:eastAsia="仿宋_GB2312"/>
                      <w:sz w:val="18"/>
                      <w:color w:val="000000"/>
                    </w:rPr>
                    <w:t>0Ω；最大声压级≥135dBSPL；信噪比≥70dB。</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智能控制设备</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内置不低于4×4高清交叉矩阵，配置≥4路HDMI输入接口、≥3路HDMI输出接口、≥1路HDBaseT网络输出接口；通过单根8芯普通网线同步传输高清音视频信号与RS232控制信号。实现EDID自动读取、自动适配及手动自定义设置，可同时输出≥4路不同视频信号源，具备信号自动切换功能。</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可实现多路视频信号源自由切换，实现画面拼接、画面分割显示功能，满足多画面显示应用需求。</w:t>
                  </w:r>
                </w:p>
                <w:p>
                  <w:pPr>
                    <w:pStyle w:val="null3"/>
                    <w:jc w:val="left"/>
                  </w:pPr>
                  <w:r>
                    <w:rPr>
                      <w:rFonts w:ascii="仿宋_GB2312" w:hAnsi="仿宋_GB2312" w:cs="仿宋_GB2312" w:eastAsia="仿宋_GB2312"/>
                      <w:sz w:val="18"/>
                    </w:rPr>
                    <w:t>3、单路视频输出接口均支持自定义分辨率输出，可设置分辨率种类≥8种。</w:t>
                  </w:r>
                </w:p>
                <w:p>
                  <w:pPr>
                    <w:pStyle w:val="null3"/>
                    <w:jc w:val="left"/>
                  </w:pPr>
                  <w:r>
                    <w:rPr>
                      <w:rFonts w:ascii="仿宋_GB2312" w:hAnsi="仿宋_GB2312" w:cs="仿宋_GB2312" w:eastAsia="仿宋_GB2312"/>
                      <w:sz w:val="18"/>
                    </w:rPr>
                    <w:t>4、≥3路3.5mm立体声线性输入接口、≥1路3.5mm立体声线性输出接口、≥2路6.5mm幻象供电麦克风输入接口；设备内置双声道功放模块，单声道额定功率≥50W。</w:t>
                  </w:r>
                </w:p>
                <w:p>
                  <w:pPr>
                    <w:pStyle w:val="null3"/>
                    <w:jc w:val="left"/>
                  </w:pPr>
                  <w:r>
                    <w:rPr>
                      <w:rFonts w:ascii="仿宋_GB2312" w:hAnsi="仿宋_GB2312" w:cs="仿宋_GB2312" w:eastAsia="仿宋_GB2312"/>
                      <w:sz w:val="18"/>
                    </w:rPr>
                    <w:t>5、内置网络千兆交换模块，配置≥5路RJ45千兆电口、≥1路千兆光口（含光模块），可直接实现终端设备联网接入；≥2路220V防脱落智能强电输出接口。</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独立可编程</w:t>
                  </w:r>
                  <w:r>
                    <w:rPr>
                      <w:rFonts w:ascii="仿宋_GB2312" w:hAnsi="仿宋_GB2312" w:cs="仿宋_GB2312" w:eastAsia="仿宋_GB2312"/>
                      <w:sz w:val="18"/>
                    </w:rPr>
                    <w:t>RS-232控制接口≥4路、RS-485控制接口≥2路、独立可编程IR红外发射接口≥2路、I/O控制接口≥2路，≥1路磁控锁专用接口、≥8路USB拓展接口。</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预留</w:t>
                  </w:r>
                  <w:r>
                    <w:rPr>
                      <w:rFonts w:ascii="仿宋_GB2312" w:hAnsi="仿宋_GB2312" w:cs="仿宋_GB2312" w:eastAsia="仿宋_GB2312"/>
                      <w:sz w:val="18"/>
                    </w:rPr>
                    <w:t>≥1路外置IC读卡器接入端口，采用RJ45接口集成式设计，整合5V、12V、24V多档位可调供电及RS485通讯功能。</w:t>
                  </w:r>
                </w:p>
                <w:p>
                  <w:pPr>
                    <w:pStyle w:val="null3"/>
                    <w:jc w:val="left"/>
                  </w:pPr>
                  <w:r>
                    <w:rPr>
                      <w:rFonts w:ascii="仿宋_GB2312" w:hAnsi="仿宋_GB2312" w:cs="仿宋_GB2312" w:eastAsia="仿宋_GB2312"/>
                      <w:sz w:val="18"/>
                    </w:rPr>
                    <w:t>8、实现断网离线认证功能，当外网断开、内网故障或后台服务器宕机时，设备可本地独立运行，正常识别授权IC卡并开放对应使用权限，保障设备离线状态下正常使用。</w:t>
                  </w:r>
                </w:p>
                <w:p>
                  <w:pPr>
                    <w:pStyle w:val="null3"/>
                    <w:jc w:val="left"/>
                  </w:pPr>
                  <w:r>
                    <w:rPr>
                      <w:rFonts w:ascii="仿宋_GB2312" w:hAnsi="仿宋_GB2312" w:cs="仿宋_GB2312" w:eastAsia="仿宋_GB2312"/>
                      <w:sz w:val="18"/>
                    </w:rPr>
                    <w:t>9、内置Zigbee无线物联网模块及配套天线，</w:t>
                  </w:r>
                  <w:r>
                    <w:rPr>
                      <w:rFonts w:ascii="仿宋_GB2312" w:hAnsi="仿宋_GB2312" w:cs="仿宋_GB2312" w:eastAsia="仿宋_GB2312"/>
                      <w:sz w:val="18"/>
                    </w:rPr>
                    <w:t>兼容</w:t>
                  </w:r>
                  <w:r>
                    <w:rPr>
                      <w:rFonts w:ascii="仿宋_GB2312" w:hAnsi="仿宋_GB2312" w:cs="仿宋_GB2312" w:eastAsia="仿宋_GB2312"/>
                      <w:sz w:val="18"/>
                    </w:rPr>
                    <w:t>Zigbee无线物联协议（含≥10英寸</w:t>
                  </w:r>
                  <w:r>
                    <w:rPr>
                      <w:rFonts w:ascii="仿宋_GB2312" w:hAnsi="仿宋_GB2312" w:cs="仿宋_GB2312" w:eastAsia="仿宋_GB2312"/>
                      <w:sz w:val="18"/>
                    </w:rPr>
                    <w:t>配套触控面板）。</w:t>
                  </w:r>
                </w:p>
                <w:p>
                  <w:pPr>
                    <w:pStyle w:val="null3"/>
                    <w:jc w:val="left"/>
                  </w:pPr>
                  <w:r>
                    <w:rPr>
                      <w:rFonts w:ascii="仿宋_GB2312" w:hAnsi="仿宋_GB2312" w:cs="仿宋_GB2312" w:eastAsia="仿宋_GB2312"/>
                      <w:sz w:val="18"/>
                    </w:rPr>
                    <w:t>10、实现Web端智能场景配置功能，可通过智能控制终端后台快速配置、调用多种预设应用场景，可根据教学、会议等不同使用需求一键切换场景模式；</w:t>
                  </w:r>
                  <w:r>
                    <w:rPr>
                      <w:rFonts w:ascii="仿宋_GB2312" w:hAnsi="仿宋_GB2312" w:cs="仿宋_GB2312" w:eastAsia="仿宋_GB2312"/>
                      <w:sz w:val="18"/>
                    </w:rPr>
                    <w:t>实现</w:t>
                  </w:r>
                  <w:r>
                    <w:rPr>
                      <w:rFonts w:ascii="仿宋_GB2312" w:hAnsi="仿宋_GB2312" w:cs="仿宋_GB2312" w:eastAsia="仿宋_GB2312"/>
                      <w:sz w:val="18"/>
                    </w:rPr>
                    <w:t>全网远程参数配置、远程固件升级，可在线完成设备调试、维护与版本更新，平均无故障运行时间</w:t>
                  </w:r>
                  <w:r>
                    <w:rPr>
                      <w:rFonts w:ascii="仿宋_GB2312" w:hAnsi="仿宋_GB2312" w:cs="仿宋_GB2312" w:eastAsia="仿宋_GB2312"/>
                      <w:sz w:val="18"/>
                    </w:rPr>
                    <w:t>≥80000小时。</w:t>
                  </w:r>
                </w:p>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11、兼容学校现有智慧教学设备，实现统一界面的纳管。</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USB扩展坞</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独立电源供电，</w:t>
                  </w:r>
                  <w:r>
                    <w:rPr>
                      <w:rFonts w:ascii="仿宋_GB2312" w:hAnsi="仿宋_GB2312" w:cs="仿宋_GB2312" w:eastAsia="仿宋_GB2312"/>
                      <w:sz w:val="18"/>
                      <w:color w:val="000000"/>
                    </w:rPr>
                    <w:t>USB插口≥6口</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交换机</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交换容量</w:t>
                  </w:r>
                  <w:r>
                    <w:rPr>
                      <w:rFonts w:ascii="仿宋_GB2312" w:hAnsi="仿宋_GB2312" w:cs="仿宋_GB2312" w:eastAsia="仿宋_GB2312"/>
                      <w:sz w:val="18"/>
                    </w:rPr>
                    <w:t>≥672Gbps，包转发率≥17</w:t>
                  </w:r>
                  <w:r>
                    <w:rPr>
                      <w:rFonts w:ascii="仿宋_GB2312" w:hAnsi="仿宋_GB2312" w:cs="仿宋_GB2312" w:eastAsia="仿宋_GB2312"/>
                      <w:sz w:val="18"/>
                    </w:rPr>
                    <w:t>0</w:t>
                  </w:r>
                  <w:r>
                    <w:rPr>
                      <w:rFonts w:ascii="仿宋_GB2312" w:hAnsi="仿宋_GB2312" w:cs="仿宋_GB2312" w:eastAsia="仿宋_GB2312"/>
                      <w:sz w:val="18"/>
                    </w:rPr>
                    <w:t>Mpps；</w:t>
                  </w:r>
                  <w:r>
                    <w:br/>
                  </w:r>
                  <w:r>
                    <w:rPr>
                      <w:rFonts w:ascii="仿宋_GB2312" w:hAnsi="仿宋_GB2312" w:cs="仿宋_GB2312" w:eastAsia="仿宋_GB2312"/>
                      <w:sz w:val="18"/>
                    </w:rPr>
                    <w:t>2、</w:t>
                  </w:r>
                  <w:r>
                    <w:rPr>
                      <w:rFonts w:ascii="仿宋_GB2312" w:hAnsi="仿宋_GB2312" w:cs="仿宋_GB2312" w:eastAsia="仿宋_GB2312"/>
                      <w:sz w:val="18"/>
                    </w:rPr>
                    <w:t>≥24千兆电口</w:t>
                  </w:r>
                  <w:r>
                    <w:rPr>
                      <w:rFonts w:ascii="仿宋_GB2312" w:hAnsi="仿宋_GB2312" w:cs="仿宋_GB2312" w:eastAsia="仿宋_GB2312"/>
                      <w:sz w:val="18"/>
                    </w:rPr>
                    <w:t>，</w:t>
                  </w:r>
                  <w:r>
                    <w:rPr>
                      <w:rFonts w:ascii="仿宋_GB2312" w:hAnsi="仿宋_GB2312" w:cs="仿宋_GB2312" w:eastAsia="仿宋_GB2312"/>
                      <w:sz w:val="18"/>
                    </w:rPr>
                    <w:t>≥4</w:t>
                  </w:r>
                  <w:r>
                    <w:rPr>
                      <w:rFonts w:ascii="仿宋_GB2312" w:hAnsi="仿宋_GB2312" w:cs="仿宋_GB2312" w:eastAsia="仿宋_GB2312"/>
                      <w:sz w:val="18"/>
                    </w:rPr>
                    <w:t>个</w:t>
                  </w:r>
                  <w:r>
                    <w:rPr>
                      <w:rFonts w:ascii="仿宋_GB2312" w:hAnsi="仿宋_GB2312" w:cs="仿宋_GB2312" w:eastAsia="仿宋_GB2312"/>
                      <w:sz w:val="18"/>
                    </w:rPr>
                    <w:t>万兆</w:t>
                  </w:r>
                  <w:r>
                    <w:rPr>
                      <w:rFonts w:ascii="仿宋_GB2312" w:hAnsi="仿宋_GB2312" w:cs="仿宋_GB2312" w:eastAsia="仿宋_GB2312"/>
                      <w:sz w:val="18"/>
                    </w:rPr>
                    <w:t>光口（含光模块）</w:t>
                  </w:r>
                  <w:r>
                    <w:rPr>
                      <w:rFonts w:ascii="仿宋_GB2312" w:hAnsi="仿宋_GB2312" w:cs="仿宋_GB2312" w:eastAsia="仿宋_GB2312"/>
                      <w:sz w:val="18"/>
                    </w:rPr>
                    <w:t>；</w:t>
                  </w:r>
                  <w:r>
                    <w:br/>
                  </w:r>
                  <w:r>
                    <w:rPr>
                      <w:rFonts w:ascii="仿宋_GB2312" w:hAnsi="仿宋_GB2312" w:cs="仿宋_GB2312" w:eastAsia="仿宋_GB2312"/>
                      <w:sz w:val="18"/>
                    </w:rPr>
                    <w:t>3、具备PoE+供电端口，整机PoE供电功率≥350W，可为无线AP、IP摄像头、IP电话等设备集中供电</w:t>
                  </w:r>
                  <w:r>
                    <w:rPr>
                      <w:rFonts w:ascii="仿宋_GB2312" w:hAnsi="仿宋_GB2312" w:cs="仿宋_GB2312" w:eastAsia="仿宋_GB2312"/>
                      <w:sz w:val="18"/>
                    </w:rPr>
                    <w:t>；</w:t>
                  </w:r>
                  <w:r>
                    <w:br/>
                  </w:r>
                  <w:r>
                    <w:rPr>
                      <w:rFonts w:ascii="仿宋_GB2312" w:hAnsi="仿宋_GB2312" w:cs="仿宋_GB2312" w:eastAsia="仿宋_GB2312"/>
                      <w:sz w:val="18"/>
                    </w:rPr>
                    <w:t>4、具备IPv4/IPv6双协议栈静态路由配置，兼容RIP/RIPng及OSPF等动态路由协议；支持STP/RSTP/MSTP协议、ERPS以太网环网保护协议及RRPP快速环网保护协议。</w:t>
                  </w:r>
                  <w:r>
                    <w:br/>
                  </w:r>
                  <w:r>
                    <w:rPr>
                      <w:rFonts w:ascii="仿宋_GB2312" w:hAnsi="仿宋_GB2312" w:cs="仿宋_GB2312" w:eastAsia="仿宋_GB2312"/>
                      <w:sz w:val="18"/>
                    </w:rPr>
                    <w:t>5、具备基于第二层（MAC地址）、第三层（IP地址）和第四层（TCP/UDP端口号）的访问控制列表功能</w:t>
                  </w:r>
                </w:p>
                <w:p>
                  <w:pPr>
                    <w:pStyle w:val="null3"/>
                    <w:jc w:val="left"/>
                  </w:pPr>
                  <w:r>
                    <w:rPr>
                      <w:rFonts w:ascii="仿宋_GB2312" w:hAnsi="仿宋_GB2312" w:cs="仿宋_GB2312" w:eastAsia="仿宋_GB2312"/>
                      <w:sz w:val="18"/>
                    </w:rPr>
                    <w:t>。具备</w:t>
                  </w:r>
                  <w:r>
                    <w:rPr>
                      <w:rFonts w:ascii="仿宋_GB2312" w:hAnsi="仿宋_GB2312" w:cs="仿宋_GB2312" w:eastAsia="仿宋_GB2312"/>
                      <w:sz w:val="18"/>
                    </w:rPr>
                    <w:t>DHCP功能，须满足动态IP地址分配与网络安全防护需求。</w:t>
                  </w:r>
                  <w:r>
                    <w:br/>
                  </w:r>
                  <w:r>
                    <w:rPr>
                      <w:rFonts w:ascii="仿宋_GB2312" w:hAnsi="仿宋_GB2312" w:cs="仿宋_GB2312" w:eastAsia="仿宋_GB2312"/>
                      <w:sz w:val="18"/>
                    </w:rPr>
                    <w:t>6、接入校园网络管理平台统一纳管；</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电源时序器</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1、≥3.5英寸</w:t>
                  </w:r>
                  <w:r>
                    <w:rPr>
                      <w:rFonts w:ascii="仿宋_GB2312" w:hAnsi="仿宋_GB2312" w:cs="仿宋_GB2312" w:eastAsia="仿宋_GB2312"/>
                      <w:sz w:val="18"/>
                      <w:color w:val="000000"/>
                    </w:rPr>
                    <w:t>液晶显示屏，</w:t>
                  </w:r>
                  <w:r>
                    <w:rPr>
                      <w:rFonts w:ascii="仿宋_GB2312" w:hAnsi="仿宋_GB2312" w:cs="仿宋_GB2312" w:eastAsia="仿宋_GB2312"/>
                      <w:sz w:val="18"/>
                      <w:color w:val="000000"/>
                    </w:rPr>
                    <w:t>≥</w:t>
                  </w:r>
                  <w:r>
                    <w:rPr>
                      <w:rFonts w:ascii="仿宋_GB2312" w:hAnsi="仿宋_GB2312" w:cs="仿宋_GB2312" w:eastAsia="仿宋_GB2312"/>
                      <w:sz w:val="18"/>
                      <w:color w:val="000000"/>
                    </w:rPr>
                    <w:t>8路开关通道输出；各路通道开启、关闭延时时间可独立自定义设置。具备欠压、过压保护功能，保护阈值可自定义设置</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RS232、RS485通讯接口，设备</w:t>
                  </w:r>
                  <w:r>
                    <w:rPr>
                      <w:rFonts w:ascii="仿宋_GB2312" w:hAnsi="仿宋_GB2312" w:cs="仿宋_GB2312" w:eastAsia="仿宋_GB2312"/>
                      <w:sz w:val="18"/>
                      <w:color w:val="000000"/>
                    </w:rPr>
                    <w:t>可</w:t>
                  </w:r>
                  <w:r>
                    <w:rPr>
                      <w:rFonts w:ascii="仿宋_GB2312" w:hAnsi="仿宋_GB2312" w:cs="仿宋_GB2312" w:eastAsia="仿宋_GB2312"/>
                      <w:sz w:val="18"/>
                      <w:color w:val="000000"/>
                    </w:rPr>
                    <w:t>级联及中央</w:t>
                  </w:r>
                  <w:r>
                    <w:rPr>
                      <w:rFonts w:ascii="仿宋_GB2312" w:hAnsi="仿宋_GB2312" w:cs="仿宋_GB2312" w:eastAsia="仿宋_GB2312"/>
                      <w:sz w:val="18"/>
                      <w:color w:val="000000"/>
                    </w:rPr>
                    <w:t>设备</w:t>
                  </w:r>
                  <w:r>
                    <w:rPr>
                      <w:rFonts w:ascii="仿宋_GB2312" w:hAnsi="仿宋_GB2312" w:cs="仿宋_GB2312" w:eastAsia="仿宋_GB2312"/>
                      <w:sz w:val="18"/>
                      <w:color w:val="000000"/>
                    </w:rPr>
                    <w:t>联动控制；单路通道均内置电源滤波电路</w:t>
                  </w:r>
                  <w:r>
                    <w:rPr>
                      <w:rFonts w:ascii="仿宋_GB2312" w:hAnsi="仿宋_GB2312" w:cs="仿宋_GB2312" w:eastAsia="仿宋_GB2312"/>
                      <w:sz w:val="18"/>
                      <w:color w:val="000000"/>
                    </w:rPr>
                    <w:t>，</w:t>
                  </w:r>
                  <w:r>
                    <w:rPr>
                      <w:rFonts w:ascii="仿宋_GB2312" w:hAnsi="仿宋_GB2312" w:cs="仿宋_GB2312" w:eastAsia="仿宋_GB2312"/>
                      <w:sz w:val="18"/>
                      <w:color w:val="000000"/>
                    </w:rPr>
                    <w:t>额定负载功率</w:t>
                  </w:r>
                  <w:r>
                    <w:rPr>
                      <w:rFonts w:ascii="仿宋_GB2312" w:hAnsi="仿宋_GB2312" w:cs="仿宋_GB2312" w:eastAsia="仿宋_GB2312"/>
                      <w:sz w:val="18"/>
                      <w:color w:val="000000"/>
                    </w:rPr>
                    <w:t>≥2000</w:t>
                  </w:r>
                  <w:r>
                    <w:rPr>
                      <w:rFonts w:ascii="仿宋_GB2312" w:hAnsi="仿宋_GB2312" w:cs="仿宋_GB2312" w:eastAsia="仿宋_GB2312"/>
                      <w:sz w:val="18"/>
                      <w:color w:val="000000"/>
                    </w:rPr>
                    <w:t>W</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  </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多媒体讲桌</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讲台外形尺寸</w:t>
                  </w:r>
                  <w:r>
                    <w:rPr>
                      <w:rFonts w:ascii="仿宋_GB2312" w:hAnsi="仿宋_GB2312" w:cs="仿宋_GB2312" w:eastAsia="仿宋_GB2312"/>
                      <w:sz w:val="18"/>
                      <w:color w:val="000000"/>
                    </w:rPr>
                    <w:t>约为</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1200mm×650mm×1050mm</w:t>
                  </w:r>
                  <w:r>
                    <w:rPr>
                      <w:rFonts w:ascii="仿宋_GB2312" w:hAnsi="仿宋_GB2312" w:cs="仿宋_GB2312" w:eastAsia="仿宋_GB2312"/>
                      <w:sz w:val="18"/>
                      <w:color w:val="000000"/>
                    </w:rPr>
                    <w:t>；</w:t>
                  </w:r>
                  <w:r>
                    <w:rPr>
                      <w:rFonts w:ascii="仿宋_GB2312" w:hAnsi="仿宋_GB2312" w:cs="仿宋_GB2312" w:eastAsia="仿宋_GB2312"/>
                      <w:sz w:val="18"/>
                      <w:color w:val="000000"/>
                    </w:rPr>
                    <w:t>背板采用钢木复合结构，柜体两侧主体为冷轧钢板一体成型结构。</w:t>
                  </w:r>
                </w:p>
                <w:p>
                  <w:pPr>
                    <w:pStyle w:val="null3"/>
                    <w:jc w:val="left"/>
                  </w:pPr>
                  <w:r>
                    <w:rPr>
                      <w:rFonts w:ascii="仿宋_GB2312" w:hAnsi="仿宋_GB2312" w:cs="仿宋_GB2312" w:eastAsia="仿宋_GB2312"/>
                      <w:sz w:val="18"/>
                      <w:color w:val="000000"/>
                    </w:rPr>
                    <w:t>2、</w:t>
                  </w:r>
                  <w:r>
                    <w:rPr>
                      <w:rFonts w:ascii="仿宋_GB2312" w:hAnsi="仿宋_GB2312" w:cs="仿宋_GB2312" w:eastAsia="仿宋_GB2312"/>
                      <w:sz w:val="18"/>
                      <w:color w:val="000000"/>
                    </w:rPr>
                    <w:t>桌体采用冷轧钢板材质，板材厚度</w:t>
                  </w:r>
                  <w:r>
                    <w:rPr>
                      <w:rFonts w:ascii="仿宋_GB2312" w:hAnsi="仿宋_GB2312" w:cs="仿宋_GB2312" w:eastAsia="仿宋_GB2312"/>
                      <w:sz w:val="18"/>
                      <w:color w:val="000000"/>
                    </w:rPr>
                    <w:t>≥1.2mm；</w:t>
                  </w:r>
                  <w:r>
                    <w:rPr>
                      <w:rFonts w:ascii="仿宋_GB2312" w:hAnsi="仿宋_GB2312" w:cs="仿宋_GB2312" w:eastAsia="仿宋_GB2312"/>
                      <w:sz w:val="18"/>
                      <w:color w:val="000000"/>
                    </w:rPr>
                    <w:t>桌</w:t>
                  </w:r>
                  <w:r>
                    <w:rPr>
                      <w:rFonts w:ascii="仿宋_GB2312" w:hAnsi="仿宋_GB2312" w:cs="仿宋_GB2312" w:eastAsia="仿宋_GB2312"/>
                      <w:sz w:val="18"/>
                      <w:color w:val="000000"/>
                    </w:rPr>
                    <w:t>体边角采用</w:t>
                  </w:r>
                  <w:r>
                    <w:rPr>
                      <w:rFonts w:ascii="仿宋_GB2312" w:hAnsi="仿宋_GB2312" w:cs="仿宋_GB2312" w:eastAsia="仿宋_GB2312"/>
                      <w:sz w:val="18"/>
                      <w:color w:val="000000"/>
                    </w:rPr>
                    <w:t>R100 圆弧设计；全部钣金构件经酸洗、磷化预处理后静电喷涂，再高温固化烘烤成型，具备防锈防腐性能，涂装工艺</w:t>
                  </w:r>
                  <w:r>
                    <w:rPr>
                      <w:rFonts w:ascii="仿宋_GB2312" w:hAnsi="仿宋_GB2312" w:cs="仿宋_GB2312" w:eastAsia="仿宋_GB2312"/>
                      <w:sz w:val="18"/>
                      <w:color w:val="000000"/>
                    </w:rPr>
                    <w:t>须</w:t>
                  </w:r>
                  <w:r>
                    <w:rPr>
                      <w:rFonts w:ascii="仿宋_GB2312" w:hAnsi="仿宋_GB2312" w:cs="仿宋_GB2312" w:eastAsia="仿宋_GB2312"/>
                      <w:sz w:val="18"/>
                      <w:color w:val="000000"/>
                    </w:rPr>
                    <w:t>满足《</w:t>
                  </w:r>
                  <w:r>
                    <w:rPr>
                      <w:rFonts w:ascii="仿宋_GB2312" w:hAnsi="仿宋_GB2312" w:cs="仿宋_GB2312" w:eastAsia="仿宋_GB2312"/>
                      <w:sz w:val="18"/>
                      <w:color w:val="000000"/>
                    </w:rPr>
                    <w:t>GB</w:t>
                  </w:r>
                  <w:r>
                    <w:rPr>
                      <w:rFonts w:ascii="仿宋_GB2312" w:hAnsi="仿宋_GB2312" w:cs="仿宋_GB2312" w:eastAsia="仿宋_GB2312"/>
                      <w:sz w:val="18"/>
                      <w:color w:val="000000"/>
                    </w:rPr>
                    <w:t>/T</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22374-2018 地坪涂装材料》标准相关要求。</w:t>
                  </w:r>
                </w:p>
                <w:p>
                  <w:pPr>
                    <w:pStyle w:val="null3"/>
                    <w:jc w:val="both"/>
                  </w:pPr>
                  <w:r>
                    <w:rPr>
                      <w:rFonts w:ascii="仿宋_GB2312" w:hAnsi="仿宋_GB2312" w:cs="仿宋_GB2312" w:eastAsia="仿宋_GB2312"/>
                      <w:sz w:val="18"/>
                      <w:color w:val="000000"/>
                    </w:rPr>
                    <w:t>3、须按照学校要求在桌体正面印制校徽logo。</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教室前后墙吸音改造</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间</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墙面采用龙骨基层</w:t>
                  </w:r>
                  <w:r>
                    <w:rPr>
                      <w:rFonts w:ascii="仿宋_GB2312" w:hAnsi="仿宋_GB2312" w:cs="仿宋_GB2312" w:eastAsia="仿宋_GB2312"/>
                      <w:sz w:val="18"/>
                      <w:color w:val="000000"/>
                    </w:rPr>
                    <w:t>处理</w:t>
                  </w:r>
                  <w:r>
                    <w:rPr>
                      <w:rFonts w:ascii="仿宋_GB2312" w:hAnsi="仿宋_GB2312" w:cs="仿宋_GB2312" w:eastAsia="仿宋_GB2312"/>
                      <w:sz w:val="18"/>
                      <w:color w:val="000000"/>
                    </w:rPr>
                    <w:t>，内部填充吸音棉，表层铺装木质吸音装饰面板；板材环保等级达</w:t>
                  </w:r>
                  <w:r>
                    <w:rPr>
                      <w:rFonts w:ascii="仿宋_GB2312" w:hAnsi="仿宋_GB2312" w:cs="仿宋_GB2312" w:eastAsia="仿宋_GB2312"/>
                      <w:sz w:val="18"/>
                      <w:color w:val="000000"/>
                    </w:rPr>
                    <w:t>E1 级标准；</w:t>
                  </w:r>
                  <w:r>
                    <w:rPr>
                      <w:rFonts w:ascii="仿宋_GB2312" w:hAnsi="仿宋_GB2312" w:cs="仿宋_GB2312" w:eastAsia="仿宋_GB2312"/>
                      <w:sz w:val="18"/>
                      <w:color w:val="000000"/>
                    </w:rPr>
                    <w:t>安装</w:t>
                  </w:r>
                  <w:r>
                    <w:rPr>
                      <w:rFonts w:ascii="仿宋_GB2312" w:hAnsi="仿宋_GB2312" w:cs="仿宋_GB2312" w:eastAsia="仿宋_GB2312"/>
                      <w:sz w:val="18"/>
                      <w:color w:val="000000"/>
                    </w:rPr>
                    <w:t>时</w:t>
                  </w:r>
                  <w:r>
                    <w:rPr>
                      <w:rFonts w:ascii="仿宋_GB2312" w:hAnsi="仿宋_GB2312" w:cs="仿宋_GB2312" w:eastAsia="仿宋_GB2312"/>
                      <w:sz w:val="18"/>
                      <w:color w:val="000000"/>
                    </w:rPr>
                    <w:t>须</w:t>
                  </w:r>
                  <w:r>
                    <w:rPr>
                      <w:rFonts w:ascii="仿宋_GB2312" w:hAnsi="仿宋_GB2312" w:cs="仿宋_GB2312" w:eastAsia="仿宋_GB2312"/>
                      <w:sz w:val="18"/>
                      <w:color w:val="000000"/>
                    </w:rPr>
                    <w:t>预留检修口，</w:t>
                  </w:r>
                  <w:r>
                    <w:rPr>
                      <w:rFonts w:ascii="仿宋_GB2312" w:hAnsi="仿宋_GB2312" w:cs="仿宋_GB2312" w:eastAsia="仿宋_GB2312"/>
                      <w:sz w:val="18"/>
                      <w:color w:val="000000"/>
                    </w:rPr>
                    <w:t>并</w:t>
                  </w:r>
                  <w:r>
                    <w:rPr>
                      <w:rFonts w:ascii="仿宋_GB2312" w:hAnsi="仿宋_GB2312" w:cs="仿宋_GB2312" w:eastAsia="仿宋_GB2312"/>
                      <w:sz w:val="18"/>
                      <w:color w:val="000000"/>
                    </w:rPr>
                    <w:t>预留强弱电各类面板安装接口。</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教室照明灯</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盏</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照明灯</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约为</w:t>
                  </w:r>
                  <w:r>
                    <w:rPr>
                      <w:rFonts w:ascii="仿宋_GB2312" w:hAnsi="仿宋_GB2312" w:cs="仿宋_GB2312" w:eastAsia="仿宋_GB2312"/>
                      <w:sz w:val="18"/>
                      <w:color w:val="000000"/>
                    </w:rPr>
                    <w:t>600</w:t>
                  </w:r>
                  <w:r>
                    <w:rPr>
                      <w:rFonts w:ascii="仿宋_GB2312" w:hAnsi="仿宋_GB2312" w:cs="仿宋_GB2312" w:eastAsia="仿宋_GB2312"/>
                      <w:sz w:val="18"/>
                      <w:color w:val="000000"/>
                    </w:rPr>
                    <w:t>mm×595mm，厚度≥10mm，额定功率≥60W</w:t>
                  </w:r>
                  <w:r>
                    <w:rPr>
                      <w:rFonts w:ascii="仿宋_GB2312" w:hAnsi="仿宋_GB2312" w:cs="仿宋_GB2312" w:eastAsia="仿宋_GB2312"/>
                      <w:sz w:val="18"/>
                      <w:color w:val="000000"/>
                    </w:rPr>
                    <w:t>；</w:t>
                  </w:r>
                  <w:r>
                    <w:rPr>
                      <w:rFonts w:ascii="仿宋_GB2312" w:hAnsi="仿宋_GB2312" w:cs="仿宋_GB2312" w:eastAsia="仿宋_GB2312"/>
                      <w:sz w:val="18"/>
                      <w:color w:val="000000"/>
                    </w:rPr>
                    <w:t>采用铝合金边框</w:t>
                  </w:r>
                  <w:r>
                    <w:rPr>
                      <w:rFonts w:ascii="仿宋_GB2312" w:hAnsi="仿宋_GB2312" w:cs="仿宋_GB2312" w:eastAsia="仿宋_GB2312"/>
                      <w:sz w:val="18"/>
                      <w:color w:val="000000"/>
                    </w:rPr>
                    <w:t>，</w:t>
                  </w:r>
                  <w:r>
                    <w:rPr>
                      <w:rFonts w:ascii="仿宋_GB2312" w:hAnsi="仿宋_GB2312" w:cs="仿宋_GB2312" w:eastAsia="仿宋_GB2312"/>
                      <w:sz w:val="18"/>
                      <w:color w:val="000000"/>
                    </w:rPr>
                    <w:t>嵌入式安装结构，可适配</w:t>
                  </w:r>
                  <w:r>
                    <w:rPr>
                      <w:rFonts w:ascii="仿宋_GB2312" w:hAnsi="仿宋_GB2312" w:cs="仿宋_GB2312" w:eastAsia="仿宋_GB2312"/>
                      <w:sz w:val="18"/>
                      <w:color w:val="000000"/>
                    </w:rPr>
                    <w:t>600×600mm规格T型龙骨矿棉板吊顶安装。</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墙面翻新</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760</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平方米</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对教室两侧墙面</w:t>
                  </w:r>
                  <w:r>
                    <w:rPr>
                      <w:rFonts w:ascii="仿宋_GB2312" w:hAnsi="仿宋_GB2312" w:cs="仿宋_GB2312" w:eastAsia="仿宋_GB2312"/>
                      <w:sz w:val="18"/>
                      <w:color w:val="000000"/>
                    </w:rPr>
                    <w:t>进行</w:t>
                  </w:r>
                  <w:r>
                    <w:rPr>
                      <w:rFonts w:ascii="仿宋_GB2312" w:hAnsi="仿宋_GB2312" w:cs="仿宋_GB2312" w:eastAsia="仿宋_GB2312"/>
                      <w:sz w:val="18"/>
                      <w:color w:val="000000"/>
                    </w:rPr>
                    <w:t>整体粉刷；墙面基层经打磨、孔洞填补处理，多层批刮腻子找平，完整涂刷底漆、面漆不少于</w:t>
                  </w:r>
                  <w:r>
                    <w:rPr>
                      <w:rFonts w:ascii="仿宋_GB2312" w:hAnsi="仿宋_GB2312" w:cs="仿宋_GB2312" w:eastAsia="仿宋_GB2312"/>
                      <w:sz w:val="18"/>
                      <w:color w:val="000000"/>
                    </w:rPr>
                    <w:t>3遍；所用涂料环保性能符合 GB 18582-2020 标准要求。</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教室窗帘套装</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间</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窗帘须具备遮光、隔热、隔音多重性能；采用对开式设计，需根据每间教室对应窗户尺寸进行定制，颜色按学校指定要求。</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讲台改造</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间</w:t>
                  </w:r>
                </w:p>
              </w:tc>
              <w:tc>
                <w:tcPr>
                  <w:tcW w:type="dxa" w:w="161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讲台高</w:t>
                  </w:r>
                  <w:r>
                    <w:rPr>
                      <w:rFonts w:ascii="仿宋_GB2312" w:hAnsi="仿宋_GB2312" w:cs="仿宋_GB2312" w:eastAsia="仿宋_GB2312"/>
                      <w:sz w:val="18"/>
                      <w:color w:val="000000"/>
                    </w:rPr>
                    <w:t>度</w:t>
                  </w:r>
                  <w:r>
                    <w:rPr>
                      <w:rFonts w:ascii="仿宋_GB2312" w:hAnsi="仿宋_GB2312" w:cs="仿宋_GB2312" w:eastAsia="仿宋_GB2312"/>
                      <w:sz w:val="18"/>
                      <w:color w:val="000000"/>
                    </w:rPr>
                    <w:t>≥</w:t>
                  </w:r>
                  <w:r>
                    <w:rPr>
                      <w:rFonts w:ascii="仿宋_GB2312" w:hAnsi="仿宋_GB2312" w:cs="仿宋_GB2312" w:eastAsia="仿宋_GB2312"/>
                      <w:sz w:val="18"/>
                      <w:color w:val="000000"/>
                    </w:rPr>
                    <w:t>20</w:t>
                  </w:r>
                  <w:r>
                    <w:rPr>
                      <w:rFonts w:ascii="仿宋_GB2312" w:hAnsi="仿宋_GB2312" w:cs="仿宋_GB2312" w:eastAsia="仿宋_GB2312"/>
                      <w:sz w:val="18"/>
                      <w:color w:val="000000"/>
                    </w:rPr>
                    <w:t>0</w:t>
                  </w:r>
                  <w:r>
                    <w:rPr>
                      <w:rFonts w:ascii="仿宋_GB2312" w:hAnsi="仿宋_GB2312" w:cs="仿宋_GB2312" w:eastAsia="仿宋_GB2312"/>
                      <w:sz w:val="18"/>
                      <w:color w:val="000000"/>
                    </w:rPr>
                    <w:t>mm，整体长度≥4000mm、宽度≥1500mm，边角做圆角防撞处理；讲台内部预留专用布线通道，</w:t>
                  </w:r>
                  <w:r>
                    <w:rPr>
                      <w:rFonts w:ascii="仿宋_GB2312" w:hAnsi="仿宋_GB2312" w:cs="仿宋_GB2312" w:eastAsia="仿宋_GB2312"/>
                      <w:sz w:val="18"/>
                      <w:color w:val="000000"/>
                    </w:rPr>
                    <w:t>可进行</w:t>
                  </w:r>
                  <w:r>
                    <w:rPr>
                      <w:rFonts w:ascii="仿宋_GB2312" w:hAnsi="仿宋_GB2312" w:cs="仿宋_GB2312" w:eastAsia="仿宋_GB2312"/>
                      <w:sz w:val="18"/>
                      <w:color w:val="000000"/>
                    </w:rPr>
                    <w:t>各类线缆规整布设，台面铺设木地板，边缘采用金属条收边包边。</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线材辅料</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包含但不限于国标电源线、六类非屏蔽网线、各类音视频传输线缆、</w:t>
                  </w:r>
                  <w:r>
                    <w:rPr>
                      <w:rFonts w:ascii="仿宋_GB2312" w:hAnsi="仿宋_GB2312" w:cs="仿宋_GB2312" w:eastAsia="仿宋_GB2312"/>
                      <w:sz w:val="18"/>
                      <w:color w:val="000000"/>
                    </w:rPr>
                    <w:t>PVC 布线线槽、电源插座、空气开关、多媒体信息面板等相关配套材料。</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综合布线</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教室</w:t>
                  </w:r>
                  <w:r>
                    <w:rPr>
                      <w:rFonts w:ascii="仿宋_GB2312" w:hAnsi="仿宋_GB2312" w:cs="仿宋_GB2312" w:eastAsia="仿宋_GB2312"/>
                      <w:sz w:val="18"/>
                      <w:color w:val="000000"/>
                    </w:rPr>
                    <w:t>内</w:t>
                  </w:r>
                  <w:r>
                    <w:rPr>
                      <w:rFonts w:ascii="仿宋_GB2312" w:hAnsi="仿宋_GB2312" w:cs="仿宋_GB2312" w:eastAsia="仿宋_GB2312"/>
                      <w:sz w:val="18"/>
                      <w:color w:val="000000"/>
                    </w:rPr>
                    <w:t>全部设备</w:t>
                  </w:r>
                  <w:r>
                    <w:rPr>
                      <w:rFonts w:ascii="仿宋_GB2312" w:hAnsi="仿宋_GB2312" w:cs="仿宋_GB2312" w:eastAsia="仿宋_GB2312"/>
                      <w:sz w:val="18"/>
                      <w:color w:val="000000"/>
                    </w:rPr>
                    <w:t>的</w:t>
                  </w:r>
                  <w:r>
                    <w:rPr>
                      <w:rFonts w:ascii="仿宋_GB2312" w:hAnsi="仿宋_GB2312" w:cs="仿宋_GB2312" w:eastAsia="仿宋_GB2312"/>
                      <w:sz w:val="18"/>
                      <w:color w:val="000000"/>
                    </w:rPr>
                    <w:t>布线、接线、安装、调试；</w:t>
                  </w:r>
                </w:p>
                <w:p>
                  <w:pPr>
                    <w:pStyle w:val="null3"/>
                    <w:jc w:val="both"/>
                  </w:pPr>
                  <w:r>
                    <w:rPr>
                      <w:rFonts w:ascii="仿宋_GB2312" w:hAnsi="仿宋_GB2312" w:cs="仿宋_GB2312" w:eastAsia="仿宋_GB2312"/>
                      <w:sz w:val="18"/>
                      <w:color w:val="000000"/>
                    </w:rPr>
                    <w:t>2、</w:t>
                  </w:r>
                  <w:r>
                    <w:rPr>
                      <w:rFonts w:ascii="仿宋_GB2312" w:hAnsi="仿宋_GB2312" w:cs="仿宋_GB2312" w:eastAsia="仿宋_GB2312"/>
                      <w:sz w:val="18"/>
                      <w:color w:val="000000"/>
                    </w:rPr>
                    <w:t>整合</w:t>
                  </w:r>
                  <w:r>
                    <w:rPr>
                      <w:rFonts w:ascii="仿宋_GB2312" w:hAnsi="仿宋_GB2312" w:cs="仿宋_GB2312" w:eastAsia="仿宋_GB2312"/>
                      <w:sz w:val="18"/>
                      <w:color w:val="000000"/>
                    </w:rPr>
                    <w:t>现有</w:t>
                  </w:r>
                  <w:r>
                    <w:rPr>
                      <w:rFonts w:ascii="仿宋_GB2312" w:hAnsi="仿宋_GB2312" w:cs="仿宋_GB2312" w:eastAsia="仿宋_GB2312"/>
                      <w:sz w:val="18"/>
                      <w:color w:val="000000"/>
                    </w:rPr>
                    <w:t>无线网络覆盖设备、标准化考场配套设备、信号屏蔽仪、强电控制系统并实现一体化统筹管理，同步完成相关线路改造、布线对接与调试作业。</w:t>
                  </w:r>
                </w:p>
                <w:p>
                  <w:pPr>
                    <w:pStyle w:val="null3"/>
                    <w:jc w:val="both"/>
                  </w:pPr>
                  <w:r>
                    <w:rPr>
                      <w:rFonts w:ascii="仿宋_GB2312" w:hAnsi="仿宋_GB2312" w:cs="仿宋_GB2312" w:eastAsia="仿宋_GB2312"/>
                      <w:sz w:val="18"/>
                      <w:color w:val="000000"/>
                    </w:rPr>
                    <w:t>3、完成教室老旧设备及线路的拆除、清理、搬运。</w:t>
                  </w:r>
                </w:p>
              </w:tc>
            </w:tr>
            <w:tr>
              <w:tc>
                <w:tcPr>
                  <w:tcW w:type="dxa" w:w="21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系统集成与对接</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16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本项目须完成与学校现有</w:t>
                  </w:r>
                  <w:r>
                    <w:rPr>
                      <w:rFonts w:ascii="仿宋_GB2312" w:hAnsi="仿宋_GB2312" w:cs="仿宋_GB2312" w:eastAsia="仿宋_GB2312"/>
                      <w:sz w:val="18"/>
                      <w:color w:val="000000"/>
                    </w:rPr>
                    <w:t>智慧校园</w:t>
                  </w:r>
                  <w:r>
                    <w:rPr>
                      <w:rFonts w:ascii="仿宋_GB2312" w:hAnsi="仿宋_GB2312" w:cs="仿宋_GB2312" w:eastAsia="仿宋_GB2312"/>
                      <w:sz w:val="18"/>
                      <w:color w:val="000000"/>
                    </w:rPr>
                    <w:t>业务平台的数据互通与对接集成，包含但不限于：</w:t>
                  </w:r>
                  <w:r>
                    <w:rPr>
                      <w:rFonts w:ascii="仿宋_GB2312" w:hAnsi="仿宋_GB2312" w:cs="仿宋_GB2312" w:eastAsia="仿宋_GB2312"/>
                      <w:sz w:val="18"/>
                      <w:color w:val="000000"/>
                    </w:rPr>
                    <w:t>（</w:t>
                  </w:r>
                  <w:r>
                    <w:rPr>
                      <w:rFonts w:ascii="仿宋_GB2312" w:hAnsi="仿宋_GB2312" w:cs="仿宋_GB2312" w:eastAsia="仿宋_GB2312"/>
                      <w:sz w:val="18"/>
                      <w:color w:val="000000"/>
                    </w:rPr>
                    <w:t>金智</w:t>
                  </w:r>
                  <w:r>
                    <w:rPr>
                      <w:rFonts w:ascii="仿宋_GB2312" w:hAnsi="仿宋_GB2312" w:cs="仿宋_GB2312" w:eastAsia="仿宋_GB2312"/>
                      <w:sz w:val="18"/>
                      <w:color w:val="000000"/>
                    </w:rPr>
                    <w:t>）</w:t>
                  </w:r>
                  <w:r>
                    <w:rPr>
                      <w:rFonts w:ascii="仿宋_GB2312" w:hAnsi="仿宋_GB2312" w:cs="仿宋_GB2312" w:eastAsia="仿宋_GB2312"/>
                      <w:sz w:val="18"/>
                      <w:color w:val="000000"/>
                    </w:rPr>
                    <w:t>智慧校园平台、</w:t>
                  </w:r>
                  <w:r>
                    <w:rPr>
                      <w:rFonts w:ascii="仿宋_GB2312" w:hAnsi="仿宋_GB2312" w:cs="仿宋_GB2312" w:eastAsia="仿宋_GB2312"/>
                      <w:sz w:val="18"/>
                      <w:color w:val="000000"/>
                    </w:rPr>
                    <w:t>（</w:t>
                  </w:r>
                  <w:r>
                    <w:rPr>
                      <w:rFonts w:ascii="仿宋_GB2312" w:hAnsi="仿宋_GB2312" w:cs="仿宋_GB2312" w:eastAsia="仿宋_GB2312"/>
                      <w:sz w:val="18"/>
                      <w:color w:val="000000"/>
                    </w:rPr>
                    <w:t>金智</w:t>
                  </w:r>
                  <w:r>
                    <w:rPr>
                      <w:rFonts w:ascii="仿宋_GB2312" w:hAnsi="仿宋_GB2312" w:cs="仿宋_GB2312" w:eastAsia="仿宋_GB2312"/>
                      <w:sz w:val="18"/>
                      <w:color w:val="000000"/>
                    </w:rPr>
                    <w:t>）</w:t>
                  </w:r>
                  <w:r>
                    <w:rPr>
                      <w:rFonts w:ascii="仿宋_GB2312" w:hAnsi="仿宋_GB2312" w:cs="仿宋_GB2312" w:eastAsia="仿宋_GB2312"/>
                      <w:sz w:val="18"/>
                      <w:color w:val="000000"/>
                    </w:rPr>
                    <w:t>统一身份认证平台、</w:t>
                  </w:r>
                  <w:r>
                    <w:rPr>
                      <w:rFonts w:ascii="仿宋_GB2312" w:hAnsi="仿宋_GB2312" w:cs="仿宋_GB2312" w:eastAsia="仿宋_GB2312"/>
                      <w:sz w:val="18"/>
                      <w:color w:val="000000"/>
                    </w:rPr>
                    <w:t>（</w:t>
                  </w:r>
                  <w:r>
                    <w:rPr>
                      <w:rFonts w:ascii="仿宋_GB2312" w:hAnsi="仿宋_GB2312" w:cs="仿宋_GB2312" w:eastAsia="仿宋_GB2312"/>
                      <w:sz w:val="18"/>
                      <w:color w:val="000000"/>
                    </w:rPr>
                    <w:t>北京华育</w:t>
                  </w:r>
                  <w:r>
                    <w:rPr>
                      <w:rFonts w:ascii="仿宋_GB2312" w:hAnsi="仿宋_GB2312" w:cs="仿宋_GB2312" w:eastAsia="仿宋_GB2312"/>
                      <w:sz w:val="18"/>
                      <w:color w:val="000000"/>
                    </w:rPr>
                    <w:t>）</w:t>
                  </w:r>
                  <w:r>
                    <w:rPr>
                      <w:rFonts w:ascii="仿宋_GB2312" w:hAnsi="仿宋_GB2312" w:cs="仿宋_GB2312" w:eastAsia="仿宋_GB2312"/>
                      <w:sz w:val="18"/>
                      <w:color w:val="000000"/>
                    </w:rPr>
                    <w:t>资源管理平台、</w:t>
                  </w:r>
                  <w:r>
                    <w:rPr>
                      <w:rFonts w:ascii="仿宋_GB2312" w:hAnsi="仿宋_GB2312" w:cs="仿宋_GB2312" w:eastAsia="仿宋_GB2312"/>
                      <w:sz w:val="18"/>
                      <w:color w:val="000000"/>
                    </w:rPr>
                    <w:t>（</w:t>
                  </w:r>
                  <w:r>
                    <w:rPr>
                      <w:rFonts w:ascii="仿宋_GB2312" w:hAnsi="仿宋_GB2312" w:cs="仿宋_GB2312" w:eastAsia="仿宋_GB2312"/>
                      <w:sz w:val="18"/>
                      <w:color w:val="000000"/>
                    </w:rPr>
                    <w:t>翰博尔</w:t>
                  </w:r>
                  <w:r>
                    <w:rPr>
                      <w:rFonts w:ascii="仿宋_GB2312" w:hAnsi="仿宋_GB2312" w:cs="仿宋_GB2312" w:eastAsia="仿宋_GB2312"/>
                      <w:sz w:val="18"/>
                      <w:color w:val="000000"/>
                    </w:rPr>
                    <w:t>）</w:t>
                  </w:r>
                  <w:r>
                    <w:rPr>
                      <w:rFonts w:ascii="仿宋_GB2312" w:hAnsi="仿宋_GB2312" w:cs="仿宋_GB2312" w:eastAsia="仿宋_GB2312"/>
                      <w:sz w:val="18"/>
                      <w:color w:val="000000"/>
                    </w:rPr>
                    <w:t>录播巡课平台、</w:t>
                  </w:r>
                  <w:r>
                    <w:rPr>
                      <w:rFonts w:ascii="仿宋_GB2312" w:hAnsi="仿宋_GB2312" w:cs="仿宋_GB2312" w:eastAsia="仿宋_GB2312"/>
                      <w:sz w:val="18"/>
                      <w:color w:val="000000"/>
                    </w:rPr>
                    <w:t>（</w:t>
                  </w:r>
                  <w:r>
                    <w:rPr>
                      <w:rFonts w:ascii="仿宋_GB2312" w:hAnsi="仿宋_GB2312" w:cs="仿宋_GB2312" w:eastAsia="仿宋_GB2312"/>
                      <w:sz w:val="18"/>
                      <w:color w:val="000000"/>
                    </w:rPr>
                    <w:t>超星</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网络学习平台、</w:t>
                  </w:r>
                  <w:r>
                    <w:rPr>
                      <w:rFonts w:ascii="仿宋_GB2312" w:hAnsi="仿宋_GB2312" w:cs="仿宋_GB2312" w:eastAsia="仿宋_GB2312"/>
                      <w:sz w:val="18"/>
                      <w:color w:val="000000"/>
                    </w:rPr>
                    <w:t>（</w:t>
                  </w:r>
                  <w:r>
                    <w:rPr>
                      <w:rFonts w:ascii="仿宋_GB2312" w:hAnsi="仿宋_GB2312" w:cs="仿宋_GB2312" w:eastAsia="仿宋_GB2312"/>
                      <w:sz w:val="18"/>
                      <w:color w:val="000000"/>
                    </w:rPr>
                    <w:t>新中新</w:t>
                  </w:r>
                  <w:r>
                    <w:rPr>
                      <w:rFonts w:ascii="仿宋_GB2312" w:hAnsi="仿宋_GB2312" w:cs="仿宋_GB2312" w:eastAsia="仿宋_GB2312"/>
                      <w:sz w:val="18"/>
                      <w:color w:val="000000"/>
                    </w:rPr>
                    <w:t>）</w:t>
                  </w:r>
                  <w:r>
                    <w:rPr>
                      <w:rFonts w:ascii="仿宋_GB2312" w:hAnsi="仿宋_GB2312" w:cs="仿宋_GB2312" w:eastAsia="仿宋_GB2312"/>
                      <w:sz w:val="18"/>
                      <w:color w:val="000000"/>
                    </w:rPr>
                    <w:t>一卡通平台等。全过程包含配套系统环境部署搭建、参数配置、接口调试及数据联调工作，确保各平台数据正常同步、兼容互通、稳定运行。</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18"/>
                <w:color w:val="000000"/>
              </w:rPr>
              <w:t>3.其他要求：</w:t>
            </w:r>
          </w:p>
          <w:p>
            <w:pPr>
              <w:pStyle w:val="null3"/>
              <w:jc w:val="left"/>
            </w:pPr>
            <w:r>
              <w:rPr>
                <w:rFonts w:ascii="仿宋_GB2312" w:hAnsi="仿宋_GB2312" w:cs="仿宋_GB2312" w:eastAsia="仿宋_GB2312"/>
                <w:sz w:val="18"/>
                <w:color w:val="000000"/>
              </w:rPr>
              <w:t>（一）售后支持：</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售后服务：投标人指派一名技术人员，驻场专门负责售后服务，在接到采购人故障报修后0.5小时内到达现场处理故障，在2小时内解决故障。2小时内故障无法解决的，提供不低于投标设备性能的原厂商备用设备，并承担相关更换的费用</w:t>
            </w:r>
            <w:r>
              <w:rPr>
                <w:rFonts w:ascii="仿宋_GB2312" w:hAnsi="仿宋_GB2312" w:cs="仿宋_GB2312" w:eastAsia="仿宋_GB2312"/>
                <w:sz w:val="16"/>
                <w:color w:val="000000"/>
              </w:rPr>
              <w:t>；</w:t>
            </w:r>
            <w:r>
              <w:rPr>
                <w:rFonts w:ascii="仿宋_GB2312" w:hAnsi="仿宋_GB2312" w:cs="仿宋_GB2312" w:eastAsia="仿宋_GB2312"/>
                <w:sz w:val="18"/>
              </w:rPr>
              <w:t>投标人</w:t>
            </w:r>
            <w:r>
              <w:rPr>
                <w:rFonts w:ascii="仿宋_GB2312" w:hAnsi="仿宋_GB2312" w:cs="仿宋_GB2312" w:eastAsia="仿宋_GB2312"/>
                <w:sz w:val="18"/>
                <w:color w:val="000000"/>
              </w:rPr>
              <w:t>承诺每学期开展一次定期巡检。</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2）提供本项目采购产品的售后专业支持和服务，包含服务内容、响应时间、售后服务技术标准等内容，对涉及的相关教学环境提升内容，提供相应维保责任。</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3）如发生产品故障等紧急情况，应及时响应修复，或提供备品备件产品或采取应急措施，以确保采购人正常使用。</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二</w:t>
            </w:r>
            <w:r>
              <w:rPr>
                <w:rFonts w:ascii="仿宋_GB2312" w:hAnsi="仿宋_GB2312" w:cs="仿宋_GB2312" w:eastAsia="仿宋_GB2312"/>
                <w:sz w:val="18"/>
                <w:color w:val="000000"/>
              </w:rPr>
              <w:t>）技术培训：</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1）免费提供人员的培训，结合采购人实际情况，拟定详细的系统实施计划，包含客户化修改、测试、试运行、培训等。</w:t>
            </w:r>
          </w:p>
          <w:p>
            <w:pPr>
              <w:pStyle w:val="null3"/>
              <w:jc w:val="left"/>
            </w:pPr>
            <w:r>
              <w:rPr>
                <w:rFonts w:ascii="仿宋_GB2312" w:hAnsi="仿宋_GB2312" w:cs="仿宋_GB2312" w:eastAsia="仿宋_GB2312"/>
                <w:sz w:val="18"/>
                <w:color w:val="000000"/>
              </w:rPr>
              <w:t>（</w:t>
            </w:r>
            <w:r>
              <w:rPr>
                <w:rFonts w:ascii="仿宋_GB2312" w:hAnsi="仿宋_GB2312" w:cs="仿宋_GB2312" w:eastAsia="仿宋_GB2312"/>
                <w:sz w:val="18"/>
                <w:color w:val="000000"/>
              </w:rPr>
              <w:t>2）项目在正式使用前，采购人根据时间安排投标人工程师进行实操培训，培训内容主要为整个系统架构介绍、操作流程、设备启动流程、简单故障排除方法等，最终达到设备管理员能够熟练本系统。</w:t>
            </w:r>
          </w:p>
          <w:p>
            <w:pPr>
              <w:pStyle w:val="null3"/>
            </w:pPr>
            <w:r>
              <w:rPr>
                <w:rFonts w:ascii="仿宋_GB2312" w:hAnsi="仿宋_GB2312" w:cs="仿宋_GB2312" w:eastAsia="仿宋_GB2312"/>
                <w:sz w:val="18"/>
                <w:color w:val="000000"/>
              </w:rPr>
              <w:t>（</w:t>
            </w:r>
            <w:r>
              <w:rPr>
                <w:rFonts w:ascii="仿宋_GB2312" w:hAnsi="仿宋_GB2312" w:cs="仿宋_GB2312" w:eastAsia="仿宋_GB2312"/>
                <w:sz w:val="18"/>
                <w:color w:val="000000"/>
              </w:rPr>
              <w:t>3）培训对象包括系统管理员、管理人员、操作员，系统管理人员培训内容为系统中涉及的相关技术内容；管理人员培训内容为系统流程和相关管理思想；操作员为系统的操作培训。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其他，项目安装调试并经甲方终验收合格（达到使用标准）后，达到付款条件起7个工作日内，支付合同总金额的100.0%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在货物安装调试完毕后，整理项目过程资料并装订成册，书面通知采购人进行验收；招标人在检查货物原产地、型号、规格、配置符合合同要求后，由供应商负责安装调试、招标人负责技术验收。（2）验收标准：招标人根据合同要求进行验收，验收依据为合同文本、招标文件、投标文件以及现行的国家标准或国家行政部门颁布的法律法规、规章制度等；没有国家标准的，可以参考行业标准。（3）验收文档：投标人应以光盘提供项目中所包括的货物或软件的完整安装系统，并负责在项目验收时将项目的全部有关产品说明书、原厂家安装手册、技术文件、资料及安装、验收报告等文档汇集成册交给招标人。（4）验收合格后，填写验收单，并向招标人提交所有验收文档等资料，以便使用单位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1）质量保修范围：质量保证期内乙方免费负责对其提供的硬件设备、软件和系统进行维护、维修、版本升级，包括设备维修所需的零配件及不能解决的故障需要返回生产厂家维修时所发生的一切费用。 2）保修期：自项目验收合格后,供应商提供3年免费保修服务（含1年的驻场服务人员1名）。</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所供货物品种、型号、规格、质量、技术指标等不符合本合同、本合同项下技术协议、采购/招标文件、响应/投标文件规定的，甲方有权拒收货物，有权责令乙方在合同履行期限内整改；超出合同履行期限，乙方仍未按要求提供货物，乙方应向甲方支付合同金额10% 的违约金，并承担甲方因此产生的所有损失。 2.乙方未按本合同约定按期交付货物的视同逾期交付，则须按合同金额的3‰/天向甲方支付逾期违约金。逾期 天仍不能交货的，甲方有权单方解除本合同。本合同自甲方向乙方发出解除通知之日解除，乙方除支付上述逾期违约金外，应退还甲方已支付的全部货款及费用并向甲方支付合同金额10%的解除违约金及承担甲方因此造成的所有损失。 3.乙方不配合甲方货物采购验收工作、相关工作人员没有相应操作资质证书、操作失误、未尽安全保障义务、货物存在瑕疵或者安装调试不到位，乙方应向甲方支付合同金额10%的违约金，还应同时承担甲方因此造成的所有损失。 4.在质保期内乙方交付的货物存在瑕疵、未按合同约定及时响应甲方要求、怠于沟通解决货物问题等非因甲方原因，乙方除应承担货物运输、安装、调试或使用过程中造成的所有损失外，还应向甲方支付合同金额10%的违约金， 同时承担甲方因此造成的所有损失。 5.甲方延迟付款时，乙方有权要求甲方继续履行付款义务。乙方还可以要求甲方采取补救措施，以减轻或消除因违约造成的不良影响。补救措施可能包括但不限于：加快付款进度、支付逾期利息等。 6.因乙方未取得处分权致使货物所有权不能转移的，甲方可以解除合同并请求乙方承担违约责任。 7.本合同中的损失包含并不限于一切人身损害、财产损失、实验室污染造成的损失等，以及守约方为了弥补损失或维权所产生的一切费用（包括但不限于律师费、诉讼费、鉴定费、交通费、误工费等）。 8.除不可抗力原因外，乙方违约，乙方所缴纳的履约保证金甲方部分或全部予以扣除，作为对甲方的赔偿。如合同履约保证金不足以弥补甲方损失时，甲方有权要求乙方继续承担赔偿责任。 9.甲方依据本合同相关约定解除合同，解除通知自送达乙方时，本合同解除。合同解除，乙方必须无条件退回已经支付的全部货款，赔偿甲方所有损失及因主张权利而产生的一切损失。 10.在履行本合同过程中，如甲、乙双方发生争议，协商解决:如双方达不成协议，向具有管辖权的人民法院提起诉讼。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保证金退还: 1）未中标单位：招标结束后，将根据所提供信息退还各投标单位保证金，无需亲自前来办理； 2）成交单位：在采购合同签订并按规定交纳代理服务费后五个工作日内退还。（办理退保证金：需提供与甲方签订的合同原件的扫描件一份（pdf格式）发送至此邮箱（945990512@qq.com）,发送时务必备注项目名称、项目编号和标段（无标段可不写））；3）如有电子保函请将电子保函发送至1152611386@qq.com。4)以转账方式交纳投标保证金须注明项目编号及用途(投标保证金)，咨询电话：029-89286620-808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2025年度审计报告，或提交投标文件截止时间前六个月内其基本账户开户银行出具的资信证明（提供银行出具的资信证明的需同时提供开户许可证或基本银行账户信息复印件加盖公章）；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已缴存的至少一个月的纳税证明或完税证明（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提供递交投标文件截止之日前一年内已缴存的至少一个月的社会保障资金缴存单据或社保机构开具的社会保险参保缴费情况证明。依法不需要缴纳社会保障资金的供应商应提供相关证明文件；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法定代表人证明书与法定代表人授权书.docx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对招标文件技术参数要求部分的所有指标，投标人应逐条进行响应。完全符合、响应招标文件要求，没有负偏离的得30分；“▲”项参数每负偏离一项扣2分，非“▲”项参数每有一个负偏离扣0.5分，扣完为止。 备注：标注“▲”项为重要参数，须提供功能及性能佐证材料（不限于产品检测报告或产品彩页或产品说明书或官网和功能截图等），须在技术指标偏差中标注页码，未提供佐证材料者视为负偏离。如技术参数中对所提供证明资料有要求，以技术参数中要求的证明材料为准，其余未作要求的以技术指标偏差表响应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产品符合国家相关认证要求承诺书(1).docx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投标人需结合用户现状提供详细智慧教室建设方案，包括①本次建设和学校原有智慧教室相融合的统一架构方案②系统对接的具体方案。 评审标准：方案各部分内容全面详细、阐述条例清晰详尽、符合本项目采购需求，能保障本项目实施得4分；评审内容每缺一项扣2分，评审内容有缺陷未完全响应评审标准的扣1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投标人提供针对本项目的实施方案,包括①总体实施方案②人员配备③供货渠道④应急方案⑤教学环境提升方案等。 评审标准：方案各部分内容全面详细、阐述条例清晰详尽、符合本项目采购需求，能保障本项目实施得5分；评审内容每缺一项扣1分，评审内容有缺陷未完全响应评审标准的扣0.2分。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售后服务机构健全，提供售后服务方案，包括①售后服务承诺及售后服务保障措施②售后人员配置安排计划③售后故障处理响应时间。 各部分内容全面详细、阐述条例清晰详尽、符合本项目采购需求，得3分，评审内容每缺一项扣1分；评审内容有缺陷未完全响应评审标准的扣0.2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投标人针对本项目有具体的培训方案，包括①培训目标及内容②培训计划安排③人员安排④覆盖范围。培训的具体日期及人数由使用单位确定。 各部分内容全面详细、阐述条例清晰详尽、符合本项目采购需求，得2分，评审内容每缺一项扣0.5分；评审内容有缺陷未完全响应评审标准的扣0.2分。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质保服务</w:t>
            </w:r>
          </w:p>
        </w:tc>
        <w:tc>
          <w:tcPr>
            <w:tcW w:type="dxa" w:w="2492"/>
          </w:tcPr>
          <w:p>
            <w:pPr>
              <w:pStyle w:val="null3"/>
            </w:pPr>
            <w:r>
              <w:rPr>
                <w:rFonts w:ascii="仿宋_GB2312" w:hAnsi="仿宋_GB2312" w:cs="仿宋_GB2312" w:eastAsia="仿宋_GB2312"/>
              </w:rPr>
              <w:t>1.在满足招标文件要求质保期的基础上，投标人可根据自身情况延长质保，质保期每增加1年质保得1分，满分2分。 2.在满足招标文件要求质保期内驻场人员的基础上，驻场人员驻场时间每增加1年得1分，满分2分。 注：投标人须在投标文件中明确拟派1名驻场人员信息，并提供该人员开标截止时间前一年内任意1个月的社保缴纳证明材料或劳动合同，未提供不得分。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提供投标人2023年7月1日至今类似项目合同（以合同签订时间为准），每提供1个得1分，满分5分。 注：须提供业绩合同证明材料复印件（至少包括封面、内容页、盖章页）。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根据采购需求中“●”功能进行现场演示，演示须基于真实软件系统，演示时间不超过10分钟（不含提问及解答时间），投标人自带所需设备进行演示，演示时如需网络连接由投标人自行解决。（线下演示地点：西安市莲湖区高新一路5号正信大厦A座24楼会议室）。 评审标准：根据演示情况与项目要求契合度得分，演示内容完整、全面、具有针对性，每提供1项演示成功得4分；满分12分，每有一项内容缺失或有瑕疵或与本项目无关该项不得分，使用PPT、demo等其他非真实系统方式演示或不演示此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经初审合格的投标文件，其投标报价为有效投标价。评标基准价：即满足采购文件要求且投标价格最低的投标报价为评标基准价。 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详见附件：产品符合国家相关认证要求承诺书(1).docx</w:t>
      </w:r>
    </w:p>
    <w:p>
      <w:pPr>
        <w:pStyle w:val="null3"/>
        <w:ind w:firstLine="960"/>
      </w:pPr>
      <w:r>
        <w:rPr>
          <w:rFonts w:ascii="仿宋_GB2312" w:hAnsi="仿宋_GB2312" w:cs="仿宋_GB2312" w:eastAsia="仿宋_GB2312"/>
        </w:rPr>
        <w:t>详见附件：技术指标偏差表.docx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详见附件：西安医学院货物类采购合同.docx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