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版本号：SCZD2026-CS-0962-001R20260513001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经开院区纯水机房运维服务项目(二次)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SCZD2026-CS-0962-001R</w:t>
      </w:r>
      <w:r>
        <w:br/>
      </w:r>
      <w:r>
        <w:br/>
      </w:r>
      <w:r>
        <w:br/>
      </w:r>
    </w:p>
    <w:p>
      <w:pPr>
        <w:pStyle w:val="null3"/>
        <w:jc w:val="center"/>
        <w:outlineLvl w:val="2"/>
      </w:pPr>
      <w:r>
        <w:rPr>
          <w:rFonts w:ascii="仿宋_GB2312" w:hAnsi="仿宋_GB2312" w:cs="仿宋_GB2312" w:eastAsia="仿宋_GB2312"/>
          <w:sz w:val="28"/>
          <w:b/>
        </w:rPr>
        <w:t>西安市儿童医院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西安市儿童医院</w:t>
      </w:r>
      <w:r>
        <w:rPr>
          <w:rFonts w:ascii="仿宋_GB2312" w:hAnsi="仿宋_GB2312" w:cs="仿宋_GB2312" w:eastAsia="仿宋_GB2312"/>
        </w:rPr>
        <w:t>委托，拟对</w:t>
      </w:r>
      <w:r>
        <w:rPr>
          <w:rFonts w:ascii="仿宋_GB2312" w:hAnsi="仿宋_GB2312" w:cs="仿宋_GB2312" w:eastAsia="仿宋_GB2312"/>
        </w:rPr>
        <w:t>经开院区纯水机房运维服务项目(二次)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SCZD2026-CS-0962-001R</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经开院区纯水机房运维服务项目(二次)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我院经开院区纯水机房和肾脏科血液透析纯水中心、口腔科、检验科及其他相关科室用纯水/超纯水提供为期两年的标准化、规范化运维服务。服务包含纯水设备维修保养、定期消毒和更换耗材等（工业用盐除外）。</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采购包1（经开院区纯水机房运维服务项目）：属于专门面向中小企业采购。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供应商在递交投标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2、供应商应授权合法的人员参加磋商全过程，其中法定代表人直接参加磋商的，须出具法人身份证，并与营业执照上信息一致。法定代表人授权代表参加磋商的，须出具法定代表人授权书及授权代表身份证、授权代表本单位证明（养老保险缴纳证明）：供应商应授权合法的人员参加磋商全过程，其中法定代表人直接参加磋商的，须出具法人身份证，并与营业执照上信息一致。法定代表人授权代表参加磋商的，须出具法定代表人授权书及授权代表身份证、授权代表本单位证明（养老保险缴纳证明）</w:t>
      </w:r>
    </w:p>
    <w:p>
      <w:pPr>
        <w:pStyle w:val="null3"/>
      </w:pPr>
      <w:r>
        <w:rPr>
          <w:rFonts w:ascii="仿宋_GB2312" w:hAnsi="仿宋_GB2312" w:cs="仿宋_GB2312" w:eastAsia="仿宋_GB2312"/>
        </w:rPr>
        <w:t>3、中小企业声明函：供应商提供《中小企业声明函》、《残疾人福利性单位声明函》或由省级以上监狱管理局、戒毒管理局（含新疆生产建设兵团）出具的属于监狱企业的证明文件。格式及内容符合采购文件要求。</w:t>
      </w:r>
    </w:p>
    <w:p>
      <w:pPr>
        <w:pStyle w:val="null3"/>
      </w:pPr>
      <w:r>
        <w:rPr>
          <w:rFonts w:ascii="仿宋_GB2312" w:hAnsi="仿宋_GB2312" w:cs="仿宋_GB2312" w:eastAsia="仿宋_GB2312"/>
        </w:rPr>
        <w:t>4、已向采购代理机构获取采购文件：需向采购代理机构获取采购文件，未向采购代理机构获取采购文件的供应商均无资格参加磋商。</w:t>
      </w:r>
    </w:p>
    <w:p>
      <w:pPr>
        <w:pStyle w:val="null3"/>
      </w:pPr>
      <w:r>
        <w:rPr>
          <w:rFonts w:ascii="仿宋_GB2312" w:hAnsi="仿宋_GB2312" w:cs="仿宋_GB2312" w:eastAsia="仿宋_GB2312"/>
        </w:rPr>
        <w:t>5、法律、行政法规规定的其他条件：不存在违反法律法规的情况</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西安市儿童医院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西安市莲湖区西举院巷69号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西安市儿童医院经办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029-87692082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陕西省西安市雁塔区锦业路1号都市之门C座9楼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薛盼 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代理服务费收费标准：参照原国家计委计价格〔2002〕1980号文和国家发改委发改办价格〔2003〕857号文的计算方法按标准（按标段）收取（按标准下浮30 %）</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西安市儿童医院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西安市儿童医院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西安市儿童医院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地址：陕西省西安市雁塔区锦业路1号都市之门C座9楼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我院经开院区纯水机房和肾脏科血液透析纯水中心、口腔科、检验科及其他相关科室用纯水/超纯水提供为期两年的标准化、规范化运维服务。服务包含纯水设备维修保养、定期消毒和更换耗材等（工业用盐除外）。</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经开纯水中心更换耗材</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标的名称：经开纯水中心更换耗材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为我院经开院区纯水机房和肾脏科血液透析纯水中心、口腔科、检验科及其他相关科室用纯水</w:t>
            </w:r>
            <w:r>
              <w:rPr>
                <w:rFonts w:ascii="仿宋_GB2312" w:hAnsi="仿宋_GB2312" w:cs="仿宋_GB2312" w:eastAsia="仿宋_GB2312"/>
                <w:sz w:val="24"/>
              </w:rPr>
              <w:t>/超纯水提供为期两年的标准化、规范化运维服务。服务包含纯水设备维修保养、定期消毒和更换耗材等（工业用盐除外）。</w:t>
            </w:r>
          </w:p>
          <w:p>
            <w:pPr>
              <w:pStyle w:val="null3"/>
              <w:jc w:val="both"/>
            </w:pPr>
            <w:r>
              <w:rPr>
                <w:rFonts w:ascii="仿宋_GB2312" w:hAnsi="仿宋_GB2312" w:cs="仿宋_GB2312" w:eastAsia="仿宋_GB2312"/>
                <w:sz w:val="24"/>
                <w:b/>
              </w:rPr>
              <w:t>二、服务内容：（包括工作重点区域、工作主要内容等）</w:t>
            </w:r>
          </w:p>
          <w:p>
            <w:pPr>
              <w:pStyle w:val="null3"/>
              <w:ind w:firstLine="480"/>
              <w:jc w:val="both"/>
            </w:pPr>
            <w:r>
              <w:rPr>
                <w:rFonts w:ascii="仿宋_GB2312" w:hAnsi="仿宋_GB2312" w:cs="仿宋_GB2312" w:eastAsia="仿宋_GB2312"/>
                <w:sz w:val="24"/>
              </w:rPr>
              <w:t>1.工作重点区域：西安市儿童医院经开院区纯水机房和肾脏科血液透析纯水中心、口腔科、检验科及其他相关科室用纯水/超纯水的场所；</w:t>
            </w:r>
          </w:p>
          <w:p>
            <w:pPr>
              <w:pStyle w:val="null3"/>
              <w:ind w:firstLine="480"/>
              <w:jc w:val="both"/>
            </w:pPr>
            <w:r>
              <w:rPr>
                <w:rFonts w:ascii="仿宋_GB2312" w:hAnsi="仿宋_GB2312" w:cs="仿宋_GB2312" w:eastAsia="仿宋_GB2312"/>
                <w:sz w:val="24"/>
              </w:rPr>
              <w:t>2.工作主要内容：</w:t>
            </w:r>
          </w:p>
          <w:p>
            <w:pPr>
              <w:pStyle w:val="null3"/>
              <w:ind w:firstLine="480"/>
              <w:jc w:val="both"/>
            </w:pPr>
            <w:r>
              <w:rPr>
                <w:rFonts w:ascii="仿宋_GB2312" w:hAnsi="仿宋_GB2312" w:cs="仿宋_GB2312" w:eastAsia="仿宋_GB2312"/>
                <w:sz w:val="24"/>
              </w:rPr>
              <w:t>2.1.设备故障应急维修；</w:t>
            </w:r>
          </w:p>
          <w:p>
            <w:pPr>
              <w:pStyle w:val="null3"/>
              <w:ind w:firstLine="480"/>
              <w:jc w:val="both"/>
            </w:pPr>
            <w:r>
              <w:rPr>
                <w:rFonts w:ascii="仿宋_GB2312" w:hAnsi="仿宋_GB2312" w:cs="仿宋_GB2312" w:eastAsia="仿宋_GB2312"/>
                <w:sz w:val="24"/>
              </w:rPr>
              <w:t>2.2.定期更换设备日常耗材；</w:t>
            </w:r>
          </w:p>
          <w:p>
            <w:pPr>
              <w:pStyle w:val="null3"/>
              <w:ind w:firstLine="480"/>
              <w:jc w:val="both"/>
            </w:pPr>
            <w:r>
              <w:rPr>
                <w:rFonts w:ascii="仿宋_GB2312" w:hAnsi="仿宋_GB2312" w:cs="仿宋_GB2312" w:eastAsia="仿宋_GB2312"/>
                <w:sz w:val="24"/>
              </w:rPr>
              <w:t>2.3.配合协助医院完成各项应急预案；</w:t>
            </w:r>
          </w:p>
          <w:p>
            <w:pPr>
              <w:pStyle w:val="null3"/>
              <w:ind w:firstLine="480"/>
              <w:jc w:val="both"/>
            </w:pPr>
            <w:r>
              <w:rPr>
                <w:rFonts w:ascii="仿宋_GB2312" w:hAnsi="仿宋_GB2312" w:cs="仿宋_GB2312" w:eastAsia="仿宋_GB2312"/>
                <w:sz w:val="24"/>
              </w:rPr>
              <w:t>2.4.每月维护保养设备并监测相关数据；</w:t>
            </w:r>
          </w:p>
          <w:p>
            <w:pPr>
              <w:pStyle w:val="null3"/>
              <w:ind w:firstLine="480"/>
              <w:jc w:val="both"/>
            </w:pPr>
            <w:r>
              <w:rPr>
                <w:rFonts w:ascii="仿宋_GB2312" w:hAnsi="仿宋_GB2312" w:cs="仿宋_GB2312" w:eastAsia="仿宋_GB2312"/>
                <w:sz w:val="24"/>
              </w:rPr>
              <w:t>2.5.每季度高水平化学消毒设备；</w:t>
            </w:r>
          </w:p>
          <w:p>
            <w:pPr>
              <w:pStyle w:val="null3"/>
              <w:ind w:firstLine="480"/>
              <w:jc w:val="both"/>
            </w:pPr>
            <w:r>
              <w:rPr>
                <w:rFonts w:ascii="仿宋_GB2312" w:hAnsi="仿宋_GB2312" w:cs="仿宋_GB2312" w:eastAsia="仿宋_GB2312"/>
                <w:sz w:val="24"/>
              </w:rPr>
              <w:t>2.6.排查并处置相关用水安全隐。</w:t>
            </w:r>
          </w:p>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.技术要求</w:t>
            </w:r>
          </w:p>
          <w:p>
            <w:pPr>
              <w:pStyle w:val="null3"/>
              <w:jc w:val="both"/>
            </w:pPr>
            <w:r>
              <w:rPr>
                <w:rFonts w:ascii="仿宋_GB2312" w:hAnsi="仿宋_GB2312" w:cs="仿宋_GB2312" w:eastAsia="仿宋_GB2312"/>
                <w:sz w:val="24"/>
                <w:b/>
              </w:rPr>
              <w:t>3.1维保设备整体情况</w:t>
            </w:r>
          </w:p>
          <w:p>
            <w:pPr>
              <w:pStyle w:val="null3"/>
              <w:ind w:firstLine="480"/>
              <w:jc w:val="both"/>
            </w:pPr>
            <w:r>
              <w:rPr>
                <w:rFonts w:ascii="仿宋_GB2312" w:hAnsi="仿宋_GB2312" w:cs="仿宋_GB2312" w:eastAsia="仿宋_GB2312"/>
                <w:sz w:val="24"/>
              </w:rPr>
              <w:t>大型（二级反渗透纯水</w:t>
            </w:r>
            <w:r>
              <w:rPr>
                <w:rFonts w:ascii="仿宋_GB2312" w:hAnsi="仿宋_GB2312" w:cs="仿宋_GB2312" w:eastAsia="仿宋_GB2312"/>
                <w:sz w:val="24"/>
              </w:rPr>
              <w:t>+EDI超纯水）医用水处理设备于2023年6月正式启用，由24支8040膜组、3套3吨预处理罐、2套2吨纯水罐和2套5吨纯水罐及EDI模块等构成。设备使用要求专业人员定期更换耗材并高水平化学消毒保证产水量达标和长期水质合格。</w:t>
            </w:r>
          </w:p>
          <w:p>
            <w:pPr>
              <w:pStyle w:val="null3"/>
              <w:jc w:val="both"/>
            </w:pPr>
            <w:r>
              <w:rPr>
                <w:rFonts w:ascii="仿宋_GB2312" w:hAnsi="仿宋_GB2312" w:cs="仿宋_GB2312" w:eastAsia="仿宋_GB2312"/>
                <w:sz w:val="24"/>
                <w:b/>
              </w:rPr>
              <w:t>3.2、服务内容与要求</w:t>
            </w:r>
          </w:p>
          <w:p>
            <w:pPr>
              <w:pStyle w:val="null3"/>
              <w:jc w:val="both"/>
            </w:pPr>
            <w:r>
              <w:rPr>
                <w:rFonts w:ascii="仿宋_GB2312" w:hAnsi="仿宋_GB2312" w:cs="仿宋_GB2312" w:eastAsia="仿宋_GB2312"/>
                <w:sz w:val="24"/>
              </w:rPr>
              <w:t>3.2.1</w:t>
            </w:r>
            <w:r>
              <w:rPr>
                <w:rFonts w:ascii="仿宋_GB2312" w:hAnsi="仿宋_GB2312" w:cs="仿宋_GB2312" w:eastAsia="仿宋_GB2312"/>
                <w:sz w:val="24"/>
              </w:rPr>
              <w:t>维保期间水质必须满足医院各用水科室要求，具体如下：</w:t>
            </w:r>
          </w:p>
          <w:tbl>
            <w:tblPr>
              <w:tblBorders>
                <w:top w:val="none" w:color="000000" w:sz="4"/>
                <w:left w:val="none" w:color="000000" w:sz="4"/>
                <w:bottom w:val="none" w:color="000000" w:sz="4"/>
                <w:right w:val="none" w:color="000000" w:sz="4"/>
                <w:insideH w:val="none"/>
                <w:insideV w:val="none"/>
              </w:tblBorders>
            </w:tblPr>
            <w:tblGrid>
              <w:gridCol w:w="550"/>
              <w:gridCol w:w="608"/>
              <w:gridCol w:w="757"/>
              <w:gridCol w:w="637"/>
            </w:tblGrid>
            <w:tr>
              <w:tc>
                <w:tcPr>
                  <w:tcW w:type="dxa" w:w="5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用途</w:t>
                  </w:r>
                </w:p>
              </w:tc>
              <w:tc>
                <w:tcPr>
                  <w:tcW w:type="dxa" w:w="6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微生物指标</w:t>
                  </w:r>
                </w:p>
              </w:tc>
              <w:tc>
                <w:tcPr>
                  <w:tcW w:type="dxa" w:w="7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电导率</w:t>
                  </w:r>
                </w:p>
              </w:tc>
              <w:tc>
                <w:tcPr>
                  <w:tcW w:type="dxa" w:w="6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备注</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生化检验</w:t>
                  </w:r>
                  <w:r>
                    <w:rPr>
                      <w:rFonts w:ascii="仿宋_GB2312" w:hAnsi="仿宋_GB2312" w:cs="仿宋_GB2312" w:eastAsia="仿宋_GB2312"/>
                      <w:sz w:val="24"/>
                      <w:color w:val="000000"/>
                      <w:shd w:fill="FFFFFF" w:val="clear"/>
                    </w:rPr>
                    <w:t>用水</w:t>
                  </w:r>
                </w:p>
              </w:tc>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细菌总数</w:t>
                  </w:r>
                  <w:r>
                    <w:rPr>
                      <w:rFonts w:ascii="仿宋_GB2312" w:hAnsi="仿宋_GB2312" w:cs="仿宋_GB2312" w:eastAsia="仿宋_GB2312"/>
                      <w:sz w:val="24"/>
                    </w:rPr>
                    <w:t>≤50CFU/</w:t>
                  </w:r>
                  <w:r>
                    <w:rPr>
                      <w:rFonts w:ascii="仿宋_GB2312" w:hAnsi="仿宋_GB2312" w:cs="仿宋_GB2312" w:eastAsia="仿宋_GB2312"/>
                      <w:sz w:val="24"/>
                      <w:color w:val="000000"/>
                    </w:rPr>
                    <w:t>ml</w:t>
                  </w:r>
                  <w:r>
                    <w:rPr>
                      <w:rFonts w:ascii="仿宋_GB2312" w:hAnsi="仿宋_GB2312" w:cs="仿宋_GB2312" w:eastAsia="仿宋_GB2312"/>
                      <w:sz w:val="24"/>
                    </w:rPr>
                    <w:t>；</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水温</w:t>
                  </w:r>
                  <w:r>
                    <w:rPr>
                      <w:rFonts w:ascii="仿宋_GB2312" w:hAnsi="仿宋_GB2312" w:cs="仿宋_GB2312" w:eastAsia="仿宋_GB2312"/>
                      <w:sz w:val="24"/>
                    </w:rPr>
                    <w:t>25℃时应不大于1us/cm</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生化检验科</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血液透析用水</w:t>
                  </w:r>
                </w:p>
              </w:tc>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细菌总数应不超过</w:t>
                  </w:r>
                  <w:r>
                    <w:rPr>
                      <w:rFonts w:ascii="仿宋_GB2312" w:hAnsi="仿宋_GB2312" w:cs="仿宋_GB2312" w:eastAsia="仿宋_GB2312"/>
                      <w:sz w:val="24"/>
                    </w:rPr>
                    <w:t>100CFU/</w:t>
                  </w:r>
                  <w:r>
                    <w:rPr>
                      <w:rFonts w:ascii="仿宋_GB2312" w:hAnsi="仿宋_GB2312" w:cs="仿宋_GB2312" w:eastAsia="仿宋_GB2312"/>
                      <w:sz w:val="24"/>
                      <w:color w:val="000000"/>
                    </w:rPr>
                    <w:t>ml</w:t>
                  </w:r>
                  <w:r>
                    <w:rPr>
                      <w:rFonts w:ascii="仿宋_GB2312" w:hAnsi="仿宋_GB2312" w:cs="仿宋_GB2312" w:eastAsia="仿宋_GB2312"/>
                      <w:sz w:val="24"/>
                    </w:rPr>
                    <w:t>,</w:t>
                  </w:r>
                  <w:r>
                    <w:br/>
                  </w:r>
                  <w:r>
                    <w:rPr>
                      <w:rFonts w:ascii="仿宋_GB2312" w:hAnsi="仿宋_GB2312" w:cs="仿宋_GB2312" w:eastAsia="仿宋_GB2312"/>
                      <w:sz w:val="24"/>
                    </w:rPr>
                    <w:t>内毒素含量应不超过</w:t>
                  </w:r>
                  <w:r>
                    <w:rPr>
                      <w:rFonts w:ascii="仿宋_GB2312" w:hAnsi="仿宋_GB2312" w:cs="仿宋_GB2312" w:eastAsia="仿宋_GB2312"/>
                      <w:sz w:val="24"/>
                    </w:rPr>
                    <w:t>0.25EU/</w:t>
                  </w:r>
                  <w:r>
                    <w:rPr>
                      <w:rFonts w:ascii="仿宋_GB2312" w:hAnsi="仿宋_GB2312" w:cs="仿宋_GB2312" w:eastAsia="仿宋_GB2312"/>
                      <w:sz w:val="24"/>
                      <w:color w:val="000000"/>
                    </w:rPr>
                    <w:t>ml</w:t>
                  </w:r>
                  <w:r>
                    <w:rPr>
                      <w:rFonts w:ascii="仿宋_GB2312" w:hAnsi="仿宋_GB2312" w:cs="仿宋_GB2312" w:eastAsia="仿宋_GB2312"/>
                      <w:sz w:val="24"/>
                    </w:rPr>
                    <w:t>;</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水温</w:t>
                  </w:r>
                  <w:r>
                    <w:rPr>
                      <w:rFonts w:ascii="仿宋_GB2312" w:hAnsi="仿宋_GB2312" w:cs="仿宋_GB2312" w:eastAsia="仿宋_GB2312"/>
                      <w:sz w:val="24"/>
                      <w:color w:val="000000"/>
                    </w:rPr>
                    <w:t>25℃时应不大于10us/cm</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血透中心</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内镜清洗用水</w:t>
                  </w:r>
                </w:p>
              </w:tc>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细菌总数</w:t>
                  </w:r>
                  <w:r>
                    <w:rPr>
                      <w:rFonts w:ascii="仿宋_GB2312" w:hAnsi="仿宋_GB2312" w:cs="仿宋_GB2312" w:eastAsia="仿宋_GB2312"/>
                      <w:sz w:val="24"/>
                      <w:color w:val="000000"/>
                    </w:rPr>
                    <w:t>≤10CFU/100ml;</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水温</w:t>
                  </w:r>
                  <w:r>
                    <w:rPr>
                      <w:rFonts w:ascii="仿宋_GB2312" w:hAnsi="仿宋_GB2312" w:cs="仿宋_GB2312" w:eastAsia="仿宋_GB2312"/>
                      <w:sz w:val="24"/>
                      <w:color w:val="000000"/>
                    </w:rPr>
                    <w:t>25℃时应不大于15us/cm</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呼吸、耳鼻喉、胃肠镜等软式内镜清洗</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口腔诊疗用水</w:t>
                  </w:r>
                </w:p>
              </w:tc>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细菌总数</w:t>
                  </w:r>
                  <w:r>
                    <w:rPr>
                      <w:rFonts w:ascii="仿宋_GB2312" w:hAnsi="仿宋_GB2312" w:cs="仿宋_GB2312" w:eastAsia="仿宋_GB2312"/>
                      <w:sz w:val="24"/>
                      <w:color w:val="000000"/>
                    </w:rPr>
                    <w:t>≤100CFU/ml;</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水温</w:t>
                  </w:r>
                  <w:r>
                    <w:rPr>
                      <w:rFonts w:ascii="仿宋_GB2312" w:hAnsi="仿宋_GB2312" w:cs="仿宋_GB2312" w:eastAsia="仿宋_GB2312"/>
                      <w:sz w:val="24"/>
                      <w:color w:val="000000"/>
                    </w:rPr>
                    <w:t>25℃时应不大于15us/cm;</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口腔科</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高温灭菌器</w:t>
                  </w:r>
                  <w:r>
                    <w:rPr>
                      <w:rFonts w:ascii="仿宋_GB2312" w:hAnsi="仿宋_GB2312" w:cs="仿宋_GB2312" w:eastAsia="仿宋_GB2312"/>
                      <w:sz w:val="24"/>
                      <w:color w:val="000000"/>
                      <w:shd w:fill="FFFFFF" w:val="clear"/>
                    </w:rPr>
                    <w:t>用水</w:t>
                  </w:r>
                </w:p>
              </w:tc>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水温</w:t>
                  </w:r>
                  <w:r>
                    <w:rPr>
                      <w:rFonts w:ascii="仿宋_GB2312" w:hAnsi="仿宋_GB2312" w:cs="仿宋_GB2312" w:eastAsia="仿宋_GB2312"/>
                      <w:sz w:val="24"/>
                      <w:color w:val="000000"/>
                    </w:rPr>
                    <w:t>25 ℃时应不大于5us/cm;</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供应室蒸汽灭菌</w:t>
                  </w:r>
                </w:p>
              </w:tc>
            </w:tr>
            <w:tr>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CSSD或手术室清洗终末漂洗用水</w:t>
                  </w:r>
                </w:p>
              </w:tc>
              <w:tc>
                <w:tcPr>
                  <w:tcW w:type="dxa" w:w="6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水温</w:t>
                  </w:r>
                  <w:r>
                    <w:rPr>
                      <w:rFonts w:ascii="仿宋_GB2312" w:hAnsi="仿宋_GB2312" w:cs="仿宋_GB2312" w:eastAsia="仿宋_GB2312"/>
                      <w:sz w:val="24"/>
                      <w:color w:val="000000"/>
                    </w:rPr>
                    <w:t>25 ℃时应不大于15us/cm;</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shd w:fill="FFFFFF" w:val="clear"/>
                    </w:rPr>
                    <w:t>供应室或</w:t>
                  </w:r>
                  <w:r>
                    <w:rPr>
                      <w:rFonts w:ascii="仿宋_GB2312" w:hAnsi="仿宋_GB2312" w:cs="仿宋_GB2312" w:eastAsia="仿宋_GB2312"/>
                      <w:sz w:val="24"/>
                      <w:color w:val="000000"/>
                    </w:rPr>
                    <w:t>手术室</w:t>
                  </w:r>
                </w:p>
              </w:tc>
            </w:tr>
          </w:tbl>
          <w:p>
            <w:pPr>
              <w:pStyle w:val="null3"/>
              <w:jc w:val="both"/>
            </w:pPr>
            <w:r>
              <w:rPr>
                <w:rFonts w:ascii="仿宋_GB2312" w:hAnsi="仿宋_GB2312" w:cs="仿宋_GB2312" w:eastAsia="仿宋_GB2312"/>
                <w:sz w:val="24"/>
              </w:rPr>
              <w:t>3.2.2针对各用水科室建立水质监测制度，每周对纯水电导率/超纯水电阻率进行检测并记录存档；每月对各用水科室纯水/超纯水的用水口和纯水设备出水口/纯水罐等进行微生物采样、送检第三方检测机构并出具采用薄膜过滤法的检验报告单；每年至少1次对血液透析用水取样送检第三方进行化学污染物检测；一旦出现超标，必须形成闭环记录：超标通知书→原因分析→采取消毒/清洗措施等→复检合格报告→恢复供水申请单；采样记录表应包含采样日期、具体采样点位置、采样人和采样时间。</w:t>
            </w:r>
          </w:p>
          <w:p>
            <w:pPr>
              <w:pStyle w:val="null3"/>
              <w:jc w:val="both"/>
            </w:pPr>
            <w:r>
              <w:rPr>
                <w:rFonts w:ascii="仿宋_GB2312" w:hAnsi="仿宋_GB2312" w:cs="仿宋_GB2312" w:eastAsia="仿宋_GB2312"/>
                <w:sz w:val="24"/>
              </w:rPr>
              <w:t>3.2.3</w:t>
            </w:r>
            <w:r>
              <w:rPr>
                <w:rFonts w:ascii="仿宋_GB2312" w:hAnsi="仿宋_GB2312" w:cs="仿宋_GB2312" w:eastAsia="仿宋_GB2312"/>
                <w:sz w:val="24"/>
              </w:rPr>
              <w:t>针对</w:t>
            </w:r>
            <w:r>
              <w:rPr>
                <w:rFonts w:ascii="仿宋_GB2312" w:hAnsi="仿宋_GB2312" w:cs="仿宋_GB2312" w:eastAsia="仿宋_GB2312"/>
                <w:sz w:val="24"/>
              </w:rPr>
              <w:t>纯水机房需要每周对机房地面、设备表面、操作台等进行清洁并巡检记录机房环境温湿度、设备有无漏水、水泵声音是否正常、各压力表的压力值是否正常范围内并记录原水压力、产水流量、废水流量、脱盐率、产水电导率</w:t>
            </w:r>
            <w:r>
              <w:rPr>
                <w:rFonts w:ascii="仿宋_GB2312" w:hAnsi="仿宋_GB2312" w:cs="仿宋_GB2312" w:eastAsia="仿宋_GB2312"/>
                <w:sz w:val="24"/>
              </w:rPr>
              <w:t>/电阻率和水温等运行参数并专人负责再生盐日常使用，如出现任何报警信息、参数异常波动应及时采取处理措施；每季度对纯水机房所有设备表面、水箱、管道接口等易滋生细菌的部位进行高水平化学消毒；纯水机房日常需要通风换气，降低空气中微生物浓度。</w:t>
            </w:r>
          </w:p>
          <w:p>
            <w:pPr>
              <w:pStyle w:val="null3"/>
              <w:jc w:val="both"/>
            </w:pPr>
            <w:r>
              <w:rPr>
                <w:rFonts w:ascii="仿宋_GB2312" w:hAnsi="仿宋_GB2312" w:cs="仿宋_GB2312" w:eastAsia="仿宋_GB2312"/>
                <w:sz w:val="24"/>
              </w:rPr>
              <w:t>3.2.4根据设备运行要求定期维护保养更换设备日常耗材</w:t>
            </w:r>
            <w:r>
              <w:rPr>
                <w:rFonts w:ascii="仿宋_GB2312" w:hAnsi="仿宋_GB2312" w:cs="仿宋_GB2312" w:eastAsia="仿宋_GB2312"/>
                <w:sz w:val="24"/>
                <w:color w:val="000000"/>
                <w:shd w:fill="FFFFFF" w:val="clear"/>
              </w:rPr>
              <w:t>（工业用盐除外）</w:t>
            </w:r>
            <w:r>
              <w:rPr>
                <w:rFonts w:ascii="仿宋_GB2312" w:hAnsi="仿宋_GB2312" w:cs="仿宋_GB2312" w:eastAsia="仿宋_GB2312"/>
                <w:sz w:val="24"/>
                <w:color w:val="000000"/>
                <w:shd w:fill="FFFFFF" w:val="clear"/>
              </w:rPr>
              <w:t>，</w:t>
            </w:r>
            <w:r>
              <w:rPr>
                <w:rFonts w:ascii="仿宋_GB2312" w:hAnsi="仿宋_GB2312" w:cs="仿宋_GB2312" w:eastAsia="仿宋_GB2312"/>
                <w:sz w:val="24"/>
              </w:rPr>
              <w:t>维保期间需要更换耗材，具体如下：</w:t>
            </w:r>
          </w:p>
          <w:tbl>
            <w:tblPr>
              <w:tblBorders>
                <w:top w:val="none" w:color="000000" w:sz="4"/>
                <w:left w:val="none" w:color="000000" w:sz="4"/>
                <w:bottom w:val="none" w:color="000000" w:sz="4"/>
                <w:right w:val="none" w:color="000000" w:sz="4"/>
                <w:insideH w:val="none"/>
                <w:insideV w:val="none"/>
              </w:tblBorders>
            </w:tblPr>
            <w:tblGrid>
              <w:gridCol w:w="259"/>
              <w:gridCol w:w="1010"/>
              <w:gridCol w:w="637"/>
              <w:gridCol w:w="637"/>
            </w:tblGrid>
            <w:tr>
              <w:tc>
                <w:tcPr>
                  <w:tcW w:type="dxa" w:w="2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0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耗材名称</w:t>
                  </w:r>
                </w:p>
              </w:tc>
              <w:tc>
                <w:tcPr>
                  <w:tcW w:type="dxa" w:w="6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规格型号</w:t>
                  </w:r>
                </w:p>
              </w:tc>
              <w:tc>
                <w:tcPr>
                  <w:tcW w:type="dxa" w:w="6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2"/>
                    <w:jc w:val="center"/>
                  </w:pPr>
                  <w:r>
                    <w:rPr>
                      <w:rFonts w:ascii="仿宋_GB2312" w:hAnsi="仿宋_GB2312" w:cs="仿宋_GB2312" w:eastAsia="仿宋_GB2312"/>
                      <w:sz w:val="24"/>
                      <w:b/>
                    </w:rPr>
                    <w:t>数量</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石英砂</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1～2mm</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2100Kg</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石英砂</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2～4mm</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2400Kg</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活性炭</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碘值</w:t>
                  </w:r>
                  <w:r>
                    <w:rPr>
                      <w:rFonts w:ascii="仿宋_GB2312" w:hAnsi="仿宋_GB2312" w:cs="仿宋_GB2312" w:eastAsia="仿宋_GB2312"/>
                      <w:sz w:val="24"/>
                    </w:rPr>
                    <w:t>1000</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1350Kg</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无烟煤</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0.8～1.8mm</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850Kg</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软化树脂</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001*7</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2250L</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反渗膜（杜邦</w:t>
                  </w:r>
                  <w:r>
                    <w:rPr>
                      <w:rFonts w:ascii="仿宋_GB2312" w:hAnsi="仿宋_GB2312" w:cs="仿宋_GB2312" w:eastAsia="仿宋_GB2312"/>
                      <w:sz w:val="24"/>
                    </w:rPr>
                    <w:t>/海德能等知名品牌）</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8040</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24支</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PP滤芯</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大胖</w:t>
                  </w:r>
                  <w:r>
                    <w:rPr>
                      <w:rFonts w:ascii="仿宋_GB2312" w:hAnsi="仿宋_GB2312" w:cs="仿宋_GB2312" w:eastAsia="仿宋_GB2312"/>
                      <w:sz w:val="24"/>
                    </w:rPr>
                    <w:t>40英寸5um</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240支</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PP滤芯</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40英寸1um</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20支</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PP滤芯</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40英寸5um</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40支</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折叠滤芯</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40英寸0.22um</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80支</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折叠滤芯</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20英寸0.22um</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80支</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紫外灯管</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H-30</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4支</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紫外灯管</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H-120</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2支</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紫外灯管</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H-45</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4支</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浸没紫外灯管</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X-30</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8支</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呼吸阀滤芯</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5英寸0.22um</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12支</w:t>
                  </w:r>
                </w:p>
              </w:tc>
            </w:tr>
            <w:tr>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呼吸阀滤芯</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10英寸0.22um</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jc w:val="center"/>
                  </w:pPr>
                  <w:r>
                    <w:rPr>
                      <w:rFonts w:ascii="仿宋_GB2312" w:hAnsi="仿宋_GB2312" w:cs="仿宋_GB2312" w:eastAsia="仿宋_GB2312"/>
                      <w:sz w:val="24"/>
                    </w:rPr>
                    <w:t>4支</w:t>
                  </w:r>
                </w:p>
              </w:tc>
            </w:tr>
          </w:tbl>
          <w:p>
            <w:pPr>
              <w:pStyle w:val="null3"/>
              <w:jc w:val="both"/>
            </w:pPr>
            <w:r>
              <w:rPr>
                <w:rFonts w:ascii="仿宋_GB2312" w:hAnsi="仿宋_GB2312" w:cs="仿宋_GB2312" w:eastAsia="仿宋_GB2312"/>
                <w:sz w:val="24"/>
              </w:rPr>
              <w:t>3.2.5保证耗材质量合规并提供产品说明书、合格证、涉水产品卫生许可批件等相关资质、每项耗材定期更换并记录更换日期/型号/更换人、更换频次和所有维修记录存档，确保设备稳定、安全、持续运行。</w:t>
            </w:r>
          </w:p>
          <w:p>
            <w:pPr>
              <w:pStyle w:val="null3"/>
              <w:jc w:val="both"/>
            </w:pPr>
            <w:r>
              <w:rPr>
                <w:rFonts w:ascii="仿宋_GB2312" w:hAnsi="仿宋_GB2312" w:cs="仿宋_GB2312" w:eastAsia="仿宋_GB2312"/>
                <w:sz w:val="24"/>
              </w:rPr>
              <w:t>3.2.6</w:t>
            </w:r>
            <w:r>
              <w:rPr>
                <w:rFonts w:ascii="仿宋_GB2312" w:hAnsi="仿宋_GB2312" w:cs="仿宋_GB2312" w:eastAsia="仿宋_GB2312"/>
                <w:sz w:val="24"/>
              </w:rPr>
              <w:t>针对纯水设备</w:t>
            </w:r>
            <w:r>
              <w:rPr>
                <w:rFonts w:ascii="仿宋_GB2312" w:hAnsi="仿宋_GB2312" w:cs="仿宋_GB2312" w:eastAsia="仿宋_GB2312"/>
                <w:sz w:val="24"/>
              </w:rPr>
              <w:t>的主机消毒、纯水罐消毒和纯水循环管网需要</w:t>
            </w:r>
            <w:r>
              <w:rPr>
                <w:rFonts w:ascii="仿宋_GB2312" w:hAnsi="仿宋_GB2312" w:cs="仿宋_GB2312" w:eastAsia="仿宋_GB2312"/>
                <w:sz w:val="24"/>
              </w:rPr>
              <w:t>每季度按</w:t>
            </w:r>
            <w:r>
              <w:rPr>
                <w:rFonts w:ascii="仿宋_GB2312" w:hAnsi="仿宋_GB2312" w:cs="仿宋_GB2312" w:eastAsia="仿宋_GB2312"/>
                <w:sz w:val="24"/>
              </w:rPr>
              <w:t>相关</w:t>
            </w:r>
            <w:r>
              <w:rPr>
                <w:rFonts w:ascii="仿宋_GB2312" w:hAnsi="仿宋_GB2312" w:cs="仿宋_GB2312" w:eastAsia="仿宋_GB2312"/>
                <w:sz w:val="24"/>
              </w:rPr>
              <w:t>规范</w:t>
            </w:r>
            <w:r>
              <w:rPr>
                <w:rFonts w:ascii="仿宋_GB2312" w:hAnsi="仿宋_GB2312" w:cs="仿宋_GB2312" w:eastAsia="仿宋_GB2312"/>
                <w:sz w:val="24"/>
              </w:rPr>
              <w:t>进行</w:t>
            </w:r>
            <w:r>
              <w:rPr>
                <w:rFonts w:ascii="仿宋_GB2312" w:hAnsi="仿宋_GB2312" w:cs="仿宋_GB2312" w:eastAsia="仿宋_GB2312"/>
                <w:sz w:val="24"/>
              </w:rPr>
              <w:t>高水平化学消毒，严格遵循医疗用水设备消毒技术标准，执行完整消毒流程，并做好消毒记录</w:t>
            </w:r>
            <w:r>
              <w:rPr>
                <w:rFonts w:ascii="仿宋_GB2312" w:hAnsi="仿宋_GB2312" w:cs="仿宋_GB2312" w:eastAsia="仿宋_GB2312"/>
                <w:sz w:val="24"/>
              </w:rPr>
              <w:t>。</w:t>
            </w:r>
            <w:r>
              <w:rPr>
                <w:rFonts w:ascii="仿宋_GB2312" w:hAnsi="仿宋_GB2312" w:cs="仿宋_GB2312" w:eastAsia="仿宋_GB2312"/>
                <w:sz w:val="24"/>
              </w:rPr>
              <w:t>内容包括记录消毒日期与时间、消毒液名称、消毒液</w:t>
            </w:r>
            <w:r>
              <w:rPr>
                <w:rFonts w:ascii="仿宋_GB2312" w:hAnsi="仿宋_GB2312" w:cs="仿宋_GB2312" w:eastAsia="仿宋_GB2312"/>
                <w:sz w:val="24"/>
              </w:rPr>
              <w:t>使用</w:t>
            </w:r>
            <w:r>
              <w:rPr>
                <w:rFonts w:ascii="仿宋_GB2312" w:hAnsi="仿宋_GB2312" w:cs="仿宋_GB2312" w:eastAsia="仿宋_GB2312"/>
                <w:sz w:val="24"/>
              </w:rPr>
              <w:t>量、纯水罐中消毒液的有效浓度、各用水端口消毒液有效浓度、浸泡时间、冲洗时长和各用水端口消毒液残留量等</w:t>
            </w:r>
            <w:r>
              <w:rPr>
                <w:rFonts w:ascii="仿宋_GB2312" w:hAnsi="仿宋_GB2312" w:cs="仿宋_GB2312" w:eastAsia="仿宋_GB2312"/>
                <w:sz w:val="24"/>
              </w:rPr>
              <w:t>相关记录真实、规范、可追溯，</w:t>
            </w:r>
            <w:r>
              <w:rPr>
                <w:rFonts w:ascii="仿宋_GB2312" w:hAnsi="仿宋_GB2312" w:cs="仿宋_GB2312" w:eastAsia="仿宋_GB2312"/>
                <w:sz w:val="24"/>
              </w:rPr>
              <w:t>要有消毒操作人及复核人签名，</w:t>
            </w:r>
            <w:r>
              <w:rPr>
                <w:rFonts w:ascii="仿宋_GB2312" w:hAnsi="仿宋_GB2312" w:cs="仿宋_GB2312" w:eastAsia="仿宋_GB2312"/>
                <w:sz w:val="24"/>
              </w:rPr>
              <w:t>满足医院院感防控</w:t>
            </w:r>
            <w:r>
              <w:rPr>
                <w:rFonts w:ascii="仿宋_GB2312" w:hAnsi="仿宋_GB2312" w:cs="仿宋_GB2312" w:eastAsia="仿宋_GB2312"/>
                <w:sz w:val="24"/>
              </w:rPr>
              <w:t>和</w:t>
            </w:r>
            <w:r>
              <w:rPr>
                <w:rFonts w:ascii="仿宋_GB2312" w:hAnsi="仿宋_GB2312" w:cs="仿宋_GB2312" w:eastAsia="仿宋_GB2312"/>
                <w:sz w:val="24"/>
              </w:rPr>
              <w:t>设备安全运行要求</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3.2.7设备故障维修响应时间：常规应急维修，接到医院报修通知后，4小时内到达现场，并安排专人驻场维修，12小时内排除故障、恢复设备正常运行；针对重大设备故障、突发事件引发的设备故障，需在48小时内解决故障，确保设备恢复正常运行。</w:t>
            </w:r>
          </w:p>
          <w:p>
            <w:pPr>
              <w:pStyle w:val="null3"/>
              <w:jc w:val="both"/>
            </w:pPr>
            <w:r>
              <w:rPr>
                <w:rFonts w:ascii="仿宋_GB2312" w:hAnsi="仿宋_GB2312" w:cs="仿宋_GB2312" w:eastAsia="仿宋_GB2312"/>
                <w:sz w:val="24"/>
              </w:rPr>
              <w:t>3.2.8每半年提供工作报告，</w:t>
            </w:r>
            <w:r>
              <w:rPr>
                <w:rFonts w:ascii="仿宋_GB2312" w:hAnsi="仿宋_GB2312" w:cs="仿宋_GB2312" w:eastAsia="仿宋_GB2312"/>
                <w:sz w:val="24"/>
              </w:rPr>
              <w:t>根据月度保养及检测情况汇总出具专业、完整、可追溯设备维保工作报告</w:t>
            </w:r>
            <w:r>
              <w:rPr>
                <w:rFonts w:ascii="仿宋_GB2312" w:hAnsi="仿宋_GB2312" w:cs="仿宋_GB2312" w:eastAsia="仿宋_GB2312"/>
                <w:sz w:val="24"/>
              </w:rPr>
              <w:t>，</w:t>
            </w:r>
            <w:r>
              <w:rPr>
                <w:rFonts w:ascii="仿宋_GB2312" w:hAnsi="仿宋_GB2312" w:cs="仿宋_GB2312" w:eastAsia="仿宋_GB2312"/>
                <w:sz w:val="24"/>
              </w:rPr>
              <w:t>涵盖</w:t>
            </w:r>
            <w:r>
              <w:rPr>
                <w:rFonts w:ascii="仿宋_GB2312" w:hAnsi="仿宋_GB2312" w:cs="仿宋_GB2312" w:eastAsia="仿宋_GB2312"/>
                <w:sz w:val="24"/>
              </w:rPr>
              <w:t>半年内维修、保养服务工作的各个方面数据，</w:t>
            </w:r>
            <w:r>
              <w:rPr>
                <w:rFonts w:ascii="仿宋_GB2312" w:hAnsi="仿宋_GB2312" w:cs="仿宋_GB2312" w:eastAsia="仿宋_GB2312"/>
                <w:sz w:val="24"/>
              </w:rPr>
              <w:t>全面反映设备运行状况、检测结果、故障处理、隐患分析及改进建议</w:t>
            </w:r>
            <w:r>
              <w:rPr>
                <w:rFonts w:ascii="仿宋_GB2312" w:hAnsi="仿宋_GB2312" w:cs="仿宋_GB2312" w:eastAsia="仿宋_GB2312"/>
                <w:sz w:val="24"/>
              </w:rPr>
              <w:t>。</w:t>
            </w:r>
            <w:r>
              <w:rPr>
                <w:rFonts w:ascii="仿宋_GB2312" w:hAnsi="仿宋_GB2312" w:cs="仿宋_GB2312" w:eastAsia="仿宋_GB2312"/>
                <w:sz w:val="24"/>
              </w:rPr>
              <w:t>包括且不仅限于维修工作量，</w:t>
            </w:r>
            <w:r>
              <w:rPr>
                <w:rFonts w:ascii="仿宋_GB2312" w:hAnsi="仿宋_GB2312" w:cs="仿宋_GB2312" w:eastAsia="仿宋_GB2312"/>
                <w:sz w:val="24"/>
              </w:rPr>
              <w:t>月度保养及检测情况</w:t>
            </w:r>
            <w:r>
              <w:rPr>
                <w:rFonts w:ascii="仿宋_GB2312" w:hAnsi="仿宋_GB2312" w:cs="仿宋_GB2312" w:eastAsia="仿宋_GB2312"/>
                <w:sz w:val="24"/>
              </w:rPr>
              <w:t>，每季度化学消毒情况，耗材更换情况，重大事件等记录汇总及分析。</w:t>
            </w:r>
          </w:p>
          <w:p>
            <w:pPr>
              <w:pStyle w:val="null3"/>
              <w:jc w:val="both"/>
            </w:pPr>
            <w:r>
              <w:rPr>
                <w:rFonts w:ascii="仿宋_GB2312" w:hAnsi="仿宋_GB2312" w:cs="仿宋_GB2312" w:eastAsia="仿宋_GB2312"/>
                <w:sz w:val="24"/>
              </w:rPr>
              <w:t>3.2.9积极配合、全力协助医院完成各项应急预案的制定、演练、培训及应急处置工作，确保满足医院应急保障、设备应急处置及安全运行相关要求。</w:t>
            </w:r>
          </w:p>
          <w:p>
            <w:pPr>
              <w:pStyle w:val="null3"/>
              <w:jc w:val="both"/>
            </w:pPr>
            <w:r>
              <w:rPr>
                <w:rFonts w:ascii="仿宋_GB2312" w:hAnsi="仿宋_GB2312" w:cs="仿宋_GB2312" w:eastAsia="仿宋_GB2312"/>
                <w:sz w:val="24"/>
              </w:rPr>
              <w:t>3.2.10</w:t>
            </w:r>
            <w:r>
              <w:rPr>
                <w:rFonts w:ascii="仿宋_GB2312" w:hAnsi="仿宋_GB2312" w:cs="仿宋_GB2312" w:eastAsia="仿宋_GB2312"/>
                <w:sz w:val="24"/>
              </w:rPr>
              <w:t>需有独立的备件仓库，须提供加盖公章的备件、备用机清单。</w:t>
            </w:r>
          </w:p>
          <w:p>
            <w:pPr>
              <w:pStyle w:val="null3"/>
              <w:jc w:val="both"/>
            </w:pPr>
            <w:r>
              <w:rPr>
                <w:rFonts w:ascii="仿宋_GB2312" w:hAnsi="仿宋_GB2312" w:cs="仿宋_GB2312" w:eastAsia="仿宋_GB2312"/>
                <w:sz w:val="24"/>
                <w:b/>
              </w:rPr>
              <w:t>四、服务要求：</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维保服务商需要具备</w:t>
            </w:r>
            <w:r>
              <w:rPr>
                <w:rFonts w:ascii="仿宋_GB2312" w:hAnsi="仿宋_GB2312" w:cs="仿宋_GB2312" w:eastAsia="仿宋_GB2312"/>
                <w:sz w:val="24"/>
              </w:rPr>
              <w:t>医疗纯水设备运维</w:t>
            </w:r>
            <w:r>
              <w:rPr>
                <w:rFonts w:ascii="仿宋_GB2312" w:hAnsi="仿宋_GB2312" w:cs="仿宋_GB2312" w:eastAsia="仿宋_GB2312"/>
                <w:sz w:val="24"/>
              </w:rPr>
              <w:t>经验，</w:t>
            </w:r>
            <w:r>
              <w:rPr>
                <w:rFonts w:ascii="仿宋_GB2312" w:hAnsi="仿宋_GB2312" w:cs="仿宋_GB2312" w:eastAsia="仿宋_GB2312"/>
                <w:sz w:val="24"/>
              </w:rPr>
              <w:t>配备专属服务团队，团队成员需具备医疗纯水设备</w:t>
            </w:r>
            <w:r>
              <w:rPr>
                <w:rFonts w:ascii="仿宋_GB2312" w:hAnsi="仿宋_GB2312" w:cs="仿宋_GB2312" w:eastAsia="仿宋_GB2312"/>
                <w:sz w:val="24"/>
              </w:rPr>
              <w:t>维修培训证或相关资质证明；</w:t>
            </w:r>
            <w:r>
              <w:rPr>
                <w:rFonts w:ascii="仿宋_GB2312" w:hAnsi="仿宋_GB2312" w:cs="仿宋_GB2312" w:eastAsia="仿宋_GB2312"/>
                <w:sz w:val="24"/>
              </w:rPr>
              <w:t>核心运维人员从业年限不低于</w:t>
            </w:r>
            <w:r>
              <w:rPr>
                <w:rFonts w:ascii="仿宋_GB2312" w:hAnsi="仿宋_GB2312" w:cs="仿宋_GB2312" w:eastAsia="仿宋_GB2312"/>
                <w:sz w:val="24"/>
              </w:rPr>
              <w:t>3年，熟悉医院纯水中心设备工作原理、操作流程及医院院感防控要求</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专业设备要求：配备满足医院纯水中心运维所需的全套专业工具、检测设备及应急备件，包括但不限于水质检测仪器/检测试剂（电导率、硬度、总氯、消毒液浓度试纸等）、设备拆解维修工具、高水平化学消毒液、应急供水备用装置等；所有检测设备需经法定计量机构校验合格，在有效期内使用，确保检测数据准确可靠；应急备件储备需覆盖纯水设备核心部件（如滤芯、泵体、阀门等），储备量满足应急更换需求，保障设备快速恢复运行；所有专业设备及备件需符合国家医疗设备相关标准及医院院感防控要求</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服务标准要求：严格遵循国家医疗用水相关标准、医院院感防控规定及纯水设备运维规范，提供全流程标准化服务。严格执行医院保密规定，对纯水中心设备运行数据、水质检测结果等相关信息予以保密。一旦发现微生物检测结果异常/超标等，应立即上报设备科和控感办，停止供水，启动全面消毒流程，直至复检合格后方可恢复供水；抢修纯水破损管路时严格无菌操作，更换纯水新管修复必须及时对相关管路进行强力冲洗和消毒。</w:t>
            </w:r>
          </w:p>
          <w:p>
            <w:pPr>
              <w:pStyle w:val="null3"/>
              <w:jc w:val="both"/>
            </w:pPr>
            <w:r>
              <w:rPr>
                <w:rFonts w:ascii="仿宋_GB2312" w:hAnsi="仿宋_GB2312" w:cs="仿宋_GB2312" w:eastAsia="仿宋_GB2312"/>
                <w:sz w:val="24"/>
              </w:rPr>
              <w:t>4.废弃物处理由维保服务商承担，遵纪守法不得污染环境。</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西安市儿童医院经开院区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1、验收：乙方完成服务内容后，向甲方提出验收申请，甲方接到乙方验收申请后组织验收（必要时可聘请相应专家或委托相应部门验收），验收合格后，出具使用验收合格证明。 2、最终验收：最终验收结果作为付款依据，乙方填写验收单，并向甲方提交实施过程中的所有资料，以便甲方日后管理和维护。 3、质保期满后：由乙方出具质保期运行质量报告，若存在质量问题，应按相应规定协商处理。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合同签订后，甲方支付预付款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2年服务期结束后，无技术、质量问题，根据考核结果支付剩余款项</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法人或者其他组织、自然人的营业执照等证明文件</w:t>
            </w:r>
          </w:p>
        </w:tc>
        <w:tc>
          <w:tcPr>
            <w:tcW w:type="dxa" w:w="3322"/>
          </w:tcPr>
          <w:p>
            <w:pPr>
              <w:pStyle w:val="null3"/>
            </w:pPr>
            <w:r>
              <w:rPr>
                <w:rFonts w:ascii="仿宋_GB2312" w:hAnsi="仿宋_GB2312" w:cs="仿宋_GB2312" w:eastAsia="仿宋_GB2312"/>
              </w:rPr>
              <w:t>（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 业执照”复印件；（6）供应商是自然人的，应提供其有效的自然人身份证明复印件。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（1）提供递交响应文件截止之日前两年内任意一个年度经审计的财务报告，应满足以下要求：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 （2）提供资信证明原件或复印件，应满足以下要求： ① 资信证明须为递交响应文件截止时间前三个月内由供应商基本账户开户银行出具。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 （3）供应商需在项目电子化交易系统中按要求上传相应证明文件并进行电子签章。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依法缴纳税收的相关材料</w:t>
            </w:r>
          </w:p>
        </w:tc>
        <w:tc>
          <w:tcPr>
            <w:tcW w:type="dxa" w:w="3322"/>
          </w:tcPr>
          <w:p>
            <w:pPr>
              <w:pStyle w:val="null3"/>
            </w:pPr>
            <w:r>
              <w:rPr>
                <w:rFonts w:ascii="仿宋_GB2312" w:hAnsi="仿宋_GB2312" w:cs="仿宋_GB2312" w:eastAsia="仿宋_GB2312"/>
              </w:rPr>
              <w:t>（1）供应商应提供递交响应文件截止时间前近六个月中任何一个月缴纳增值税或企业所得税的凭证，时间以税款所属时期为准（银行出具的缴税凭证或税务机关出具的证明的复印件，并加盖本单位公章）。 （2）供应商采用汇算清缴方式缴纳企业所得税的，应提供递交响应文件截止时间前近六个月中任何一个月缴纳增值税或最近一期缴纳企业所得税的凭证，时间以税款所属时期为准（银行出具的缴税凭证或税务机关出具的证明的复印件，并加盖本单位公章）。 （3）缴纳凭证复印件须清晰可辨，并能显示出供应商名称和所缴纳税种种类，单位代扣代缴的个人所得税不能作为单位纳税的凭证。 （4）依法免税或无须缴纳税收的供应商，应提供相应文件证明。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依法缴纳社会保障资金的相关材料</w:t>
            </w:r>
          </w:p>
        </w:tc>
        <w:tc>
          <w:tcPr>
            <w:tcW w:type="dxa" w:w="3322"/>
          </w:tcPr>
          <w:p>
            <w:pPr>
              <w:pStyle w:val="null3"/>
            </w:pPr>
            <w:r>
              <w:rPr>
                <w:rFonts w:ascii="仿宋_GB2312" w:hAnsi="仿宋_GB2312" w:cs="仿宋_GB2312" w:eastAsia="仿宋_GB2312"/>
              </w:rPr>
              <w:t>（1）供应商应提供递交响应文件截止时间前近六个月中至少一个月的缴纳社会保险的凭据（专用收据或社会保险缴纳清单），并加盖本单位公章。 （2）凭证复印件须清晰可辨，并能显示出供应商名称和所缴纳的社保的种类。 （3）依法不需要缴纳社会保障资金的，应提供相应证明文件，并加盖本单位公章。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具备履行合同所必需的设备和专业技术能力的证明材料</w:t>
            </w:r>
          </w:p>
        </w:tc>
        <w:tc>
          <w:tcPr>
            <w:tcW w:type="dxa" w:w="3322"/>
          </w:tcPr>
          <w:p>
            <w:pPr>
              <w:pStyle w:val="null3"/>
            </w:pPr>
            <w:r>
              <w:rPr>
                <w:rFonts w:ascii="仿宋_GB2312" w:hAnsi="仿宋_GB2312" w:cs="仿宋_GB2312" w:eastAsia="仿宋_GB2312"/>
              </w:rPr>
              <w:t>按照资格证明文件附件6-5格式作出相关承诺。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按照资格证明文件附件6-6格式作出相关承诺。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递交投标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其中法定代表人直接参加磋商的，须出具法人身份证，并与营业执照上信息一致。法定代表人授权代表参加磋商的，须出具法定代表人授权书及授权代表身份证、授权代表本单位证明（养老保险缴纳证明）</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人身份证，并与营业执照上信息一致。法定代表人授权代表参加磋商的，须出具法定代表人授权书及授权代表身份证、授权代表本单位证明（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供应商提供《中小企业声明函》、《残疾人福利性单位声明函》或由省级以上监狱管理局、戒毒管理局（含新疆生产建设兵团）出具的属于监狱企业的证明文件。格式及内容符合采购文件要求。</w:t>
            </w:r>
          </w:p>
        </w:tc>
        <w:tc>
          <w:tcPr>
            <w:tcW w:type="dxa" w:w="1661"/>
          </w:tcPr>
          <w:p>
            <w:pPr>
              <w:pStyle w:val="null3"/>
            </w:pPr>
            <w:r>
              <w:rPr>
                <w:rFonts w:ascii="仿宋_GB2312" w:hAnsi="仿宋_GB2312" w:cs="仿宋_GB2312" w:eastAsia="仿宋_GB2312"/>
              </w:rPr>
              <w:t>中小企业声明函 残疾人福利性单位声明函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已向采购代理机构获取采购文件</w:t>
            </w:r>
          </w:p>
        </w:tc>
        <w:tc>
          <w:tcPr>
            <w:tcW w:type="dxa" w:w="3322"/>
          </w:tcPr>
          <w:p>
            <w:pPr>
              <w:pStyle w:val="null3"/>
            </w:pPr>
            <w:r>
              <w:rPr>
                <w:rFonts w:ascii="仿宋_GB2312" w:hAnsi="仿宋_GB2312" w:cs="仿宋_GB2312" w:eastAsia="仿宋_GB2312"/>
              </w:rPr>
              <w:t>需向采购代理机构获取采购文件，未向采购代理机构获取采购文件的供应商均无资格参加磋商。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3.评审中出现下列情形之一的，磋商小组会应当启动异常低价投标审查程序：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3）投标报价低于采购项目最高限价45%的，即投标报价&lt;采购项目最高限价×45%； （4）磋商小组基于专业判断，认为供应商报价过低，有可能影响产品质量或者不能诚信履约的其他情形。 相关供应商在评审现场合理的时间内对投标价格作出解释，提供项目具体成本测算等与报价合理性相关的书面说明及必要的证明材料，包括但不限于原材料成本、人工成本、制造费用等。</w:t>
            </w:r>
          </w:p>
        </w:tc>
        <w:tc>
          <w:tcPr>
            <w:tcW w:type="dxa" w:w="1661"/>
          </w:tcPr>
          <w:p>
            <w:pPr>
              <w:pStyle w:val="null3"/>
            </w:pPr>
            <w:r>
              <w:rPr>
                <w:rFonts w:ascii="仿宋_GB2312" w:hAnsi="仿宋_GB2312" w:cs="仿宋_GB2312" w:eastAsia="仿宋_GB2312"/>
              </w:rPr>
              <w:t>（首次）响应分项报价表.docx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响应承诺书.docx 业绩一览表.docx （首次）响应分项报价表.docx 中小企业声明函 报价表 资格证明文件.docx 响应方案.docx 响应文件封面 技术偏离表.docx 残疾人福利性单位声明函 标的清单 响应函 商务偏离表.docx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响应文件封面 （首次）响应分项报价表.docx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响应内容满足采购文件中商务要求或技术实质性要求、不存在漏项或数量与要求不符</w:t>
            </w:r>
          </w:p>
        </w:tc>
        <w:tc>
          <w:tcPr>
            <w:tcW w:type="dxa" w:w="1661"/>
          </w:tcPr>
          <w:p>
            <w:pPr>
              <w:pStyle w:val="null3"/>
            </w:pPr>
            <w:r>
              <w:rPr>
                <w:rFonts w:ascii="仿宋_GB2312" w:hAnsi="仿宋_GB2312" w:cs="仿宋_GB2312" w:eastAsia="仿宋_GB2312"/>
              </w:rPr>
              <w:t>响应文件封面 响应承诺书.docx 技术偏离表.docx 商务偏离表.docx 响应方案.docx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遵循公平竞争的原则，没有弄虚作假、恶意串通或妨碍其他投标人的竞争行为，损害采购人或者其他投标人的合法权益。（弄虚作假、串通投标的情形见附注）</w:t>
            </w:r>
          </w:p>
        </w:tc>
        <w:tc>
          <w:tcPr>
            <w:tcW w:type="dxa" w:w="1661"/>
          </w:tcPr>
          <w:p>
            <w:pPr>
              <w:pStyle w:val="null3"/>
            </w:pPr>
            <w:r>
              <w:rPr>
                <w:rFonts w:ascii="仿宋_GB2312" w:hAnsi="仿宋_GB2312" w:cs="仿宋_GB2312" w:eastAsia="仿宋_GB2312"/>
              </w:rPr>
              <w:t>响应承诺书.docx 业绩一览表.docx （首次）响应分项报价表.docx 中小企业声明函 报价表 资格证明文件.docx 响应方案.docx 响应文件封面 技术偏离表.docx 残疾人福利性单位声明函 标的清单 响应函 商务偏离表.docx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响应承诺书.docx 业绩一览表.docx （首次）响应分项报价表.docx 中小企业声明函 报价表 资格证明文件.docx 响应方案.docx 响应文件封面 技术偏离表.docx 残疾人福利性单位声明函 标的清单 响应函 商务偏离表.docx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服务内容及要求</w:t>
            </w:r>
          </w:p>
        </w:tc>
        <w:tc>
          <w:tcPr>
            <w:tcW w:type="dxa" w:w="2492"/>
          </w:tcPr>
          <w:p>
            <w:pPr>
              <w:pStyle w:val="null3"/>
            </w:pPr>
            <w:r>
              <w:rPr>
                <w:rFonts w:ascii="仿宋_GB2312" w:hAnsi="仿宋_GB2312" w:cs="仿宋_GB2312" w:eastAsia="仿宋_GB2312"/>
              </w:rPr>
              <w:t>服务内容及要求完全响应或优于得15分。服务内容及要求一项不满足扣1分，扣完为止。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商务偏离表.docx</w:t>
            </w:r>
          </w:p>
        </w:tc>
      </w:tr>
      <w:tr>
        <w:tc>
          <w:tcPr>
            <w:tcW w:type="dxa" w:w="831"/>
            <w:vMerge/>
          </w:tcPr>
          <w:p/>
        </w:tc>
        <w:tc>
          <w:tcPr>
            <w:tcW w:type="dxa" w:w="1661"/>
          </w:tcPr>
          <w:p>
            <w:pPr>
              <w:pStyle w:val="null3"/>
            </w:pPr>
            <w:r>
              <w:rPr>
                <w:rFonts w:ascii="仿宋_GB2312" w:hAnsi="仿宋_GB2312" w:cs="仿宋_GB2312" w:eastAsia="仿宋_GB2312"/>
              </w:rPr>
              <w:t>运营服务方案1</w:t>
            </w:r>
          </w:p>
        </w:tc>
        <w:tc>
          <w:tcPr>
            <w:tcW w:type="dxa" w:w="2492"/>
          </w:tcPr>
          <w:p>
            <w:pPr>
              <w:pStyle w:val="null3"/>
            </w:pPr>
            <w:r>
              <w:rPr>
                <w:rFonts w:ascii="仿宋_GB2312" w:hAnsi="仿宋_GB2312" w:cs="仿宋_GB2312" w:eastAsia="仿宋_GB2312"/>
              </w:rPr>
              <w:t>根据供应商针对本项目提供的总体运营服务方案进行评审： 对纯水机房运营管理进行全面规划，明确运营目标，对本项目针对性强的得5分； 总体运营服务方案基本完整，内容针对性不强的得3分； 总体运营服务方案有欠缺，与项目需求有偏差的得1分；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运营服务方案2</w:t>
            </w:r>
          </w:p>
        </w:tc>
        <w:tc>
          <w:tcPr>
            <w:tcW w:type="dxa" w:w="2492"/>
          </w:tcPr>
          <w:p>
            <w:pPr>
              <w:pStyle w:val="null3"/>
            </w:pPr>
            <w:r>
              <w:rPr>
                <w:rFonts w:ascii="仿宋_GB2312" w:hAnsi="仿宋_GB2312" w:cs="仿宋_GB2312" w:eastAsia="仿宋_GB2312"/>
              </w:rPr>
              <w:t>根据供应商针对本项目提供的运营管理方案进行评审，包括：运维管理制度、运营记录、水质监测记录等。 运维管理制度内容详细，建立设备运行记录、水质监测记录等，确保运营数据完整、准确的得5分； 运维管理方案基本完整，内容简单得的3分； 运维管理方案有欠缺，影响项目实施的得1分；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运营服务方案3</w:t>
            </w:r>
          </w:p>
        </w:tc>
        <w:tc>
          <w:tcPr>
            <w:tcW w:type="dxa" w:w="2492"/>
          </w:tcPr>
          <w:p>
            <w:pPr>
              <w:pStyle w:val="null3"/>
            </w:pPr>
            <w:r>
              <w:rPr>
                <w:rFonts w:ascii="仿宋_GB2312" w:hAnsi="仿宋_GB2312" w:cs="仿宋_GB2312" w:eastAsia="仿宋_GB2312"/>
              </w:rPr>
              <w:t>根据供应商针对本项目提供的运营计划及制度进行评审，包括但不限于：操作规范、风险防范、水质达标。 运营计划及制度完整，内容详细，有严格的操作规范，风险防范严格的得5分； 托管运营计划及制度完整，内容简单得3分； 运营管理服务方案有欠缺，影响项目实施的得1分；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设备设施维修保养计划1</w:t>
            </w:r>
          </w:p>
        </w:tc>
        <w:tc>
          <w:tcPr>
            <w:tcW w:type="dxa" w:w="2492"/>
          </w:tcPr>
          <w:p>
            <w:pPr>
              <w:pStyle w:val="null3"/>
            </w:pPr>
            <w:r>
              <w:rPr>
                <w:rFonts w:ascii="仿宋_GB2312" w:hAnsi="仿宋_GB2312" w:cs="仿宋_GB2312" w:eastAsia="仿宋_GB2312"/>
              </w:rPr>
              <w:t>根据供应商针对本项目提供的设备设施维修计划方案进行评审，包括：维修计划与标准、维护记录与档案管理、维修响应机制。 设备设施维修计划方案详细，具有设备设施维护记录与档案管理，维护操作规范，对故障能够及时响应的得5分； 设备设施维修保养计划完整，内容简单，对故障基本能够及时响应的得3分； 设备保养及维修方案有欠缺，不满足项目需求的得1分；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设备设施维修保养计划2</w:t>
            </w:r>
          </w:p>
        </w:tc>
        <w:tc>
          <w:tcPr>
            <w:tcW w:type="dxa" w:w="2492"/>
          </w:tcPr>
          <w:p>
            <w:pPr>
              <w:pStyle w:val="null3"/>
            </w:pPr>
            <w:r>
              <w:rPr>
                <w:rFonts w:ascii="仿宋_GB2312" w:hAnsi="仿宋_GB2312" w:cs="仿宋_GB2312" w:eastAsia="仿宋_GB2312"/>
              </w:rPr>
              <w:t>根据供应商针对本项目提供的设备设备设施保养方案进行评审，包括：日常巡检、定期保养、保养记录与档案管理。 对设备设施能够做到日常巡检，定期保养并建立详细的档案管理的得5分； 设备设备设施保养方案完整，内容简单，对故障基本能够及时响应的得3分； 设备设备设施保养方案有欠缺，不满足项目需求的得1分；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根据供应商针对本项目提供的拟投入设备清单进行评审，设备包括但不限于维修保养设备、安全防护设备、应急设备。 拟投入设备齐全，满足项目需求的得5分； 拟投入设备较齐全，基本满足项目需求的得3分； 拟投入设备欠缺，不满足项目需求的得1分； 未提供证明材料不得分。 注：供应商需提供拟投入设备的购置合同、购买发票或租赁协议的相关证明材料。</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组织机构建设方案1</w:t>
            </w:r>
          </w:p>
        </w:tc>
        <w:tc>
          <w:tcPr>
            <w:tcW w:type="dxa" w:w="2492"/>
          </w:tcPr>
          <w:p>
            <w:pPr>
              <w:pStyle w:val="null3"/>
            </w:pPr>
            <w:r>
              <w:rPr>
                <w:rFonts w:ascii="仿宋_GB2312" w:hAnsi="仿宋_GB2312" w:cs="仿宋_GB2312" w:eastAsia="仿宋_GB2312"/>
              </w:rPr>
              <w:t>根据供应商针对本项目提供的健全的组织机构方案进行评审，包括：建设目标、信息沟通机制、人员保障。 建设目标明确，信息沟通机制完善，注重应急队伍建设的得5分； 建设目标模糊，信息沟通机制基本完善，应急队伍建设简单的得3分； 组织机构建设方案内容有欠缺，不满足项目需求的得1分；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组织机构建设方案2</w:t>
            </w:r>
          </w:p>
        </w:tc>
        <w:tc>
          <w:tcPr>
            <w:tcW w:type="dxa" w:w="2492"/>
          </w:tcPr>
          <w:p>
            <w:pPr>
              <w:pStyle w:val="null3"/>
            </w:pPr>
            <w:r>
              <w:rPr>
                <w:rFonts w:ascii="仿宋_GB2312" w:hAnsi="仿宋_GB2312" w:cs="仿宋_GB2312" w:eastAsia="仿宋_GB2312"/>
              </w:rPr>
              <w:t>根据供应商针对本项目提供的管理制度、岗位职责制度、岗位工作标准进行评审： 管理制度完善，岗位职责制度清晰，岗位工作标准合理的得5分； 管理制度简单，岗位职责制度模糊，岗位工作标准基本合理的得3分； 组织机构建设方案内容有欠缺，不满足项目需求的得1分；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根据供应商针对本项目提供设备故障、停电事故的应急方案进行评审： 对停电事故造成的设备故障能够及时响应并解决的得5分； 应急方案完整，内容简单，基本满足项目需求的得3分； 应急方案有欠缺，不满足项目需求的得1分；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根据供应商针对本项目提供的安全保证措施进行评审，包括但不限于：安全上岗培训、定期安全教育和培训、纯水机房设备及时维修。 人员上岗前能够进行安全培训，并进行定期的安全教育及培训，对纯水机房设备及时进行维修并配备专用工具的得5分； 安全保证措施完整，内容简单，基本满足项目要求的得3分； 安全保证措施有欠缺的，影响项目实施的得1分；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根据供应商针对本项目提供的有利于本项目工作顺利进行的合理化建议进行评审。合理化建议内容全面完整，具备可行性，保障项目顺利进行的得5分； 合理化建议完整，内容简单，基本能够保障项目顺利进行的得3分； 合理化建议内容有欠缺的得1分；未提供不得分。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服务团队配置（项目负责人）</w:t>
            </w:r>
          </w:p>
        </w:tc>
        <w:tc>
          <w:tcPr>
            <w:tcW w:type="dxa" w:w="2492"/>
          </w:tcPr>
          <w:p>
            <w:pPr>
              <w:pStyle w:val="null3"/>
            </w:pPr>
            <w:r>
              <w:rPr>
                <w:rFonts w:ascii="仿宋_GB2312" w:hAnsi="仿宋_GB2312" w:cs="仿宋_GB2312" w:eastAsia="仿宋_GB2312"/>
              </w:rPr>
              <w:t>项目负责人具有机电或水处理相关专业中级及以上职称得4分；提供项目负责人但不具有机电或水处理相关专业中级及以上职称得2分。未提供项目负责人不得分。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服务团队配置（技术人员配置）</w:t>
            </w:r>
          </w:p>
        </w:tc>
        <w:tc>
          <w:tcPr>
            <w:tcW w:type="dxa" w:w="2492"/>
          </w:tcPr>
          <w:p>
            <w:pPr>
              <w:pStyle w:val="null3"/>
            </w:pPr>
            <w:r>
              <w:rPr>
                <w:rFonts w:ascii="仿宋_GB2312" w:hAnsi="仿宋_GB2312" w:cs="仿宋_GB2312" w:eastAsia="仿宋_GB2312"/>
              </w:rPr>
              <w:t>服务团队中每配备1名具有电工证、焊工证或水处理职业资格证书的人员得2分，满分6分。注：须提供人员证书复印件及近3个月内任意1个月的社保缴纳证明，否则不予计分。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供应商提供2023年1月1日以来类似业绩证明（以合同签订时间为准）,每提供1个得2分，最多提供5份，最高得10分。 评审依据：供应商提供合同复印件并加盖单位公章。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磋商报价得分=（磋商基准价/最后磋商报价）×10 （小微企业、监狱企业或残疾人福利性单位用投标报价扣除后的价格参加评审。专门面向中小企业采购的项目不进行价格扣除。）</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（首次）响应分项报价表.docx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详见附件：（首次）响应分项报价表.docx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详见附件：响应承诺书.docx</w:t>
      </w:r>
    </w:p>
    <w:p>
      <w:pPr>
        <w:pStyle w:val="null3"/>
        <w:ind w:firstLine="960"/>
      </w:pPr>
      <w:r>
        <w:rPr>
          <w:rFonts w:ascii="仿宋_GB2312" w:hAnsi="仿宋_GB2312" w:cs="仿宋_GB2312" w:eastAsia="仿宋_GB2312"/>
        </w:rPr>
        <w:t>详见附件：响应方案.docx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