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8425F">
      <w:pPr>
        <w:pStyle w:val="5"/>
        <w:spacing w:line="360" w:lineRule="auto"/>
        <w:rPr>
          <w:rStyle w:val="9"/>
          <w:rFonts w:hint="default" w:ascii="Times New Roman" w:hAnsi="Times New Roman" w:eastAsia="宋体" w:cs="Times New Roman"/>
          <w:sz w:val="36"/>
          <w:szCs w:val="36"/>
        </w:rPr>
      </w:pPr>
      <w:bookmarkStart w:id="0" w:name="_Toc68590979"/>
      <w:r>
        <w:rPr>
          <w:rStyle w:val="9"/>
          <w:rFonts w:hint="default" w:ascii="Times New Roman" w:hAnsi="Times New Roman" w:eastAsia="宋体" w:cs="Times New Roman"/>
          <w:sz w:val="36"/>
          <w:szCs w:val="36"/>
        </w:rPr>
        <w:t xml:space="preserve">第四章  </w:t>
      </w:r>
      <w:bookmarkEnd w:id="0"/>
      <w:r>
        <w:rPr>
          <w:rStyle w:val="9"/>
          <w:rFonts w:hint="default" w:ascii="Times New Roman" w:hAnsi="Times New Roman" w:eastAsia="宋体" w:cs="Times New Roman"/>
          <w:sz w:val="36"/>
          <w:szCs w:val="36"/>
        </w:rPr>
        <w:t>拟签订的合同文本</w:t>
      </w:r>
    </w:p>
    <w:p w14:paraId="096C1E58"/>
    <w:p w14:paraId="561EAAD0">
      <w:pPr>
        <w:spacing w:line="360" w:lineRule="auto"/>
        <w:rPr>
          <w:sz w:val="30"/>
          <w:szCs w:val="30"/>
        </w:rPr>
      </w:pPr>
      <w:r>
        <w:rPr>
          <w:rFonts w:hint="eastAsia"/>
          <w:sz w:val="30"/>
          <w:szCs w:val="30"/>
        </w:rPr>
        <w:t xml:space="preserve">                                          </w:t>
      </w:r>
      <w:r>
        <w:rPr>
          <w:sz w:val="30"/>
          <w:szCs w:val="30"/>
        </w:rPr>
        <w:drawing>
          <wp:inline distT="0" distB="0" distL="0" distR="0">
            <wp:extent cx="1695450" cy="552450"/>
            <wp:effectExtent l="0" t="0" r="0" b="0"/>
            <wp:docPr id="6" name="图片 6" descr="7c0acadf2cd5431015742fa75f1aa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7c0acadf2cd5431015742fa75f1aa1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95450" cy="552450"/>
                    </a:xfrm>
                    <a:prstGeom prst="rect">
                      <a:avLst/>
                    </a:prstGeom>
                    <a:noFill/>
                    <a:ln>
                      <a:noFill/>
                    </a:ln>
                  </pic:spPr>
                </pic:pic>
              </a:graphicData>
            </a:graphic>
          </wp:inline>
        </w:drawing>
      </w:r>
    </w:p>
    <w:p w14:paraId="7CD95C78">
      <w:pPr>
        <w:spacing w:line="360" w:lineRule="auto"/>
        <w:rPr>
          <w:rFonts w:ascii="仿宋" w:hAnsi="仿宋" w:eastAsia="仿宋"/>
          <w:sz w:val="30"/>
          <w:szCs w:val="30"/>
        </w:rPr>
      </w:pPr>
      <w:r>
        <w:rPr>
          <w:rFonts w:hint="eastAsia" w:ascii="仿宋" w:hAnsi="仿宋" w:eastAsia="仿宋"/>
          <w:sz w:val="30"/>
          <w:szCs w:val="30"/>
        </w:rPr>
        <w:t xml:space="preserve">                                                </w:t>
      </w:r>
    </w:p>
    <w:p w14:paraId="2140FA21">
      <w:pPr>
        <w:spacing w:line="360" w:lineRule="auto"/>
        <w:ind w:firstLine="2200" w:firstLineChars="550"/>
        <w:rPr>
          <w:rFonts w:ascii="仿宋" w:hAnsi="仿宋" w:eastAsia="仿宋"/>
          <w:b/>
          <w:sz w:val="40"/>
          <w:szCs w:val="30"/>
        </w:rPr>
      </w:pPr>
    </w:p>
    <w:p w14:paraId="50A9A39A">
      <w:pPr>
        <w:spacing w:line="360" w:lineRule="auto"/>
        <w:jc w:val="center"/>
        <w:rPr>
          <w:rFonts w:ascii="仿宋" w:hAnsi="仿宋" w:eastAsia="仿宋" w:cs="宋体"/>
          <w:b/>
          <w:sz w:val="44"/>
          <w:szCs w:val="32"/>
        </w:rPr>
      </w:pPr>
      <w:r>
        <w:rPr>
          <w:rFonts w:hint="eastAsia" w:ascii="仿宋" w:hAnsi="仿宋" w:eastAsia="仿宋" w:cs="宋体"/>
          <w:b/>
          <w:sz w:val="44"/>
          <w:szCs w:val="32"/>
        </w:rPr>
        <w:t>西安市儿童医院</w:t>
      </w:r>
    </w:p>
    <w:p w14:paraId="56122B11">
      <w:pPr>
        <w:spacing w:line="360" w:lineRule="auto"/>
        <w:jc w:val="center"/>
        <w:rPr>
          <w:rFonts w:ascii="仿宋" w:hAnsi="仿宋" w:eastAsia="仿宋" w:cs="宋体"/>
          <w:b/>
          <w:sz w:val="44"/>
          <w:szCs w:val="32"/>
        </w:rPr>
      </w:pPr>
      <w:r>
        <w:rPr>
          <w:rFonts w:hint="eastAsia" w:ascii="仿宋" w:hAnsi="仿宋" w:eastAsia="仿宋" w:cs="宋体"/>
          <w:b/>
          <w:sz w:val="44"/>
          <w:szCs w:val="32"/>
        </w:rPr>
        <w:t>经开院区纯水机房运维服务项目合同</w:t>
      </w:r>
    </w:p>
    <w:p w14:paraId="67651FD2">
      <w:pPr>
        <w:spacing w:line="360" w:lineRule="auto"/>
        <w:jc w:val="center"/>
        <w:rPr>
          <w:rFonts w:ascii="仿宋" w:hAnsi="仿宋" w:eastAsia="仿宋"/>
          <w:sz w:val="30"/>
          <w:szCs w:val="30"/>
        </w:rPr>
      </w:pPr>
    </w:p>
    <w:p w14:paraId="2A708380">
      <w:pPr>
        <w:spacing w:line="360" w:lineRule="auto"/>
        <w:ind w:firstLine="3150" w:firstLineChars="1050"/>
        <w:rPr>
          <w:rFonts w:ascii="仿宋" w:hAnsi="仿宋" w:eastAsia="仿宋"/>
          <w:sz w:val="30"/>
          <w:szCs w:val="30"/>
        </w:rPr>
      </w:pPr>
    </w:p>
    <w:p w14:paraId="42550642">
      <w:pPr>
        <w:spacing w:line="360" w:lineRule="auto"/>
        <w:ind w:firstLine="3150" w:firstLineChars="1050"/>
        <w:rPr>
          <w:rFonts w:ascii="仿宋" w:hAnsi="仿宋" w:eastAsia="仿宋"/>
          <w:sz w:val="30"/>
          <w:szCs w:val="30"/>
        </w:rPr>
      </w:pPr>
    </w:p>
    <w:p w14:paraId="38D3408B">
      <w:pPr>
        <w:spacing w:line="360" w:lineRule="auto"/>
        <w:ind w:firstLine="3150" w:firstLineChars="1050"/>
        <w:rPr>
          <w:rFonts w:ascii="仿宋" w:hAnsi="仿宋" w:eastAsia="仿宋"/>
          <w:sz w:val="30"/>
          <w:szCs w:val="30"/>
        </w:rPr>
      </w:pPr>
    </w:p>
    <w:p w14:paraId="65EB2C08">
      <w:pPr>
        <w:spacing w:line="360" w:lineRule="auto"/>
        <w:ind w:firstLine="3150" w:firstLineChars="1050"/>
        <w:rPr>
          <w:rFonts w:ascii="仿宋" w:hAnsi="仿宋" w:eastAsia="仿宋"/>
          <w:sz w:val="30"/>
          <w:szCs w:val="30"/>
        </w:rPr>
      </w:pPr>
    </w:p>
    <w:p w14:paraId="47046164">
      <w:pPr>
        <w:spacing w:line="360" w:lineRule="auto"/>
        <w:ind w:firstLine="3150" w:firstLineChars="1050"/>
        <w:rPr>
          <w:rFonts w:ascii="仿宋" w:hAnsi="仿宋" w:eastAsia="仿宋"/>
          <w:sz w:val="30"/>
          <w:szCs w:val="30"/>
        </w:rPr>
      </w:pPr>
    </w:p>
    <w:p w14:paraId="0AB76036">
      <w:pPr>
        <w:spacing w:line="360" w:lineRule="auto"/>
        <w:ind w:firstLine="3150" w:firstLineChars="1050"/>
        <w:rPr>
          <w:rFonts w:ascii="仿宋" w:hAnsi="仿宋" w:eastAsia="仿宋"/>
          <w:sz w:val="30"/>
          <w:szCs w:val="30"/>
        </w:rPr>
      </w:pPr>
    </w:p>
    <w:p w14:paraId="7716FA84">
      <w:pPr>
        <w:spacing w:line="360" w:lineRule="auto"/>
        <w:rPr>
          <w:rFonts w:ascii="仿宋" w:hAnsi="仿宋" w:eastAsia="仿宋"/>
          <w:color w:val="000000"/>
          <w:sz w:val="30"/>
          <w:szCs w:val="30"/>
        </w:rPr>
      </w:pPr>
    </w:p>
    <w:p w14:paraId="02FA24E5">
      <w:pPr>
        <w:spacing w:line="360" w:lineRule="auto"/>
        <w:rPr>
          <w:rFonts w:ascii="仿宋" w:hAnsi="仿宋" w:eastAsia="仿宋"/>
          <w:sz w:val="30"/>
          <w:szCs w:val="30"/>
        </w:rPr>
      </w:pPr>
      <w:r>
        <w:rPr>
          <w:rFonts w:hint="eastAsia" w:ascii="仿宋" w:hAnsi="仿宋" w:eastAsia="仿宋"/>
          <w:color w:val="000000"/>
          <w:sz w:val="30"/>
          <w:szCs w:val="30"/>
        </w:rPr>
        <w:t xml:space="preserve">         项目组织形式：</w:t>
      </w:r>
    </w:p>
    <w:p w14:paraId="32174278">
      <w:pPr>
        <w:spacing w:line="360" w:lineRule="auto"/>
        <w:ind w:firstLine="1350" w:firstLineChars="450"/>
        <w:rPr>
          <w:rFonts w:ascii="仿宋" w:hAnsi="仿宋" w:eastAsia="仿宋"/>
          <w:sz w:val="30"/>
          <w:szCs w:val="30"/>
        </w:rPr>
      </w:pPr>
      <w:r>
        <w:rPr>
          <w:rFonts w:hint="eastAsia" w:ascii="仿宋" w:hAnsi="仿宋" w:eastAsia="仿宋"/>
          <w:sz w:val="30"/>
          <w:szCs w:val="30"/>
        </w:rPr>
        <w:t>项目主办部门：</w:t>
      </w:r>
    </w:p>
    <w:p w14:paraId="1B12FF5B">
      <w:pPr>
        <w:spacing w:line="360" w:lineRule="auto"/>
        <w:ind w:firstLine="1350" w:firstLineChars="450"/>
        <w:rPr>
          <w:rFonts w:ascii="仿宋" w:hAnsi="仿宋" w:eastAsia="仿宋"/>
          <w:sz w:val="30"/>
          <w:szCs w:val="30"/>
        </w:rPr>
      </w:pPr>
      <w:r>
        <w:rPr>
          <w:rFonts w:hint="eastAsia" w:ascii="仿宋" w:hAnsi="仿宋" w:eastAsia="仿宋"/>
          <w:sz w:val="30"/>
          <w:szCs w:val="30"/>
        </w:rPr>
        <w:t xml:space="preserve">甲方: </w:t>
      </w:r>
      <w:r>
        <w:rPr>
          <w:rFonts w:hint="eastAsia" w:ascii="仿宋" w:hAnsi="仿宋" w:eastAsia="仿宋" w:cs="宋体"/>
          <w:sz w:val="30"/>
          <w:szCs w:val="30"/>
        </w:rPr>
        <w:t>西安市儿童医院</w:t>
      </w:r>
    </w:p>
    <w:p w14:paraId="3B7FBEA4">
      <w:pPr>
        <w:spacing w:line="360" w:lineRule="auto"/>
        <w:ind w:firstLine="1350" w:firstLineChars="450"/>
        <w:rPr>
          <w:rFonts w:ascii="仿宋" w:hAnsi="仿宋" w:eastAsia="仿宋" w:cs="宋体"/>
          <w:sz w:val="30"/>
          <w:szCs w:val="30"/>
        </w:rPr>
      </w:pPr>
      <w:r>
        <w:rPr>
          <w:rFonts w:hint="eastAsia" w:ascii="仿宋" w:hAnsi="仿宋" w:eastAsia="仿宋"/>
          <w:sz w:val="30"/>
          <w:szCs w:val="30"/>
        </w:rPr>
        <w:t>乙方:</w:t>
      </w:r>
      <w:r>
        <w:rPr>
          <w:rFonts w:ascii="仿宋" w:hAnsi="仿宋" w:eastAsia="仿宋"/>
          <w:sz w:val="30"/>
          <w:szCs w:val="30"/>
        </w:rPr>
        <w:t xml:space="preserve"> </w:t>
      </w:r>
    </w:p>
    <w:p w14:paraId="3BF602CE">
      <w:pPr>
        <w:spacing w:line="360" w:lineRule="auto"/>
        <w:ind w:firstLine="1350" w:firstLineChars="450"/>
        <w:rPr>
          <w:rFonts w:ascii="仿宋" w:hAnsi="仿宋" w:eastAsia="仿宋"/>
          <w:sz w:val="30"/>
          <w:szCs w:val="30"/>
        </w:rPr>
      </w:pPr>
      <w:r>
        <w:rPr>
          <w:rFonts w:hint="eastAsia" w:ascii="仿宋" w:hAnsi="仿宋" w:eastAsia="仿宋"/>
          <w:sz w:val="30"/>
          <w:szCs w:val="30"/>
        </w:rPr>
        <w:t>签订地点：西安市儿童医院</w:t>
      </w:r>
    </w:p>
    <w:p w14:paraId="50A60BA1">
      <w:pPr>
        <w:spacing w:line="360" w:lineRule="auto"/>
        <w:ind w:firstLine="1350" w:firstLineChars="450"/>
        <w:rPr>
          <w:rFonts w:ascii="仿宋" w:hAnsi="仿宋" w:eastAsia="仿宋"/>
          <w:sz w:val="30"/>
          <w:szCs w:val="30"/>
        </w:rPr>
        <w:sectPr>
          <w:footerReference r:id="rId6" w:type="first"/>
          <w:footerReference r:id="rId4" w:type="default"/>
          <w:headerReference r:id="rId3" w:type="even"/>
          <w:footerReference r:id="rId5" w:type="even"/>
          <w:pgSz w:w="11907" w:h="16840"/>
          <w:pgMar w:top="1247" w:right="1418" w:bottom="1247" w:left="1418" w:header="680" w:footer="510" w:gutter="0"/>
          <w:pgNumType w:fmt="decimal" w:start="1"/>
          <w:cols w:space="720" w:num="1"/>
          <w:titlePg/>
          <w:docGrid w:type="linesAndChars" w:linePitch="312" w:charSpace="0"/>
        </w:sectPr>
      </w:pPr>
      <w:r>
        <w:rPr>
          <w:rFonts w:hint="eastAsia" w:ascii="仿宋" w:hAnsi="仿宋" w:eastAsia="仿宋"/>
          <w:sz w:val="30"/>
          <w:szCs w:val="30"/>
        </w:rPr>
        <w:t>签订时间：    年</w:t>
      </w:r>
      <w:r>
        <w:rPr>
          <w:rFonts w:ascii="仿宋" w:hAnsi="仿宋" w:eastAsia="仿宋"/>
          <w:sz w:val="30"/>
          <w:szCs w:val="30"/>
        </w:rPr>
        <w:t xml:space="preserve"> </w:t>
      </w:r>
      <w:r>
        <w:rPr>
          <w:rFonts w:hint="eastAsia" w:ascii="仿宋" w:hAnsi="仿宋" w:eastAsia="仿宋"/>
          <w:sz w:val="30"/>
          <w:szCs w:val="30"/>
        </w:rPr>
        <w:t xml:space="preserve">  月</w:t>
      </w:r>
    </w:p>
    <w:p w14:paraId="376CDEE5">
      <w:pPr>
        <w:tabs>
          <w:tab w:val="left" w:pos="735"/>
        </w:tabs>
        <w:autoSpaceDE w:val="0"/>
        <w:autoSpaceDN w:val="0"/>
        <w:adjustRightInd w:val="0"/>
        <w:snapToGrid w:val="0"/>
        <w:spacing w:before="240" w:beforeLines="100" w:line="360" w:lineRule="auto"/>
        <w:rPr>
          <w:rFonts w:hint="default" w:ascii="Times New Roman" w:hAnsi="Times New Roman" w:eastAsia="仿宋_GB2312" w:cs="Times New Roman"/>
          <w:b/>
          <w:bCs/>
          <w:sz w:val="24"/>
          <w:lang w:val="zh-CN"/>
        </w:rPr>
      </w:pPr>
      <w:r>
        <w:rPr>
          <w:rFonts w:hint="default" w:ascii="Times New Roman" w:hAnsi="Times New Roman" w:eastAsia="仿宋_GB2312" w:cs="Times New Roman"/>
          <w:b/>
          <w:bCs/>
          <w:sz w:val="24"/>
          <w:lang w:val="zh-CN"/>
        </w:rPr>
        <w:t>甲方：</w:t>
      </w:r>
      <w:r>
        <w:rPr>
          <w:rFonts w:hint="default" w:ascii="Times New Roman" w:hAnsi="Times New Roman" w:eastAsia="仿宋_GB2312" w:cs="Times New Roman"/>
          <w:bCs/>
          <w:sz w:val="24"/>
          <w:lang w:val="zh-CN"/>
        </w:rPr>
        <w:t xml:space="preserve">（前款所称采购人）     </w:t>
      </w:r>
      <w:r>
        <w:rPr>
          <w:rFonts w:hint="default" w:ascii="Times New Roman" w:hAnsi="Times New Roman" w:eastAsia="仿宋_GB2312" w:cs="Times New Roman"/>
          <w:bCs/>
          <w:sz w:val="24"/>
        </w:rPr>
        <w:t xml:space="preserve">    </w:t>
      </w:r>
      <w:r>
        <w:rPr>
          <w:rFonts w:hint="default" w:ascii="Times New Roman" w:hAnsi="Times New Roman" w:eastAsia="仿宋_GB2312" w:cs="Times New Roman"/>
          <w:bCs/>
          <w:sz w:val="24"/>
          <w:lang w:val="zh-CN"/>
        </w:rPr>
        <w:t>住所：</w:t>
      </w:r>
    </w:p>
    <w:p w14:paraId="67F9FFB9">
      <w:pPr>
        <w:tabs>
          <w:tab w:val="left" w:pos="735"/>
        </w:tabs>
        <w:autoSpaceDE w:val="0"/>
        <w:autoSpaceDN w:val="0"/>
        <w:adjustRightInd w:val="0"/>
        <w:snapToGrid w:val="0"/>
        <w:spacing w:line="360" w:lineRule="auto"/>
        <w:rPr>
          <w:rFonts w:hint="default" w:ascii="Times New Roman" w:hAnsi="Times New Roman" w:eastAsia="仿宋_GB2312" w:cs="Times New Roman"/>
          <w:bCs/>
          <w:sz w:val="24"/>
          <w:lang w:val="zh-CN"/>
        </w:rPr>
      </w:pPr>
      <w:r>
        <w:rPr>
          <w:rFonts w:hint="default" w:ascii="Times New Roman" w:hAnsi="Times New Roman" w:eastAsia="仿宋_GB2312" w:cs="Times New Roman"/>
          <w:b/>
          <w:bCs/>
          <w:sz w:val="24"/>
          <w:lang w:val="zh-CN"/>
        </w:rPr>
        <w:t>乙方：</w:t>
      </w:r>
      <w:r>
        <w:rPr>
          <w:rFonts w:hint="default" w:ascii="Times New Roman" w:hAnsi="Times New Roman" w:eastAsia="仿宋_GB2312" w:cs="Times New Roman"/>
          <w:bCs/>
          <w:sz w:val="24"/>
          <w:lang w:val="zh-CN"/>
        </w:rPr>
        <w:t>（前款所称</w:t>
      </w:r>
      <w:r>
        <w:rPr>
          <w:rFonts w:hint="default" w:ascii="Times New Roman" w:hAnsi="Times New Roman" w:eastAsia="仿宋_GB2312" w:cs="Times New Roman"/>
          <w:bCs/>
          <w:sz w:val="24"/>
        </w:rPr>
        <w:t>成交供应商</w:t>
      </w:r>
      <w:r>
        <w:rPr>
          <w:rFonts w:hint="default" w:ascii="Times New Roman" w:hAnsi="Times New Roman" w:eastAsia="仿宋_GB2312" w:cs="Times New Roman"/>
          <w:bCs/>
          <w:sz w:val="24"/>
          <w:lang w:val="zh-CN"/>
        </w:rPr>
        <w:t>）     住所：</w:t>
      </w:r>
    </w:p>
    <w:p w14:paraId="7CDCB83C">
      <w:pPr>
        <w:adjustRightInd w:val="0"/>
        <w:snapToGrid w:val="0"/>
        <w:spacing w:line="360" w:lineRule="auto"/>
        <w:ind w:firstLine="480" w:firstLineChars="200"/>
        <w:rPr>
          <w:rFonts w:hint="default" w:ascii="Times New Roman" w:hAnsi="Times New Roman" w:eastAsia="仿宋_GB2312" w:cs="Times New Roman"/>
          <w:sz w:val="24"/>
        </w:rPr>
      </w:pPr>
      <w:bookmarkStart w:id="1" w:name="_Toc19515384"/>
      <w:r>
        <w:rPr>
          <w:rFonts w:hint="default" w:ascii="Times New Roman" w:hAnsi="Times New Roman" w:eastAsia="仿宋_GB2312" w:cs="Times New Roman"/>
          <w:sz w:val="24"/>
        </w:rPr>
        <w:t>一、合同内容（标的、数量、质量等）</w:t>
      </w:r>
      <w:bookmarkEnd w:id="1"/>
      <w:r>
        <w:rPr>
          <w:rFonts w:hint="default" w:ascii="Times New Roman" w:hAnsi="Times New Roman" w:eastAsia="仿宋_GB2312" w:cs="Times New Roman"/>
          <w:sz w:val="24"/>
        </w:rPr>
        <w:t>：</w:t>
      </w:r>
    </w:p>
    <w:p w14:paraId="51B491D1">
      <w:pPr>
        <w:adjustRightInd w:val="0"/>
        <w:snapToGrid w:val="0"/>
        <w:spacing w:line="360" w:lineRule="auto"/>
        <w:ind w:firstLine="480" w:firstLineChars="200"/>
        <w:rPr>
          <w:rFonts w:hint="default" w:ascii="Times New Roman" w:hAnsi="Times New Roman" w:eastAsia="仿宋_GB2312" w:cs="Times New Roman"/>
          <w:sz w:val="24"/>
        </w:rPr>
      </w:pPr>
      <w:bookmarkStart w:id="2" w:name="_Toc19515385"/>
      <w:r>
        <w:rPr>
          <w:rFonts w:hint="default" w:ascii="Times New Roman" w:hAnsi="Times New Roman" w:eastAsia="仿宋_GB2312" w:cs="Times New Roman"/>
          <w:sz w:val="24"/>
        </w:rPr>
        <w:t>二、合同价款</w:t>
      </w:r>
      <w:bookmarkEnd w:id="2"/>
    </w:p>
    <w:p w14:paraId="59F148C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1、合同总价：</w:t>
      </w:r>
    </w:p>
    <w:p w14:paraId="6739E64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2、合同总价包括：</w:t>
      </w:r>
    </w:p>
    <w:p w14:paraId="0A0EA0E0">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3、合同为固定总价合同，不受市场价变化的影响。</w:t>
      </w:r>
    </w:p>
    <w:p w14:paraId="47514014">
      <w:pPr>
        <w:adjustRightInd w:val="0"/>
        <w:snapToGrid w:val="0"/>
        <w:spacing w:line="360" w:lineRule="auto"/>
        <w:ind w:firstLine="480" w:firstLineChars="200"/>
        <w:rPr>
          <w:rFonts w:hint="default" w:ascii="Times New Roman" w:hAnsi="Times New Roman" w:eastAsia="仿宋_GB2312" w:cs="Times New Roman"/>
          <w:sz w:val="24"/>
        </w:rPr>
      </w:pPr>
      <w:bookmarkStart w:id="3" w:name="_Toc19515386"/>
      <w:r>
        <w:rPr>
          <w:rFonts w:hint="default" w:ascii="Times New Roman" w:hAnsi="Times New Roman" w:eastAsia="仿宋_GB2312" w:cs="Times New Roman"/>
          <w:sz w:val="24"/>
        </w:rPr>
        <w:t>三、合同结算</w:t>
      </w:r>
      <w:bookmarkEnd w:id="3"/>
    </w:p>
    <w:p w14:paraId="5A3CEB46">
      <w:pPr>
        <w:adjustRightInd w:val="0"/>
        <w:snapToGrid w:val="0"/>
        <w:spacing w:line="360" w:lineRule="auto"/>
        <w:ind w:firstLine="480" w:firstLineChars="200"/>
        <w:rPr>
          <w:rFonts w:hint="default" w:ascii="Times New Roman" w:hAnsi="Times New Roman" w:eastAsia="仿宋_GB2312" w:cs="Times New Roman"/>
          <w:sz w:val="24"/>
          <w:lang w:val="en-US" w:eastAsia="zh-CN"/>
        </w:rPr>
      </w:pPr>
      <w:bookmarkStart w:id="4" w:name="_Toc19515387"/>
      <w:r>
        <w:rPr>
          <w:rFonts w:hint="default" w:ascii="Times New Roman" w:hAnsi="Times New Roman" w:eastAsia="仿宋_GB2312" w:cs="Times New Roman"/>
          <w:sz w:val="24"/>
        </w:rPr>
        <w:t>1、付款比例</w:t>
      </w:r>
      <w:r>
        <w:rPr>
          <w:rFonts w:hint="default" w:ascii="Times New Roman" w:hAnsi="Times New Roman" w:eastAsia="仿宋_GB2312" w:cs="Times New Roman"/>
          <w:sz w:val="24"/>
          <w:lang w:val="en-US" w:eastAsia="zh-CN"/>
        </w:rPr>
        <w:t>合同签订后，甲方支付合同总金额的50%预付款，2年服务期结束后，无技术、质量问题，根据考核结果支付剩余款项。甲方每半年考核一次（服务期内共计考核4次），服务期满后甲方依据累计考核情况(具体详见附件评价管理制度及评价表)扣款。</w:t>
      </w:r>
    </w:p>
    <w:p w14:paraId="0CCE9DA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2、结算方式：银行转账。</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对于满足合同约定支付条件的，对于满足合同约定支付条件的，采购人原则上应当自收到发票后10个工作日内将资金支付到合同约定的供应商账户）</w:t>
      </w:r>
    </w:p>
    <w:p w14:paraId="2BCF4C43">
      <w:pPr>
        <w:adjustRightInd w:val="0"/>
        <w:snapToGrid w:val="0"/>
        <w:spacing w:line="360" w:lineRule="auto"/>
        <w:ind w:firstLine="480" w:firstLineChars="200"/>
        <w:rPr>
          <w:rFonts w:hint="default" w:ascii="Times New Roman" w:hAnsi="Times New Roman" w:eastAsia="仿宋_GB2312" w:cs="Times New Roman"/>
          <w:sz w:val="24"/>
          <w:highlight w:val="yellow"/>
        </w:rPr>
      </w:pPr>
      <w:r>
        <w:rPr>
          <w:rFonts w:hint="default" w:ascii="Times New Roman" w:hAnsi="Times New Roman" w:eastAsia="仿宋_GB2312" w:cs="Times New Roman"/>
          <w:sz w:val="24"/>
          <w:highlight w:val="none"/>
        </w:rPr>
        <w:t>3、结算单位：由</w:t>
      </w:r>
      <w:r>
        <w:rPr>
          <w:rFonts w:hint="default" w:ascii="Times New Roman" w:hAnsi="Times New Roman" w:eastAsia="仿宋_GB2312" w:cs="Times New Roman"/>
          <w:sz w:val="24"/>
          <w:highlight w:val="none"/>
          <w:u w:val="single"/>
        </w:rPr>
        <w:t xml:space="preserve">         </w:t>
      </w:r>
      <w:r>
        <w:rPr>
          <w:rFonts w:hint="default" w:ascii="Times New Roman" w:hAnsi="Times New Roman" w:eastAsia="仿宋_GB2312" w:cs="Times New Roman"/>
          <w:sz w:val="24"/>
          <w:highlight w:val="none"/>
        </w:rPr>
        <w:t>负责结算，乙方开具合同总价数的全额发票交采购人。</w:t>
      </w:r>
    </w:p>
    <w:p w14:paraId="22DD679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四、履行期限</w:t>
      </w:r>
      <w:r>
        <w:rPr>
          <w:rFonts w:hint="eastAsia" w:eastAsia="仿宋_GB2312" w:cs="Times New Roman"/>
          <w:sz w:val="24"/>
          <w:lang w:eastAsia="zh-CN"/>
        </w:rPr>
        <w:t>（</w:t>
      </w:r>
      <w:r>
        <w:rPr>
          <w:rFonts w:hint="eastAsia" w:eastAsia="仿宋_GB2312" w:cs="Times New Roman"/>
          <w:sz w:val="24"/>
          <w:lang w:val="en-US" w:eastAsia="zh-CN"/>
        </w:rPr>
        <w:t>服务期</w:t>
      </w:r>
      <w:r>
        <w:rPr>
          <w:rFonts w:hint="eastAsia" w:eastAsia="仿宋_GB2312" w:cs="Times New Roman"/>
          <w:sz w:val="24"/>
          <w:lang w:eastAsia="zh-CN"/>
        </w:rPr>
        <w:t>）</w:t>
      </w:r>
      <w:r>
        <w:rPr>
          <w:rFonts w:hint="default" w:ascii="Times New Roman" w:hAnsi="Times New Roman" w:eastAsia="仿宋_GB2312" w:cs="Times New Roman"/>
          <w:sz w:val="24"/>
        </w:rPr>
        <w:t>、</w:t>
      </w:r>
      <w:r>
        <w:rPr>
          <w:rFonts w:hint="eastAsia" w:eastAsia="仿宋_GB2312" w:cs="Times New Roman"/>
          <w:sz w:val="24"/>
          <w:lang w:val="en-US" w:eastAsia="zh-CN"/>
        </w:rPr>
        <w:t>服务</w:t>
      </w:r>
      <w:r>
        <w:rPr>
          <w:rFonts w:hint="default" w:ascii="Times New Roman" w:hAnsi="Times New Roman" w:eastAsia="仿宋_GB2312" w:cs="Times New Roman"/>
          <w:sz w:val="24"/>
        </w:rPr>
        <w:t>地点</w:t>
      </w:r>
      <w:bookmarkEnd w:id="4"/>
      <w:r>
        <w:rPr>
          <w:rFonts w:hint="default" w:ascii="Times New Roman" w:hAnsi="Times New Roman" w:eastAsia="仿宋_GB2312" w:cs="Times New Roman"/>
          <w:sz w:val="24"/>
        </w:rPr>
        <w:t>：</w:t>
      </w:r>
    </w:p>
    <w:p w14:paraId="1E79F0FF">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rPr>
        <w:t>1、履行期限：</w:t>
      </w:r>
      <w:r>
        <w:rPr>
          <w:rFonts w:hint="eastAsia" w:eastAsia="仿宋_GB2312" w:cs="Times New Roman"/>
          <w:sz w:val="24"/>
          <w:lang w:val="en-US" w:eastAsia="zh-CN"/>
        </w:rPr>
        <w:t>合同签订之日起2年</w:t>
      </w:r>
    </w:p>
    <w:p w14:paraId="08DDD713">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rPr>
        <w:t>2、</w:t>
      </w:r>
      <w:r>
        <w:rPr>
          <w:rFonts w:hint="eastAsia" w:eastAsia="仿宋_GB2312" w:cs="Times New Roman"/>
          <w:sz w:val="24"/>
          <w:lang w:val="en-US" w:eastAsia="zh-CN"/>
        </w:rPr>
        <w:t>服务</w:t>
      </w:r>
      <w:r>
        <w:rPr>
          <w:rFonts w:hint="default" w:ascii="Times New Roman" w:hAnsi="Times New Roman" w:eastAsia="仿宋_GB2312" w:cs="Times New Roman"/>
          <w:sz w:val="24"/>
        </w:rPr>
        <w:t>地点：</w:t>
      </w:r>
      <w:r>
        <w:rPr>
          <w:rFonts w:hint="eastAsia" w:eastAsia="仿宋_GB2312" w:cs="Times New Roman"/>
          <w:sz w:val="24"/>
          <w:lang w:val="en-US" w:eastAsia="zh-CN"/>
        </w:rPr>
        <w:t>西安市儿童医院经开院区</w:t>
      </w:r>
    </w:p>
    <w:p w14:paraId="1239DBDD">
      <w:pPr>
        <w:adjustRightInd w:val="0"/>
        <w:snapToGrid w:val="0"/>
        <w:spacing w:line="360" w:lineRule="auto"/>
        <w:ind w:firstLine="480" w:firstLineChars="200"/>
        <w:rPr>
          <w:rFonts w:hint="eastAsia" w:ascii="Times New Roman" w:hAnsi="Times New Roman" w:eastAsia="仿宋_GB2312" w:cs="Times New Roman"/>
          <w:sz w:val="24"/>
          <w:lang w:eastAsia="zh-CN"/>
        </w:rPr>
      </w:pPr>
      <w:bookmarkStart w:id="5" w:name="_Toc19515390"/>
      <w:r>
        <w:rPr>
          <w:rFonts w:hint="default" w:ascii="Times New Roman" w:hAnsi="Times New Roman" w:eastAsia="仿宋_GB2312" w:cs="Times New Roman"/>
          <w:sz w:val="24"/>
        </w:rPr>
        <w:t>五、</w:t>
      </w:r>
      <w:r>
        <w:rPr>
          <w:rFonts w:hint="eastAsia" w:eastAsia="仿宋_GB2312" w:cs="Times New Roman"/>
          <w:sz w:val="24"/>
          <w:lang w:val="en-US" w:eastAsia="zh-CN"/>
        </w:rPr>
        <w:t>服务要求：</w:t>
      </w:r>
    </w:p>
    <w:p w14:paraId="78CA1494">
      <w:pPr>
        <w:adjustRightInd w:val="0"/>
        <w:snapToGrid w:val="0"/>
        <w:spacing w:line="360" w:lineRule="auto"/>
        <w:ind w:firstLine="480" w:firstLineChars="200"/>
        <w:rPr>
          <w:rFonts w:hint="default"/>
        </w:rPr>
      </w:pPr>
      <w:r>
        <w:rPr>
          <w:rFonts w:hint="default" w:ascii="Times New Roman" w:hAnsi="Times New Roman" w:eastAsia="仿宋_GB2312" w:cs="Times New Roman"/>
          <w:sz w:val="24"/>
        </w:rPr>
        <w:t>1、</w:t>
      </w:r>
      <w:r>
        <w:rPr>
          <w:rFonts w:hint="eastAsia" w:ascii="Times New Roman" w:hAnsi="Times New Roman" w:eastAsia="仿宋_GB2312" w:cs="Times New Roman"/>
          <w:sz w:val="24"/>
          <w:lang w:val="en-US" w:eastAsia="zh-CN"/>
        </w:rPr>
        <w:t>服务要求：</w:t>
      </w:r>
      <w:r>
        <w:rPr>
          <w:rFonts w:hint="eastAsia" w:ascii="Times New Roman" w:hAnsi="Times New Roman" w:eastAsia="仿宋_GB2312" w:cs="Times New Roman"/>
          <w:sz w:val="24"/>
        </w:rPr>
        <w:t>详见</w:t>
      </w:r>
      <w:r>
        <w:rPr>
          <w:rFonts w:hint="eastAsia" w:ascii="Times New Roman" w:hAnsi="Times New Roman" w:eastAsia="仿宋_GB2312" w:cs="Times New Roman"/>
          <w:sz w:val="24"/>
          <w:lang w:eastAsia="zh-CN"/>
        </w:rPr>
        <w:t>竞争性磋商</w:t>
      </w:r>
      <w:r>
        <w:rPr>
          <w:rFonts w:hint="eastAsia" w:ascii="Times New Roman" w:hAnsi="Times New Roman" w:eastAsia="仿宋_GB2312" w:cs="Times New Roman"/>
          <w:sz w:val="24"/>
        </w:rPr>
        <w:t xml:space="preserve">文件采购需求。 </w:t>
      </w:r>
    </w:p>
    <w:p w14:paraId="4F0CD22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2、技术资料：</w:t>
      </w:r>
    </w:p>
    <w:p w14:paraId="687ED767">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六、验收</w:t>
      </w:r>
    </w:p>
    <w:p w14:paraId="724BDFDA">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1、验收：乙方完成服务内容后，向甲方提出验收申请，甲方接到乙方验收申请后组织验收（必要时可聘请相应专家或委托相应部门验收），验收合格后，出具使用验收合格证明。</w:t>
      </w:r>
    </w:p>
    <w:p w14:paraId="4BB42A9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2、最终验收：最终验收结果作为付款依据，乙方填写验收单，并向甲方提交实施过程中的所有资料，以便甲方日后管理和维护。</w:t>
      </w:r>
    </w:p>
    <w:p w14:paraId="4A5B0D56">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3、质保期满后：由乙方出具质保期运行质量报告，若存在质量问题，应按相应规定协商处理。</w:t>
      </w:r>
    </w:p>
    <w:p w14:paraId="32B3BB6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4、验收依据：</w:t>
      </w:r>
    </w:p>
    <w:p w14:paraId="6319052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4-1、合同文本、合同附件、竞争性磋商文件、成交供应商的响应文件。</w:t>
      </w:r>
    </w:p>
    <w:p w14:paraId="2F3BF9E0">
      <w:pPr>
        <w:adjustRightInd w:val="0"/>
        <w:snapToGrid w:val="0"/>
        <w:spacing w:line="360" w:lineRule="auto"/>
        <w:ind w:firstLine="480" w:firstLineChars="200"/>
        <w:rPr>
          <w:rFonts w:hint="default" w:ascii="Times New Roman" w:hAnsi="Times New Roman" w:eastAsia="仿宋_GB2312" w:cs="Times New Roman"/>
          <w:sz w:val="24"/>
          <w:highlight w:val="yellow"/>
          <w:lang w:val="en-US" w:eastAsia="zh-CN"/>
        </w:rPr>
      </w:pPr>
      <w:r>
        <w:rPr>
          <w:rFonts w:hint="default" w:ascii="Times New Roman" w:hAnsi="Times New Roman" w:eastAsia="仿宋_GB2312" w:cs="Times New Roman"/>
          <w:sz w:val="24"/>
        </w:rPr>
        <w:t>4-2、国内相应的标准、规范。</w:t>
      </w:r>
    </w:p>
    <w:p w14:paraId="15A8FE08">
      <w:pPr>
        <w:adjustRightInd w:val="0"/>
        <w:snapToGrid w:val="0"/>
        <w:spacing w:line="360" w:lineRule="auto"/>
        <w:ind w:firstLine="480" w:firstLineChars="200"/>
        <w:rPr>
          <w:rFonts w:hint="default" w:ascii="Times New Roman" w:hAnsi="Times New Roman" w:eastAsia="仿宋_GB2312" w:cs="Times New Roman"/>
          <w:sz w:val="24"/>
        </w:rPr>
      </w:pPr>
      <w:r>
        <w:rPr>
          <w:rFonts w:hint="eastAsia" w:eastAsia="仿宋_GB2312" w:cs="Times New Roman"/>
          <w:sz w:val="24"/>
          <w:lang w:val="en-US" w:eastAsia="zh-CN"/>
        </w:rPr>
        <w:t>七</w:t>
      </w:r>
      <w:r>
        <w:rPr>
          <w:rFonts w:hint="default" w:ascii="Times New Roman" w:hAnsi="Times New Roman" w:eastAsia="仿宋_GB2312" w:cs="Times New Roman"/>
          <w:sz w:val="24"/>
        </w:rPr>
        <w:t>、违约责任</w:t>
      </w:r>
    </w:p>
    <w:p w14:paraId="1897BE9A">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1、按《中华人民共和国民法典》中的相关条款执行。</w:t>
      </w:r>
    </w:p>
    <w:p w14:paraId="76DD7296">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2、乙方履约延误</w:t>
      </w:r>
    </w:p>
    <w:p w14:paraId="798C213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2-1、如乙方事先未征得甲方同意并得到甲方的谅解而单方面延迟执行合同，将按违约终止合同。</w:t>
      </w:r>
    </w:p>
    <w:p w14:paraId="0C89945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w:t>
      </w:r>
      <w:r>
        <w:rPr>
          <w:rFonts w:hint="eastAsia" w:eastAsia="仿宋_GB2312" w:cs="Times New Roman"/>
          <w:sz w:val="24"/>
          <w:lang w:val="en-US" w:eastAsia="zh-CN"/>
        </w:rPr>
        <w:t>1</w:t>
      </w:r>
      <w:r>
        <w:rPr>
          <w:rFonts w:hint="default" w:ascii="Times New Roman" w:hAnsi="Times New Roman" w:eastAsia="仿宋_GB2312" w:cs="Times New Roman"/>
          <w:sz w:val="24"/>
        </w:rPr>
        <w:t>%）计收，直至提供服务为止。误期赔偿费的最高限额为合同价格的百分之五（</w:t>
      </w:r>
      <w:r>
        <w:rPr>
          <w:rFonts w:hint="eastAsia" w:eastAsia="仿宋_GB2312" w:cs="Times New Roman"/>
          <w:sz w:val="24"/>
          <w:lang w:val="en-US" w:eastAsia="zh-CN"/>
        </w:rPr>
        <w:t>30</w:t>
      </w:r>
      <w:r>
        <w:rPr>
          <w:rFonts w:hint="default" w:ascii="Times New Roman" w:hAnsi="Times New Roman" w:eastAsia="仿宋_GB2312" w:cs="Times New Roman"/>
          <w:sz w:val="24"/>
        </w:rPr>
        <w:t>%）。一旦达到误期赔偿费的最高限额，甲方可终止合同。</w:t>
      </w:r>
    </w:p>
    <w:p w14:paraId="516D737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3、违约终止合同：未按合同要求提供服务或不能满足技术要求，甲方会同监督机构有权终止合同，对乙方违约行为进行追究，同时按政府采购法的有关规定进行相应的处罚。</w:t>
      </w:r>
    </w:p>
    <w:p w14:paraId="235FD2B1">
      <w:pPr>
        <w:adjustRightInd w:val="0"/>
        <w:snapToGrid w:val="0"/>
        <w:spacing w:line="360" w:lineRule="auto"/>
        <w:ind w:firstLine="480" w:firstLineChars="200"/>
        <w:rPr>
          <w:rFonts w:hint="default" w:ascii="Times New Roman" w:hAnsi="Times New Roman" w:eastAsia="仿宋_GB2312" w:cs="Times New Roman"/>
          <w:sz w:val="24"/>
        </w:rPr>
      </w:pPr>
      <w:r>
        <w:rPr>
          <w:rFonts w:hint="eastAsia" w:eastAsia="仿宋_GB2312" w:cs="Times New Roman"/>
          <w:sz w:val="24"/>
          <w:lang w:val="en-US" w:eastAsia="zh-CN"/>
        </w:rPr>
        <w:t>八</w:t>
      </w:r>
      <w:r>
        <w:rPr>
          <w:rFonts w:hint="default" w:ascii="Times New Roman" w:hAnsi="Times New Roman" w:eastAsia="仿宋_GB2312" w:cs="Times New Roman"/>
          <w:sz w:val="24"/>
        </w:rPr>
        <w:t>、合同组成</w:t>
      </w:r>
    </w:p>
    <w:p w14:paraId="187BF3C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1、成交通知书</w:t>
      </w:r>
    </w:p>
    <w:p w14:paraId="4AAFA5C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2、合同文件</w:t>
      </w:r>
    </w:p>
    <w:p w14:paraId="6DFF1615">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3、国家相关规范及标准</w:t>
      </w:r>
    </w:p>
    <w:p w14:paraId="714A096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4、竞争性磋商文件</w:t>
      </w:r>
    </w:p>
    <w:p w14:paraId="1FF2F484">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5、成交供应商的响应文件</w:t>
      </w:r>
    </w:p>
    <w:p w14:paraId="5C731918">
      <w:pPr>
        <w:adjustRightInd w:val="0"/>
        <w:snapToGrid w:val="0"/>
        <w:spacing w:line="360" w:lineRule="auto"/>
        <w:ind w:firstLine="480" w:firstLineChars="200"/>
        <w:rPr>
          <w:rFonts w:hint="default" w:ascii="Times New Roman" w:hAnsi="Times New Roman" w:eastAsia="仿宋_GB2312" w:cs="Times New Roman"/>
          <w:sz w:val="24"/>
        </w:rPr>
      </w:pPr>
      <w:r>
        <w:rPr>
          <w:rFonts w:hint="eastAsia" w:eastAsia="仿宋_GB2312" w:cs="Times New Roman"/>
          <w:sz w:val="24"/>
          <w:lang w:val="en-US" w:eastAsia="zh-CN"/>
        </w:rPr>
        <w:t>九</w:t>
      </w:r>
      <w:r>
        <w:rPr>
          <w:rFonts w:hint="default" w:ascii="Times New Roman" w:hAnsi="Times New Roman" w:eastAsia="仿宋_GB2312" w:cs="Times New Roman"/>
          <w:sz w:val="24"/>
        </w:rPr>
        <w:t>、解决争议的方法</w:t>
      </w:r>
    </w:p>
    <w:p w14:paraId="33D66D3F">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凡因本合同引起的或与本合同有关的争议，双方应友好协商解决。协商不成时，双方均同意采用以下第（</w:t>
      </w:r>
      <w:r>
        <w:rPr>
          <w:rFonts w:hint="eastAsia" w:eastAsia="仿宋_GB2312" w:cs="Times New Roman"/>
          <w:kern w:val="0"/>
          <w:sz w:val="24"/>
          <w:lang w:val="en-US" w:eastAsia="zh-CN"/>
        </w:rPr>
        <w:t>1</w:t>
      </w:r>
      <w:r>
        <w:rPr>
          <w:rFonts w:hint="default" w:ascii="Times New Roman" w:hAnsi="Times New Roman" w:eastAsia="仿宋_GB2312" w:cs="Times New Roman"/>
          <w:kern w:val="0"/>
          <w:sz w:val="24"/>
        </w:rPr>
        <w:t>）种争议解决方式：</w:t>
      </w:r>
    </w:p>
    <w:p w14:paraId="7F471395">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1、甲、乙双方均同意向（甲方所在地人民法院）提起诉讼。</w:t>
      </w:r>
    </w:p>
    <w:p w14:paraId="4AB97347">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2、甲、乙双方均同意向（</w:t>
      </w:r>
      <w:r>
        <w:rPr>
          <w:rFonts w:hint="default" w:ascii="Times New Roman" w:hAnsi="Times New Roman" w:cs="Times New Roman"/>
        </w:rPr>
        <w:fldChar w:fldCharType="begin"/>
      </w:r>
      <w:r>
        <w:rPr>
          <w:rFonts w:hint="default" w:ascii="Times New Roman" w:hAnsi="Times New Roman" w:cs="Times New Roman"/>
        </w:rPr>
        <w:instrText xml:space="preserve"> HYPERLINK "http://www.baidu.com/s?wd=%E4%BB%B2%E8%A3%81%E5%A7%94%E5%91%98%E4%BC%9A&amp;tn=SE_PcZhidaonwhc_ngpagmjz&amp;rsv_dl=gh_pc_zhidao" \t "_blank"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4"/>
        </w:rPr>
        <w:t>仲裁委员会</w:t>
      </w:r>
      <w:r>
        <w:rPr>
          <w:rFonts w:hint="default" w:ascii="Times New Roman" w:hAnsi="Times New Roman" w:eastAsia="仿宋_GB2312" w:cs="Times New Roman"/>
          <w:kern w:val="0"/>
          <w:sz w:val="24"/>
        </w:rPr>
        <w:fldChar w:fldCharType="end"/>
      </w:r>
      <w:r>
        <w:rPr>
          <w:rFonts w:hint="default" w:ascii="Times New Roman" w:hAnsi="Times New Roman" w:eastAsia="仿宋_GB2312" w:cs="Times New Roman"/>
          <w:kern w:val="0"/>
          <w:sz w:val="24"/>
        </w:rPr>
        <w:t>）提起仲裁。</w:t>
      </w:r>
    </w:p>
    <w:bookmarkEnd w:id="5"/>
    <w:p w14:paraId="35FB2F83">
      <w:pPr>
        <w:adjustRightInd w:val="0"/>
        <w:snapToGrid w:val="0"/>
        <w:spacing w:line="360" w:lineRule="auto"/>
        <w:ind w:firstLine="480" w:firstLineChars="200"/>
        <w:rPr>
          <w:rFonts w:hint="default" w:ascii="Times New Roman" w:hAnsi="Times New Roman" w:eastAsia="仿宋_GB2312" w:cs="Times New Roman"/>
          <w:sz w:val="24"/>
        </w:rPr>
      </w:pPr>
      <w:bookmarkStart w:id="6" w:name="_Toc19515395"/>
      <w:r>
        <w:rPr>
          <w:rFonts w:hint="default" w:ascii="Times New Roman" w:hAnsi="Times New Roman" w:eastAsia="仿宋_GB2312" w:cs="Times New Roman"/>
          <w:sz w:val="24"/>
        </w:rPr>
        <w:t>十</w:t>
      </w:r>
      <w:r>
        <w:rPr>
          <w:rFonts w:hint="default" w:ascii="Times New Roman" w:hAnsi="Times New Roman" w:eastAsia="仿宋_GB2312" w:cs="Times New Roman"/>
          <w:sz w:val="24"/>
          <w:lang w:val="en-US" w:eastAsia="zh-CN"/>
        </w:rPr>
        <w:t>一</w:t>
      </w:r>
      <w:r>
        <w:rPr>
          <w:rFonts w:hint="default" w:ascii="Times New Roman" w:hAnsi="Times New Roman" w:eastAsia="仿宋_GB2312" w:cs="Times New Roman"/>
          <w:sz w:val="24"/>
        </w:rPr>
        <w:t>、合同生效及其它</w:t>
      </w:r>
      <w:bookmarkEnd w:id="6"/>
    </w:p>
    <w:p w14:paraId="6773DC77">
      <w:pPr>
        <w:widowControl/>
        <w:autoSpaceDE w:val="0"/>
        <w:autoSpaceDN w:val="0"/>
        <w:snapToGrid w:val="0"/>
        <w:spacing w:line="360" w:lineRule="auto"/>
        <w:ind w:right="-11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1、合同未尽事宜、由甲、乙双方协商，作为合同补充，与原合同具有同等法律效力。</w:t>
      </w:r>
    </w:p>
    <w:p w14:paraId="76AD6572">
      <w:pPr>
        <w:widowControl/>
        <w:tabs>
          <w:tab w:val="left" w:pos="8391"/>
        </w:tabs>
        <w:autoSpaceDE w:val="0"/>
        <w:autoSpaceDN w:val="0"/>
        <w:snapToGrid w:val="0"/>
        <w:spacing w:line="360" w:lineRule="auto"/>
        <w:ind w:right="-69"/>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 本合同正本一式</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份，甲方、乙方双方分别执</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备案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w:t>
      </w:r>
    </w:p>
    <w:p w14:paraId="6D69CC5D">
      <w:pPr>
        <w:widowControl/>
        <w:tabs>
          <w:tab w:val="left" w:pos="8391"/>
        </w:tabs>
        <w:autoSpaceDE w:val="0"/>
        <w:autoSpaceDN w:val="0"/>
        <w:snapToGrid w:val="0"/>
        <w:spacing w:line="360" w:lineRule="auto"/>
        <w:ind w:right="-69"/>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3、合同经甲乙双方盖章、签字后生效，合同签订地点为</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w:t>
      </w:r>
    </w:p>
    <w:p w14:paraId="55A018F1">
      <w:pPr>
        <w:widowControl/>
        <w:tabs>
          <w:tab w:val="left" w:pos="8391"/>
        </w:tabs>
        <w:autoSpaceDE w:val="0"/>
        <w:autoSpaceDN w:val="0"/>
        <w:snapToGrid w:val="0"/>
        <w:spacing w:line="360" w:lineRule="auto"/>
        <w:ind w:right="-69"/>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4、生效时间：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日</w:t>
      </w:r>
    </w:p>
    <w:tbl>
      <w:tblPr>
        <w:tblStyle w:val="6"/>
        <w:tblW w:w="0" w:type="auto"/>
        <w:jc w:val="center"/>
        <w:tblLayout w:type="fixed"/>
        <w:tblCellMar>
          <w:top w:w="0" w:type="dxa"/>
          <w:left w:w="108" w:type="dxa"/>
          <w:bottom w:w="0" w:type="dxa"/>
          <w:right w:w="108" w:type="dxa"/>
        </w:tblCellMar>
      </w:tblPr>
      <w:tblGrid>
        <w:gridCol w:w="4643"/>
        <w:gridCol w:w="4643"/>
      </w:tblGrid>
      <w:tr w14:paraId="3192BA3F">
        <w:tblPrEx>
          <w:tblCellMar>
            <w:top w:w="0" w:type="dxa"/>
            <w:left w:w="108" w:type="dxa"/>
            <w:bottom w:w="0" w:type="dxa"/>
            <w:right w:w="108" w:type="dxa"/>
          </w:tblCellMar>
        </w:tblPrEx>
        <w:trPr>
          <w:jc w:val="center"/>
        </w:trPr>
        <w:tc>
          <w:tcPr>
            <w:tcW w:w="4643" w:type="dxa"/>
          </w:tcPr>
          <w:p w14:paraId="70DBF832">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甲方名称</w:t>
            </w:r>
            <w:r>
              <w:rPr>
                <w:rFonts w:hint="default" w:ascii="Times New Roman" w:hAnsi="Times New Roman" w:eastAsia="仿宋_GB2312" w:cs="Times New Roman"/>
                <w:spacing w:val="-20"/>
                <w:kern w:val="0"/>
                <w:sz w:val="24"/>
              </w:rPr>
              <w:t>（盖章）</w:t>
            </w:r>
            <w:r>
              <w:rPr>
                <w:rFonts w:hint="default" w:ascii="Times New Roman" w:hAnsi="Times New Roman" w:eastAsia="仿宋_GB2312" w:cs="Times New Roman"/>
                <w:kern w:val="0"/>
                <w:sz w:val="24"/>
              </w:rPr>
              <w:t>：</w:t>
            </w:r>
          </w:p>
          <w:p w14:paraId="4C49C0B4">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地址：</w:t>
            </w:r>
          </w:p>
          <w:p w14:paraId="0456030E">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代表人（签字）：</w:t>
            </w:r>
          </w:p>
          <w:p w14:paraId="3876C488">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p w14:paraId="240AF1B1">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开户银行：</w:t>
            </w:r>
          </w:p>
          <w:p w14:paraId="312FC5D9">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账号：</w:t>
            </w:r>
          </w:p>
        </w:tc>
        <w:tc>
          <w:tcPr>
            <w:tcW w:w="4643" w:type="dxa"/>
          </w:tcPr>
          <w:p w14:paraId="0EA0FEBF">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乙方名称</w:t>
            </w:r>
            <w:r>
              <w:rPr>
                <w:rFonts w:hint="default" w:ascii="Times New Roman" w:hAnsi="Times New Roman" w:eastAsia="仿宋_GB2312" w:cs="Times New Roman"/>
                <w:spacing w:val="-20"/>
                <w:kern w:val="0"/>
                <w:sz w:val="24"/>
              </w:rPr>
              <w:t>（盖章）</w:t>
            </w:r>
            <w:r>
              <w:rPr>
                <w:rFonts w:hint="default" w:ascii="Times New Roman" w:hAnsi="Times New Roman" w:eastAsia="仿宋_GB2312" w:cs="Times New Roman"/>
                <w:kern w:val="0"/>
                <w:sz w:val="24"/>
              </w:rPr>
              <w:t>：</w:t>
            </w:r>
          </w:p>
          <w:p w14:paraId="3C8ACFCC">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地址：</w:t>
            </w:r>
          </w:p>
          <w:p w14:paraId="226B6B11">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代表人（签字）：</w:t>
            </w:r>
          </w:p>
          <w:p w14:paraId="637A3D44">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p w14:paraId="5E13F06D">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开户银行：</w:t>
            </w:r>
          </w:p>
          <w:p w14:paraId="3F32D27F">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账号：</w:t>
            </w:r>
          </w:p>
        </w:tc>
      </w:tr>
    </w:tbl>
    <w:p w14:paraId="2576800A">
      <w:pPr>
        <w:autoSpaceDE w:val="0"/>
        <w:autoSpaceDN w:val="0"/>
        <w:adjustRightInd w:val="0"/>
        <w:spacing w:line="360" w:lineRule="auto"/>
        <w:jc w:val="left"/>
        <w:rPr>
          <w:rFonts w:hint="default" w:ascii="Times New Roman" w:hAnsi="Times New Roman" w:eastAsia="仿宋_GB2312" w:cs="Times New Roman"/>
          <w:b/>
          <w:bCs/>
          <w:sz w:val="32"/>
          <w:szCs w:val="32"/>
        </w:rPr>
      </w:pPr>
    </w:p>
    <w:p w14:paraId="1B2AE679">
      <w:pPr>
        <w:autoSpaceDE w:val="0"/>
        <w:autoSpaceDN w:val="0"/>
        <w:adjustRightInd w:val="0"/>
        <w:jc w:val="left"/>
        <w:rPr>
          <w:rFonts w:hint="default" w:ascii="Times New Roman" w:hAnsi="Times New Roman" w:eastAsia="仿宋_GB2312" w:cs="Times New Roman"/>
          <w:b/>
          <w:bCs/>
          <w:sz w:val="32"/>
          <w:szCs w:val="32"/>
        </w:rPr>
      </w:pPr>
    </w:p>
    <w:p w14:paraId="4E4B4007">
      <w:pPr>
        <w:pStyle w:val="2"/>
        <w:rPr>
          <w:rFonts w:hint="default" w:ascii="Times New Roman" w:hAnsi="Times New Roman" w:eastAsia="仿宋_GB2312" w:cs="Times New Roman"/>
        </w:rPr>
      </w:pPr>
    </w:p>
    <w:p w14:paraId="10111399">
      <w:pPr>
        <w:rPr>
          <w:rFonts w:hint="default" w:ascii="Times New Roman" w:hAnsi="Times New Roman" w:eastAsia="仿宋_GB2312" w:cs="Times New Roman"/>
          <w:sz w:val="24"/>
        </w:rPr>
      </w:pPr>
      <w:r>
        <w:rPr>
          <w:rFonts w:hint="default" w:ascii="Times New Roman" w:hAnsi="Times New Roman" w:eastAsia="仿宋_GB2312" w:cs="Times New Roman"/>
          <w:sz w:val="24"/>
        </w:rPr>
        <w:br w:type="page"/>
      </w:r>
    </w:p>
    <w:p w14:paraId="1F652D48">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合同附件1：</w:t>
      </w:r>
    </w:p>
    <w:tbl>
      <w:tblPr>
        <w:tblStyle w:val="6"/>
        <w:tblW w:w="5000" w:type="pct"/>
        <w:tblInd w:w="0" w:type="dxa"/>
        <w:tblLayout w:type="autofit"/>
        <w:tblCellMar>
          <w:top w:w="0" w:type="dxa"/>
          <w:left w:w="108" w:type="dxa"/>
          <w:bottom w:w="0" w:type="dxa"/>
          <w:right w:w="108" w:type="dxa"/>
        </w:tblCellMar>
      </w:tblPr>
      <w:tblGrid>
        <w:gridCol w:w="1571"/>
        <w:gridCol w:w="2299"/>
        <w:gridCol w:w="2524"/>
        <w:gridCol w:w="2128"/>
      </w:tblGrid>
      <w:tr w14:paraId="0D0AB9EF">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33738EEE">
            <w:pPr>
              <w:widowControl/>
              <w:jc w:val="center"/>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政府采购项目货物（服务）验收入库报告单</w:t>
            </w:r>
          </w:p>
        </w:tc>
      </w:tr>
      <w:tr w14:paraId="3F467F72">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15A9D7A2">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48A4E7C9">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555CA62E">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7B8C619E">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2CDA7A1A">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74B14EB5">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177AFDEF">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7D29C4F2">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single" w:color="auto" w:sz="4" w:space="0"/>
              <w:right w:val="single" w:color="auto" w:sz="4" w:space="0"/>
            </w:tcBorders>
            <w:noWrap/>
            <w:vAlign w:val="center"/>
          </w:tcPr>
          <w:p w14:paraId="1CA0BC56">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合同金额</w:t>
            </w:r>
          </w:p>
        </w:tc>
        <w:tc>
          <w:tcPr>
            <w:tcW w:w="1248" w:type="pct"/>
            <w:tcBorders>
              <w:top w:val="nil"/>
              <w:left w:val="nil"/>
              <w:bottom w:val="single" w:color="auto" w:sz="4" w:space="0"/>
              <w:right w:val="single" w:color="auto" w:sz="8" w:space="0"/>
            </w:tcBorders>
            <w:noWrap/>
            <w:vAlign w:val="center"/>
          </w:tcPr>
          <w:p w14:paraId="55DB0F83">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w:t>
            </w:r>
          </w:p>
        </w:tc>
      </w:tr>
      <w:tr w14:paraId="60775E10">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3EF359C2">
            <w:pPr>
              <w:widowControl/>
              <w:jc w:val="left"/>
              <w:rPr>
                <w:rFonts w:hint="default" w:ascii="Times New Roman" w:hAnsi="Times New Roman" w:eastAsia="仿宋_GB2312" w:cs="Times New Roman"/>
                <w:b/>
                <w:bCs/>
                <w:kern w:val="0"/>
                <w:sz w:val="24"/>
              </w:rPr>
            </w:pPr>
          </w:p>
        </w:tc>
        <w:tc>
          <w:tcPr>
            <w:tcW w:w="1349" w:type="pct"/>
            <w:vMerge w:val="continue"/>
            <w:tcBorders>
              <w:top w:val="nil"/>
              <w:left w:val="single" w:color="auto" w:sz="4" w:space="0"/>
              <w:bottom w:val="single" w:color="auto" w:sz="4" w:space="0"/>
              <w:right w:val="single" w:color="auto" w:sz="4" w:space="0"/>
            </w:tcBorders>
            <w:vAlign w:val="center"/>
          </w:tcPr>
          <w:p w14:paraId="3F8461AF">
            <w:pPr>
              <w:widowControl/>
              <w:jc w:val="left"/>
              <w:rPr>
                <w:rFonts w:hint="default" w:ascii="Times New Roman" w:hAnsi="Times New Roman" w:eastAsia="仿宋_GB2312" w:cs="Times New Roman"/>
                <w:kern w:val="0"/>
                <w:sz w:val="24"/>
              </w:rPr>
            </w:pPr>
          </w:p>
        </w:tc>
        <w:tc>
          <w:tcPr>
            <w:tcW w:w="1481" w:type="pct"/>
            <w:tcBorders>
              <w:top w:val="nil"/>
              <w:left w:val="nil"/>
              <w:bottom w:val="single" w:color="auto" w:sz="4" w:space="0"/>
              <w:right w:val="single" w:color="auto" w:sz="4" w:space="0"/>
            </w:tcBorders>
            <w:noWrap/>
            <w:vAlign w:val="center"/>
          </w:tcPr>
          <w:p w14:paraId="3E47D1FC">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验收时间/地点</w:t>
            </w:r>
          </w:p>
        </w:tc>
        <w:tc>
          <w:tcPr>
            <w:tcW w:w="1248" w:type="pct"/>
            <w:tcBorders>
              <w:top w:val="nil"/>
              <w:left w:val="nil"/>
              <w:bottom w:val="single" w:color="auto" w:sz="4" w:space="0"/>
              <w:right w:val="single" w:color="auto" w:sz="8" w:space="0"/>
            </w:tcBorders>
            <w:noWrap/>
            <w:vAlign w:val="center"/>
          </w:tcPr>
          <w:p w14:paraId="3CC90D7D">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2003FCC4">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438473FF">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6115AFDA">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13F43FC0">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17945C70">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开户行</w:t>
            </w:r>
          </w:p>
        </w:tc>
        <w:tc>
          <w:tcPr>
            <w:tcW w:w="1349" w:type="pct"/>
            <w:tcBorders>
              <w:top w:val="nil"/>
              <w:left w:val="nil"/>
              <w:bottom w:val="single" w:color="auto" w:sz="4" w:space="0"/>
              <w:right w:val="single" w:color="auto" w:sz="4" w:space="0"/>
            </w:tcBorders>
            <w:noWrap/>
            <w:vAlign w:val="center"/>
          </w:tcPr>
          <w:p w14:paraId="47547A9C">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single" w:color="auto" w:sz="4" w:space="0"/>
              <w:right w:val="single" w:color="auto" w:sz="4" w:space="0"/>
            </w:tcBorders>
            <w:noWrap/>
            <w:vAlign w:val="center"/>
          </w:tcPr>
          <w:p w14:paraId="7B5C9119">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账号</w:t>
            </w:r>
          </w:p>
        </w:tc>
        <w:tc>
          <w:tcPr>
            <w:tcW w:w="1248" w:type="pct"/>
            <w:tcBorders>
              <w:top w:val="nil"/>
              <w:left w:val="nil"/>
              <w:bottom w:val="single" w:color="auto" w:sz="4" w:space="0"/>
              <w:right w:val="single" w:color="auto" w:sz="8" w:space="0"/>
            </w:tcBorders>
            <w:noWrap/>
            <w:vAlign w:val="center"/>
          </w:tcPr>
          <w:p w14:paraId="483D518A">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55F9F4C3">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107D72CC">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联系人</w:t>
            </w:r>
          </w:p>
        </w:tc>
        <w:tc>
          <w:tcPr>
            <w:tcW w:w="1349" w:type="pct"/>
            <w:tcBorders>
              <w:top w:val="nil"/>
              <w:left w:val="nil"/>
              <w:bottom w:val="nil"/>
              <w:right w:val="single" w:color="auto" w:sz="4" w:space="0"/>
            </w:tcBorders>
            <w:noWrap/>
            <w:vAlign w:val="center"/>
          </w:tcPr>
          <w:p w14:paraId="54E66493">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nil"/>
              <w:right w:val="single" w:color="auto" w:sz="4" w:space="0"/>
            </w:tcBorders>
            <w:noWrap/>
            <w:vAlign w:val="center"/>
          </w:tcPr>
          <w:p w14:paraId="7E0E7D49">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电话</w:t>
            </w:r>
          </w:p>
        </w:tc>
        <w:tc>
          <w:tcPr>
            <w:tcW w:w="1248" w:type="pct"/>
            <w:tcBorders>
              <w:top w:val="nil"/>
              <w:left w:val="nil"/>
              <w:bottom w:val="nil"/>
              <w:right w:val="single" w:color="auto" w:sz="8" w:space="0"/>
            </w:tcBorders>
            <w:noWrap/>
            <w:vAlign w:val="center"/>
          </w:tcPr>
          <w:p w14:paraId="19772EB4">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6275F289">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43AF154B">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28C79E92">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使用单位验收意见：（盖章）</w:t>
            </w:r>
          </w:p>
          <w:p w14:paraId="6DBC0F1E">
            <w:pPr>
              <w:rPr>
                <w:rFonts w:hint="default" w:ascii="Times New Roman" w:hAnsi="Times New Roman" w:eastAsia="仿宋_GB2312" w:cs="Times New Roman"/>
                <w:sz w:val="24"/>
              </w:rPr>
            </w:pPr>
          </w:p>
        </w:tc>
      </w:tr>
      <w:tr w14:paraId="61E9F311">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3111F727">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签字：</w:t>
            </w:r>
          </w:p>
        </w:tc>
        <w:tc>
          <w:tcPr>
            <w:tcW w:w="1349" w:type="pct"/>
            <w:tcBorders>
              <w:top w:val="nil"/>
              <w:left w:val="nil"/>
              <w:bottom w:val="nil"/>
              <w:right w:val="nil"/>
            </w:tcBorders>
            <w:noWrap/>
            <w:vAlign w:val="center"/>
          </w:tcPr>
          <w:p w14:paraId="1FD3E7D9">
            <w:pPr>
              <w:widowControl/>
              <w:jc w:val="center"/>
              <w:rPr>
                <w:rFonts w:hint="default" w:ascii="Times New Roman" w:hAnsi="Times New Roman" w:eastAsia="仿宋_GB2312" w:cs="Times New Roman"/>
                <w:b/>
                <w:bCs/>
                <w:kern w:val="0"/>
                <w:sz w:val="24"/>
              </w:rPr>
            </w:pPr>
          </w:p>
        </w:tc>
        <w:tc>
          <w:tcPr>
            <w:tcW w:w="1481" w:type="pct"/>
            <w:tcBorders>
              <w:top w:val="nil"/>
              <w:left w:val="single" w:color="auto" w:sz="4" w:space="0"/>
              <w:bottom w:val="nil"/>
              <w:right w:val="nil"/>
            </w:tcBorders>
            <w:noWrap/>
            <w:vAlign w:val="center"/>
          </w:tcPr>
          <w:p w14:paraId="2EB41D91">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签字：</w:t>
            </w:r>
          </w:p>
        </w:tc>
        <w:tc>
          <w:tcPr>
            <w:tcW w:w="1248" w:type="pct"/>
            <w:tcBorders>
              <w:top w:val="nil"/>
              <w:left w:val="nil"/>
              <w:bottom w:val="nil"/>
              <w:right w:val="single" w:color="auto" w:sz="8" w:space="0"/>
            </w:tcBorders>
          </w:tcPr>
          <w:p w14:paraId="40FD4FC0">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w:t>
            </w:r>
          </w:p>
        </w:tc>
      </w:tr>
      <w:tr w14:paraId="6966CED0">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4B61ECD8">
            <w:pPr>
              <w:widowControl/>
              <w:jc w:val="lef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　</w:t>
            </w:r>
          </w:p>
        </w:tc>
        <w:tc>
          <w:tcPr>
            <w:tcW w:w="1349" w:type="pct"/>
            <w:tcBorders>
              <w:top w:val="nil"/>
              <w:left w:val="nil"/>
              <w:bottom w:val="single" w:color="auto" w:sz="4" w:space="0"/>
              <w:right w:val="nil"/>
            </w:tcBorders>
            <w:vAlign w:val="bottom"/>
          </w:tcPr>
          <w:p w14:paraId="77A25686">
            <w:pPr>
              <w:widowControl/>
              <w:jc w:val="righ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年     月   日</w:t>
            </w:r>
          </w:p>
        </w:tc>
        <w:tc>
          <w:tcPr>
            <w:tcW w:w="1481" w:type="pct"/>
            <w:tcBorders>
              <w:top w:val="nil"/>
              <w:left w:val="single" w:color="auto" w:sz="4" w:space="0"/>
              <w:bottom w:val="single" w:color="auto" w:sz="4" w:space="0"/>
              <w:right w:val="nil"/>
            </w:tcBorders>
            <w:noWrap/>
            <w:vAlign w:val="center"/>
          </w:tcPr>
          <w:p w14:paraId="3ED84680">
            <w:pPr>
              <w:widowControl/>
              <w:jc w:val="lef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　</w:t>
            </w:r>
          </w:p>
        </w:tc>
        <w:tc>
          <w:tcPr>
            <w:tcW w:w="1248" w:type="pct"/>
            <w:tcBorders>
              <w:top w:val="nil"/>
              <w:left w:val="nil"/>
              <w:bottom w:val="single" w:color="auto" w:sz="4" w:space="0"/>
              <w:right w:val="single" w:color="auto" w:sz="8" w:space="0"/>
            </w:tcBorders>
            <w:vAlign w:val="bottom"/>
          </w:tcPr>
          <w:p w14:paraId="7E23EB82">
            <w:pPr>
              <w:widowControl/>
              <w:jc w:val="righ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年   月   日</w:t>
            </w:r>
          </w:p>
        </w:tc>
      </w:tr>
      <w:tr w14:paraId="5B3E8AD2">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08D79D9C">
            <w:pPr>
              <w:widowControl/>
              <w:jc w:val="center"/>
              <w:rPr>
                <w:rFonts w:hint="default" w:ascii="Times New Roman" w:hAnsi="Times New Roman" w:eastAsia="仿宋_GB2312" w:cs="Times New Roman"/>
                <w:b/>
                <w:bCs/>
                <w:kern w:val="0"/>
                <w:sz w:val="22"/>
                <w:szCs w:val="22"/>
              </w:rPr>
            </w:pPr>
            <w:r>
              <w:rPr>
                <w:rFonts w:hint="default" w:ascii="Times New Roman" w:hAnsi="Times New Roman" w:eastAsia="仿宋_GB2312" w:cs="Times New Roman"/>
                <w:b/>
                <w:bCs/>
                <w:kern w:val="0"/>
                <w:sz w:val="22"/>
                <w:szCs w:val="22"/>
              </w:rPr>
              <w:t>采购内容</w:t>
            </w:r>
          </w:p>
        </w:tc>
      </w:tr>
      <w:tr w14:paraId="397E9B62">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559E4C8B">
            <w:pPr>
              <w:widowControl/>
              <w:jc w:val="center"/>
              <w:rPr>
                <w:rFonts w:hint="default" w:ascii="Times New Roman" w:hAnsi="Times New Roman" w:eastAsia="仿宋_GB2312" w:cs="Times New Roman"/>
                <w:b/>
                <w:bCs/>
                <w:kern w:val="0"/>
                <w:sz w:val="28"/>
                <w:szCs w:val="28"/>
              </w:rPr>
            </w:pPr>
            <w:r>
              <w:rPr>
                <w:rFonts w:hint="default" w:ascii="Times New Roman" w:hAnsi="Times New Roman" w:eastAsia="仿宋_GB2312" w:cs="Times New Roman"/>
                <w:b/>
                <w:bCs/>
                <w:kern w:val="0"/>
                <w:sz w:val="28"/>
                <w:szCs w:val="28"/>
              </w:rPr>
              <w:t>采购内容请列明品目、规格、型号、数量、单价、总价</w:t>
            </w:r>
          </w:p>
        </w:tc>
      </w:tr>
    </w:tbl>
    <w:p w14:paraId="4A425761">
      <w:pPr>
        <w:pStyle w:val="2"/>
        <w:rPr>
          <w:rFonts w:hint="default" w:ascii="Times New Roman" w:hAnsi="Times New Roman" w:eastAsia="仿宋_GB2312" w:cs="Times New Roman"/>
          <w:sz w:val="24"/>
        </w:rPr>
      </w:pPr>
      <w:r>
        <w:rPr>
          <w:rFonts w:hint="default" w:ascii="Times New Roman" w:hAnsi="Times New Roman" w:eastAsia="仿宋_GB2312" w:cs="Times New Roman"/>
          <w:sz w:val="24"/>
        </w:rPr>
        <w:br w:type="page"/>
      </w:r>
    </w:p>
    <w:p w14:paraId="02527A2B">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合同附件</w:t>
      </w:r>
      <w:r>
        <w:rPr>
          <w:rFonts w:hint="eastAsia" w:ascii="Times New Roman" w:hAnsi="Times New Roman" w:eastAsia="仿宋_GB2312" w:cs="Times New Roman"/>
          <w:sz w:val="24"/>
          <w:lang w:val="en-US" w:eastAsia="zh-CN"/>
        </w:rPr>
        <w:t>2</w:t>
      </w:r>
      <w:r>
        <w:rPr>
          <w:rFonts w:hint="default" w:ascii="Times New Roman" w:hAnsi="Times New Roman" w:eastAsia="仿宋_GB2312" w:cs="Times New Roman"/>
          <w:sz w:val="24"/>
        </w:rPr>
        <w:t>：</w:t>
      </w:r>
    </w:p>
    <w:p w14:paraId="27481F49">
      <w:pPr>
        <w:ind w:firstLine="1928" w:firstLineChars="600"/>
        <w:rPr>
          <w:rFonts w:hint="eastAsia" w:ascii="新宋体" w:hAnsi="新宋体" w:eastAsia="新宋体" w:cs="新宋体"/>
          <w:b/>
          <w:bCs/>
          <w:color w:val="auto"/>
          <w:kern w:val="0"/>
          <w:sz w:val="32"/>
          <w:szCs w:val="32"/>
          <w:highlight w:val="none"/>
          <w:lang w:val="en-US" w:eastAsia="zh-CN"/>
        </w:rPr>
      </w:pPr>
      <w:r>
        <w:rPr>
          <w:rFonts w:hint="eastAsia" w:ascii="新宋体" w:hAnsi="新宋体" w:eastAsia="新宋体" w:cs="新宋体"/>
          <w:b/>
          <w:bCs/>
          <w:color w:val="auto"/>
          <w:kern w:val="0"/>
          <w:sz w:val="32"/>
          <w:szCs w:val="32"/>
          <w:highlight w:val="none"/>
          <w:lang w:val="en-US" w:eastAsia="zh-CN"/>
        </w:rPr>
        <w:t>经开院区纯水机房运维服务考核表</w:t>
      </w:r>
    </w:p>
    <w:tbl>
      <w:tblPr>
        <w:tblStyle w:val="7"/>
        <w:tblW w:w="52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4341"/>
        <w:gridCol w:w="2054"/>
        <w:gridCol w:w="735"/>
        <w:gridCol w:w="868"/>
      </w:tblGrid>
      <w:tr w14:paraId="591B7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tcPr>
          <w:p w14:paraId="36DB4A1A">
            <w:pPr>
              <w:keepNext w:val="0"/>
              <w:keepLines w:val="0"/>
              <w:pageBreakBefore w:val="0"/>
              <w:widowControl w:val="0"/>
              <w:kinsoku/>
              <w:wordWrap/>
              <w:overflowPunct/>
              <w:topLinePunct w:val="0"/>
              <w:bidi w:val="0"/>
              <w:adjustRightInd/>
              <w:snapToGrid/>
              <w:spacing w:line="270" w:lineRule="exact"/>
              <w:ind w:left="0" w:leftChars="0" w:right="0" w:rightChars="0" w:firstLine="0" w:firstLineChars="0"/>
              <w:jc w:val="center"/>
              <w:textAlignment w:val="auto"/>
              <w:rPr>
                <w:rFonts w:hint="eastAsia"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考核项目</w:t>
            </w:r>
          </w:p>
        </w:tc>
        <w:tc>
          <w:tcPr>
            <w:tcW w:w="2410" w:type="pct"/>
          </w:tcPr>
          <w:p w14:paraId="18C88349">
            <w:pPr>
              <w:keepNext w:val="0"/>
              <w:keepLines w:val="0"/>
              <w:pageBreakBefore w:val="0"/>
              <w:widowControl w:val="0"/>
              <w:kinsoku/>
              <w:wordWrap/>
              <w:overflowPunct/>
              <w:topLinePunct w:val="0"/>
              <w:bidi w:val="0"/>
              <w:adjustRightInd/>
              <w:snapToGrid/>
              <w:spacing w:line="270" w:lineRule="exact"/>
              <w:ind w:left="0" w:leftChars="0" w:right="0" w:rightChars="0" w:firstLine="0" w:firstLineChars="0"/>
              <w:jc w:val="center"/>
              <w:textAlignment w:val="auto"/>
              <w:rPr>
                <w:rFonts w:hint="eastAsia"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考核细项</w:t>
            </w:r>
          </w:p>
        </w:tc>
        <w:tc>
          <w:tcPr>
            <w:tcW w:w="1140" w:type="pct"/>
          </w:tcPr>
          <w:p w14:paraId="0E2BC3B2">
            <w:pPr>
              <w:keepNext w:val="0"/>
              <w:keepLines w:val="0"/>
              <w:pageBreakBefore w:val="0"/>
              <w:widowControl w:val="0"/>
              <w:kinsoku/>
              <w:wordWrap/>
              <w:overflowPunct/>
              <w:topLinePunct w:val="0"/>
              <w:bidi w:val="0"/>
              <w:adjustRightInd/>
              <w:snapToGrid/>
              <w:spacing w:line="270" w:lineRule="exact"/>
              <w:ind w:left="0" w:leftChars="0" w:right="0" w:rightChars="0" w:firstLine="0" w:firstLineChars="0"/>
              <w:jc w:val="center"/>
              <w:textAlignment w:val="auto"/>
              <w:rPr>
                <w:rFonts w:hint="eastAsia"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考核方式</w:t>
            </w:r>
          </w:p>
        </w:tc>
        <w:tc>
          <w:tcPr>
            <w:tcW w:w="408" w:type="pct"/>
          </w:tcPr>
          <w:p w14:paraId="18A06FBE">
            <w:pPr>
              <w:keepNext w:val="0"/>
              <w:keepLines w:val="0"/>
              <w:pageBreakBefore w:val="0"/>
              <w:widowControl w:val="0"/>
              <w:kinsoku/>
              <w:wordWrap/>
              <w:overflowPunct/>
              <w:topLinePunct w:val="0"/>
              <w:bidi w:val="0"/>
              <w:adjustRightInd/>
              <w:snapToGrid/>
              <w:spacing w:line="270" w:lineRule="exact"/>
              <w:ind w:left="0" w:leftChars="0" w:right="0" w:rightChars="0" w:firstLine="0" w:firstLineChars="0"/>
              <w:jc w:val="center"/>
              <w:textAlignment w:val="auto"/>
              <w:rPr>
                <w:rFonts w:hint="eastAsia"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得分</w:t>
            </w:r>
          </w:p>
        </w:tc>
        <w:tc>
          <w:tcPr>
            <w:tcW w:w="482" w:type="pct"/>
          </w:tcPr>
          <w:p w14:paraId="574179BD">
            <w:pPr>
              <w:keepNext w:val="0"/>
              <w:keepLines w:val="0"/>
              <w:pageBreakBefore w:val="0"/>
              <w:widowControl w:val="0"/>
              <w:kinsoku/>
              <w:wordWrap/>
              <w:overflowPunct/>
              <w:topLinePunct w:val="0"/>
              <w:bidi w:val="0"/>
              <w:adjustRightInd/>
              <w:snapToGrid/>
              <w:spacing w:line="270" w:lineRule="exact"/>
              <w:ind w:left="0" w:leftChars="0" w:right="0" w:rightChars="0" w:firstLine="0" w:firstLineChars="0"/>
              <w:jc w:val="center"/>
              <w:textAlignment w:val="auto"/>
              <w:rPr>
                <w:rFonts w:hint="eastAsia"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考核人</w:t>
            </w:r>
          </w:p>
        </w:tc>
      </w:tr>
      <w:tr w14:paraId="18B2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58" w:type="pct"/>
            <w:vMerge w:val="restart"/>
          </w:tcPr>
          <w:p w14:paraId="5AF558A3">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水质合格率与稳定性（25分）</w:t>
            </w:r>
          </w:p>
        </w:tc>
        <w:tc>
          <w:tcPr>
            <w:tcW w:w="2410" w:type="pct"/>
          </w:tcPr>
          <w:p w14:paraId="491BE218">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1.细菌检测合格率（满分5分）</w:t>
            </w:r>
          </w:p>
          <w:p w14:paraId="77627F22">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合格率100%不扣分；合格率95%以上扣1分；合格率90%-95%扣2分；合格率85%-90%以下扣3分；合格率80%-85%以下扣4分；合格率不到80%扣5分。</w:t>
            </w:r>
          </w:p>
        </w:tc>
        <w:tc>
          <w:tcPr>
            <w:tcW w:w="1140" w:type="pct"/>
          </w:tcPr>
          <w:p w14:paraId="70B5BFA9">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统计服务期间第三方检测机构出具检验报告单合格率</w:t>
            </w:r>
          </w:p>
        </w:tc>
        <w:tc>
          <w:tcPr>
            <w:tcW w:w="408" w:type="pct"/>
          </w:tcPr>
          <w:p w14:paraId="270C8719">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6B1E282B">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7DE6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466EB325">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1E215395">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2.内毒素检测合格率（满分5分）</w:t>
            </w:r>
          </w:p>
          <w:p w14:paraId="1629054E">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合格率100%不扣分；合格率95%以上扣1分；合格率90%-95%扣2分；合格率85%-90%以下扣3分；合格率80%-85%以下扣4分；合格率不到80%扣5分</w:t>
            </w:r>
          </w:p>
        </w:tc>
        <w:tc>
          <w:tcPr>
            <w:tcW w:w="1140" w:type="pct"/>
          </w:tcPr>
          <w:p w14:paraId="661022DD">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统计服务期间第三方检测机构出具检验报告单合格率</w:t>
            </w:r>
          </w:p>
        </w:tc>
        <w:tc>
          <w:tcPr>
            <w:tcW w:w="408" w:type="pct"/>
          </w:tcPr>
          <w:p w14:paraId="6A6733F7">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09D029BA">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7FCC2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6AB0B63F">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02530934">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3.电导率检测合格率（满分5分）</w:t>
            </w:r>
          </w:p>
          <w:p w14:paraId="77C92667">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合格率100%不扣分；合格率95%以上扣1分；合格率90%-95%扣2分；合格率85%-90%以下扣3分；合格率80%-85%以下扣4分；合格率不到80%扣5分</w:t>
            </w:r>
          </w:p>
        </w:tc>
        <w:tc>
          <w:tcPr>
            <w:tcW w:w="1140" w:type="pct"/>
          </w:tcPr>
          <w:p w14:paraId="24D9A3F2">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统计服务期间实测电导率合格率</w:t>
            </w:r>
          </w:p>
        </w:tc>
        <w:tc>
          <w:tcPr>
            <w:tcW w:w="408" w:type="pct"/>
          </w:tcPr>
          <w:p w14:paraId="2C7FF0FF">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717657E5">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2534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5E576233">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59E46A4C">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4.化学污染物检测合格率（满分5分）</w:t>
            </w:r>
          </w:p>
          <w:p w14:paraId="2CAF7B24">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合格率100%不扣分；合格率低于100%扣5分；</w:t>
            </w:r>
          </w:p>
        </w:tc>
        <w:tc>
          <w:tcPr>
            <w:tcW w:w="1140" w:type="pct"/>
          </w:tcPr>
          <w:p w14:paraId="56FCF26F">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统计服务期间第三方检测机构出具检验报告单合格率</w:t>
            </w:r>
          </w:p>
        </w:tc>
        <w:tc>
          <w:tcPr>
            <w:tcW w:w="408" w:type="pct"/>
          </w:tcPr>
          <w:p w14:paraId="40FE2E81">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0928642E">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45CD5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22287EBC">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35A6BAE9">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5.供水压力/流量稳定性合格率（满分5分）</w:t>
            </w:r>
          </w:p>
          <w:p w14:paraId="39C674CA">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合格率100%不扣分；合格率95%以上扣1分；合格率90%-95%扣2分；合格率85%-90%以下扣3分；合格率80%-85%以下扣4分；合格率不到80%扣5分。</w:t>
            </w:r>
          </w:p>
        </w:tc>
        <w:tc>
          <w:tcPr>
            <w:tcW w:w="1140" w:type="pct"/>
          </w:tcPr>
          <w:p w14:paraId="53FA47D2">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统计服务期间实测供水压力/流量合格率</w:t>
            </w:r>
          </w:p>
        </w:tc>
        <w:tc>
          <w:tcPr>
            <w:tcW w:w="408" w:type="pct"/>
          </w:tcPr>
          <w:p w14:paraId="4B76A26B">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107F0A27">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3C78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restart"/>
          </w:tcPr>
          <w:p w14:paraId="538E24C4">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日常运行数据与记录规范（25分）</w:t>
            </w:r>
          </w:p>
        </w:tc>
        <w:tc>
          <w:tcPr>
            <w:tcW w:w="2410" w:type="pct"/>
          </w:tcPr>
          <w:p w14:paraId="22C0BF2F">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lang w:val="en-US" w:eastAsia="zh-CN"/>
              </w:rPr>
              <w:t>6.纯水机房每周是否进行清洁并巡检记录机房环境温湿度、设备有无漏水、水泵声音是否正常</w:t>
            </w:r>
            <w:r>
              <w:rPr>
                <w:rFonts w:hint="eastAsia" w:ascii="仿宋" w:hAnsi="仿宋" w:eastAsia="仿宋" w:cs="仿宋"/>
                <w:b w:val="0"/>
                <w:bCs w:val="0"/>
                <w:color w:val="auto"/>
                <w:kern w:val="0"/>
                <w:sz w:val="24"/>
                <w:szCs w:val="24"/>
                <w:highlight w:val="none"/>
                <w:vertAlign w:val="baseline"/>
                <w:lang w:val="en-US" w:eastAsia="zh-CN"/>
              </w:rPr>
              <w:t>（满分4分）没有扣4分。</w:t>
            </w:r>
          </w:p>
        </w:tc>
        <w:tc>
          <w:tcPr>
            <w:tcW w:w="1140" w:type="pct"/>
          </w:tcPr>
          <w:p w14:paraId="3BA5FEB6">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统计服务期间运行数据登记表</w:t>
            </w:r>
          </w:p>
        </w:tc>
        <w:tc>
          <w:tcPr>
            <w:tcW w:w="408" w:type="pct"/>
          </w:tcPr>
          <w:p w14:paraId="702C0743">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7A7A48DF">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6376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2A02B57F">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40D577A1">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color w:val="auto"/>
                <w:kern w:val="0"/>
                <w:sz w:val="24"/>
                <w:szCs w:val="24"/>
                <w:highlight w:val="none"/>
                <w:lang w:val="en-US" w:eastAsia="zh-CN"/>
              </w:rPr>
              <w:t>7.每周各压力表的压力值是否正常范围内并记录原水压力、产水流量、废水流量、产水电导率/电阻率和水温等运行参数</w:t>
            </w:r>
            <w:r>
              <w:rPr>
                <w:rFonts w:hint="eastAsia" w:ascii="仿宋" w:hAnsi="仿宋" w:eastAsia="仿宋" w:cs="仿宋"/>
                <w:b w:val="0"/>
                <w:bCs w:val="0"/>
                <w:color w:val="auto"/>
                <w:kern w:val="0"/>
                <w:sz w:val="24"/>
                <w:szCs w:val="24"/>
                <w:highlight w:val="none"/>
                <w:vertAlign w:val="baseline"/>
                <w:lang w:val="en-US" w:eastAsia="zh-CN"/>
              </w:rPr>
              <w:t>（满分6分）没有扣6分。</w:t>
            </w:r>
          </w:p>
        </w:tc>
        <w:tc>
          <w:tcPr>
            <w:tcW w:w="1140" w:type="pct"/>
          </w:tcPr>
          <w:p w14:paraId="623D8B38">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统计服务期间运行数据登记表</w:t>
            </w:r>
          </w:p>
        </w:tc>
        <w:tc>
          <w:tcPr>
            <w:tcW w:w="408" w:type="pct"/>
          </w:tcPr>
          <w:p w14:paraId="75C1862E">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75D2E74F">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6C44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53A7A5D5">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29920D20">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8.是否</w:t>
            </w:r>
            <w:r>
              <w:rPr>
                <w:rFonts w:hint="eastAsia" w:ascii="仿宋" w:hAnsi="仿宋" w:eastAsia="仿宋" w:cs="仿宋"/>
                <w:color w:val="auto"/>
                <w:kern w:val="0"/>
                <w:sz w:val="24"/>
                <w:szCs w:val="24"/>
                <w:highlight w:val="none"/>
                <w:lang w:val="en-US" w:eastAsia="zh-CN"/>
              </w:rPr>
              <w:t>专人负责再生盐日常使用</w:t>
            </w:r>
            <w:r>
              <w:rPr>
                <w:rFonts w:hint="eastAsia" w:ascii="仿宋" w:hAnsi="仿宋" w:eastAsia="仿宋" w:cs="仿宋"/>
                <w:b w:val="0"/>
                <w:bCs w:val="0"/>
                <w:color w:val="auto"/>
                <w:kern w:val="0"/>
                <w:sz w:val="24"/>
                <w:szCs w:val="24"/>
                <w:highlight w:val="none"/>
                <w:vertAlign w:val="baseline"/>
                <w:lang w:val="en-US" w:eastAsia="zh-CN"/>
              </w:rPr>
              <w:t>（满分8分）没有扣8分。</w:t>
            </w:r>
          </w:p>
        </w:tc>
        <w:tc>
          <w:tcPr>
            <w:tcW w:w="1140" w:type="pct"/>
          </w:tcPr>
          <w:p w14:paraId="35EF93E8">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统计服务期间运行数据登记表</w:t>
            </w:r>
          </w:p>
        </w:tc>
        <w:tc>
          <w:tcPr>
            <w:tcW w:w="408" w:type="pct"/>
          </w:tcPr>
          <w:p w14:paraId="3D3F566E">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233EADF2">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4157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1B902BF9">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71E64DCA">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9.</w:t>
            </w:r>
            <w:r>
              <w:rPr>
                <w:rFonts w:hint="eastAsia" w:ascii="仿宋" w:hAnsi="仿宋" w:eastAsia="仿宋" w:cs="仿宋"/>
                <w:color w:val="auto"/>
                <w:kern w:val="0"/>
                <w:sz w:val="24"/>
                <w:szCs w:val="24"/>
                <w:highlight w:val="none"/>
                <w:lang w:val="en-US" w:eastAsia="zh-CN"/>
              </w:rPr>
              <w:t>出现任何报警信息、参数异常波动应是否及时采取处理措施</w:t>
            </w:r>
            <w:r>
              <w:rPr>
                <w:rFonts w:hint="eastAsia" w:ascii="仿宋" w:hAnsi="仿宋" w:eastAsia="仿宋" w:cs="仿宋"/>
                <w:b w:val="0"/>
                <w:bCs w:val="0"/>
                <w:color w:val="auto"/>
                <w:kern w:val="0"/>
                <w:sz w:val="24"/>
                <w:szCs w:val="24"/>
                <w:highlight w:val="none"/>
                <w:vertAlign w:val="baseline"/>
                <w:lang w:val="en-US" w:eastAsia="zh-CN"/>
              </w:rPr>
              <w:t>（满分4分）没有扣4分。</w:t>
            </w:r>
          </w:p>
        </w:tc>
        <w:tc>
          <w:tcPr>
            <w:tcW w:w="1140" w:type="pct"/>
          </w:tcPr>
          <w:p w14:paraId="5C1C5AA4">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统计服务期间运行数据登记表</w:t>
            </w:r>
          </w:p>
        </w:tc>
        <w:tc>
          <w:tcPr>
            <w:tcW w:w="408" w:type="pct"/>
          </w:tcPr>
          <w:p w14:paraId="6DC81F03">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0067ADC8">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35C24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555EFD0E">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1942E5EE">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10.</w:t>
            </w:r>
            <w:r>
              <w:rPr>
                <w:rFonts w:hint="eastAsia" w:ascii="仿宋" w:hAnsi="仿宋" w:eastAsia="仿宋" w:cs="仿宋"/>
                <w:color w:val="auto"/>
                <w:kern w:val="0"/>
                <w:sz w:val="24"/>
                <w:szCs w:val="24"/>
                <w:highlight w:val="none"/>
                <w:lang w:val="en-US" w:eastAsia="zh-CN"/>
              </w:rPr>
              <w:t>每季度是否对纯水机房所有设备表面、水箱、管道接口等易滋生细菌的部位进行高水平化学消毒；</w:t>
            </w:r>
            <w:r>
              <w:rPr>
                <w:rFonts w:hint="eastAsia" w:ascii="仿宋" w:hAnsi="仿宋" w:eastAsia="仿宋" w:cs="仿宋"/>
                <w:b w:val="0"/>
                <w:bCs w:val="0"/>
                <w:color w:val="auto"/>
                <w:kern w:val="0"/>
                <w:sz w:val="24"/>
                <w:szCs w:val="24"/>
                <w:highlight w:val="none"/>
                <w:vertAlign w:val="baseline"/>
                <w:lang w:val="en-US" w:eastAsia="zh-CN"/>
              </w:rPr>
              <w:t>（满分3分）没有扣3分。</w:t>
            </w:r>
          </w:p>
        </w:tc>
        <w:tc>
          <w:tcPr>
            <w:tcW w:w="1140" w:type="pct"/>
          </w:tcPr>
          <w:p w14:paraId="5CD9F451">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统计服务期间运行数据登记表</w:t>
            </w:r>
          </w:p>
        </w:tc>
        <w:tc>
          <w:tcPr>
            <w:tcW w:w="408" w:type="pct"/>
          </w:tcPr>
          <w:p w14:paraId="1D8A478C">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3406529A">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05BF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restart"/>
          </w:tcPr>
          <w:p w14:paraId="506B4F73">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耗材更换与记录规范（15分）</w:t>
            </w:r>
          </w:p>
        </w:tc>
        <w:tc>
          <w:tcPr>
            <w:tcW w:w="2410" w:type="pct"/>
          </w:tcPr>
          <w:p w14:paraId="0B7327D1">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11.</w:t>
            </w:r>
            <w:r>
              <w:rPr>
                <w:rFonts w:hint="eastAsia" w:ascii="仿宋" w:hAnsi="仿宋" w:eastAsia="仿宋" w:cs="仿宋"/>
                <w:color w:val="auto"/>
                <w:kern w:val="0"/>
                <w:sz w:val="24"/>
                <w:szCs w:val="24"/>
                <w:highlight w:val="none"/>
                <w:lang w:val="en-US" w:eastAsia="zh-CN"/>
              </w:rPr>
              <w:t>耗材质量是否合规并提供产品说明书、合格证、涉水产品卫生许可批件等相关资质</w:t>
            </w:r>
            <w:r>
              <w:rPr>
                <w:rFonts w:hint="eastAsia" w:ascii="仿宋" w:hAnsi="仿宋" w:eastAsia="仿宋" w:cs="仿宋"/>
                <w:b w:val="0"/>
                <w:bCs w:val="0"/>
                <w:color w:val="auto"/>
                <w:kern w:val="0"/>
                <w:sz w:val="24"/>
                <w:szCs w:val="24"/>
                <w:highlight w:val="none"/>
                <w:vertAlign w:val="baseline"/>
                <w:lang w:val="en-US" w:eastAsia="zh-CN"/>
              </w:rPr>
              <w:t>（满分6分）没有扣6分。</w:t>
            </w:r>
          </w:p>
        </w:tc>
        <w:tc>
          <w:tcPr>
            <w:tcW w:w="1140" w:type="pct"/>
          </w:tcPr>
          <w:p w14:paraId="6A82DA87">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查验耗材相关资质</w:t>
            </w:r>
          </w:p>
        </w:tc>
        <w:tc>
          <w:tcPr>
            <w:tcW w:w="408" w:type="pct"/>
          </w:tcPr>
          <w:p w14:paraId="1CE1A6C7">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16246DBC">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28C0C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3B653EF2">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4177CCBC">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12.</w:t>
            </w:r>
            <w:r>
              <w:rPr>
                <w:rFonts w:hint="eastAsia" w:ascii="仿宋" w:hAnsi="仿宋" w:eastAsia="仿宋" w:cs="仿宋"/>
                <w:color w:val="auto"/>
                <w:kern w:val="0"/>
                <w:sz w:val="24"/>
                <w:szCs w:val="24"/>
                <w:highlight w:val="none"/>
                <w:lang w:val="en-US" w:eastAsia="zh-CN"/>
              </w:rPr>
              <w:t>每项耗材是否定期更换并记录更换日期/型号/更换人</w:t>
            </w:r>
            <w:r>
              <w:rPr>
                <w:rFonts w:hint="eastAsia" w:ascii="仿宋" w:hAnsi="仿宋" w:eastAsia="仿宋" w:cs="仿宋"/>
                <w:b w:val="0"/>
                <w:bCs w:val="0"/>
                <w:color w:val="auto"/>
                <w:kern w:val="0"/>
                <w:sz w:val="24"/>
                <w:szCs w:val="24"/>
                <w:highlight w:val="none"/>
                <w:vertAlign w:val="baseline"/>
                <w:lang w:val="en-US" w:eastAsia="zh-CN"/>
              </w:rPr>
              <w:t>（满分4分）没有扣4分。</w:t>
            </w:r>
          </w:p>
        </w:tc>
        <w:tc>
          <w:tcPr>
            <w:tcW w:w="1140" w:type="pct"/>
          </w:tcPr>
          <w:p w14:paraId="2FF2A2A3">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统计服务期间耗材数据登记表</w:t>
            </w:r>
          </w:p>
        </w:tc>
        <w:tc>
          <w:tcPr>
            <w:tcW w:w="408" w:type="pct"/>
          </w:tcPr>
          <w:p w14:paraId="1E70496C">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7D4A558D">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6418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344944D5">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45DC0F29">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13.</w:t>
            </w:r>
            <w:r>
              <w:rPr>
                <w:rFonts w:hint="eastAsia" w:ascii="仿宋" w:hAnsi="仿宋" w:eastAsia="仿宋" w:cs="仿宋"/>
                <w:color w:val="auto"/>
                <w:kern w:val="0"/>
                <w:sz w:val="24"/>
                <w:szCs w:val="24"/>
                <w:highlight w:val="none"/>
                <w:lang w:val="en-US" w:eastAsia="zh-CN"/>
              </w:rPr>
              <w:t>每项耗材更换频次和所有维修是否记录存档</w:t>
            </w:r>
            <w:r>
              <w:rPr>
                <w:rFonts w:hint="eastAsia" w:ascii="仿宋" w:hAnsi="仿宋" w:eastAsia="仿宋" w:cs="仿宋"/>
                <w:b w:val="0"/>
                <w:bCs w:val="0"/>
                <w:color w:val="auto"/>
                <w:kern w:val="0"/>
                <w:sz w:val="24"/>
                <w:szCs w:val="24"/>
                <w:highlight w:val="none"/>
                <w:vertAlign w:val="baseline"/>
                <w:lang w:val="en-US" w:eastAsia="zh-CN"/>
              </w:rPr>
              <w:t>（满分5分）没有扣5分。</w:t>
            </w:r>
          </w:p>
        </w:tc>
        <w:tc>
          <w:tcPr>
            <w:tcW w:w="1140" w:type="pct"/>
          </w:tcPr>
          <w:p w14:paraId="3A0F0B55">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统计服务期间耗材数据登记表</w:t>
            </w:r>
          </w:p>
        </w:tc>
        <w:tc>
          <w:tcPr>
            <w:tcW w:w="408" w:type="pct"/>
          </w:tcPr>
          <w:p w14:paraId="45A2DC54">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65D1A3C7">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398A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restart"/>
          </w:tcPr>
          <w:p w14:paraId="36B43133">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纯水系统高水平化学消毒（15分）</w:t>
            </w:r>
          </w:p>
        </w:tc>
        <w:tc>
          <w:tcPr>
            <w:tcW w:w="2410" w:type="pct"/>
          </w:tcPr>
          <w:p w14:paraId="43A7D1D9">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14.</w:t>
            </w:r>
            <w:r>
              <w:rPr>
                <w:rFonts w:hint="eastAsia" w:ascii="仿宋" w:hAnsi="仿宋" w:eastAsia="仿宋" w:cs="仿宋"/>
                <w:sz w:val="24"/>
                <w:szCs w:val="24"/>
              </w:rPr>
              <w:t>每季度按</w:t>
            </w:r>
            <w:r>
              <w:rPr>
                <w:rFonts w:hint="eastAsia" w:ascii="仿宋" w:hAnsi="仿宋" w:eastAsia="仿宋" w:cs="仿宋"/>
                <w:sz w:val="24"/>
                <w:szCs w:val="24"/>
                <w:lang w:val="en-US" w:eastAsia="zh-CN"/>
              </w:rPr>
              <w:t>相关</w:t>
            </w:r>
            <w:r>
              <w:rPr>
                <w:rFonts w:hint="eastAsia" w:ascii="仿宋" w:hAnsi="仿宋" w:eastAsia="仿宋" w:cs="仿宋"/>
                <w:sz w:val="24"/>
                <w:szCs w:val="24"/>
              </w:rPr>
              <w:t>规范</w:t>
            </w:r>
            <w:r>
              <w:rPr>
                <w:rFonts w:hint="eastAsia" w:ascii="仿宋" w:hAnsi="仿宋" w:eastAsia="仿宋" w:cs="仿宋"/>
                <w:sz w:val="24"/>
                <w:szCs w:val="24"/>
                <w:lang w:val="en-US" w:eastAsia="zh-CN"/>
              </w:rPr>
              <w:t>对</w:t>
            </w:r>
            <w:r>
              <w:rPr>
                <w:rFonts w:hint="eastAsia" w:ascii="仿宋" w:hAnsi="仿宋" w:eastAsia="仿宋" w:cs="仿宋"/>
                <w:sz w:val="24"/>
                <w:szCs w:val="24"/>
              </w:rPr>
              <w:t>纯水设备</w:t>
            </w:r>
            <w:r>
              <w:rPr>
                <w:rFonts w:hint="eastAsia" w:ascii="仿宋" w:hAnsi="仿宋" w:eastAsia="仿宋" w:cs="仿宋"/>
                <w:sz w:val="24"/>
                <w:szCs w:val="24"/>
                <w:lang w:val="en-US" w:eastAsia="zh-CN"/>
              </w:rPr>
              <w:t>的主机、纯水罐和纯水循环管网是否进行</w:t>
            </w:r>
            <w:r>
              <w:rPr>
                <w:rFonts w:hint="eastAsia" w:ascii="仿宋" w:hAnsi="仿宋" w:eastAsia="仿宋" w:cs="仿宋"/>
                <w:sz w:val="24"/>
                <w:szCs w:val="24"/>
              </w:rPr>
              <w:t>高水平化学消毒</w:t>
            </w:r>
            <w:r>
              <w:rPr>
                <w:rFonts w:hint="eastAsia" w:ascii="仿宋" w:hAnsi="仿宋" w:eastAsia="仿宋" w:cs="仿宋"/>
                <w:b w:val="0"/>
                <w:bCs w:val="0"/>
                <w:color w:val="auto"/>
                <w:kern w:val="0"/>
                <w:sz w:val="24"/>
                <w:szCs w:val="24"/>
                <w:highlight w:val="none"/>
                <w:vertAlign w:val="baseline"/>
                <w:lang w:val="en-US" w:eastAsia="zh-CN"/>
              </w:rPr>
              <w:t>（满分6分）没有扣6分。</w:t>
            </w:r>
          </w:p>
        </w:tc>
        <w:tc>
          <w:tcPr>
            <w:tcW w:w="1140" w:type="pct"/>
          </w:tcPr>
          <w:p w14:paraId="4506B54D">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统计服务期间消毒数据登记表</w:t>
            </w:r>
          </w:p>
        </w:tc>
        <w:tc>
          <w:tcPr>
            <w:tcW w:w="408" w:type="pct"/>
          </w:tcPr>
          <w:p w14:paraId="202FEAD0">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56B2D0FA">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66C7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2CF3A69F">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6E81DD62">
            <w:pPr>
              <w:keepNext w:val="0"/>
              <w:keepLines w:val="0"/>
              <w:pageBreakBefore w:val="0"/>
              <w:widowControl w:val="0"/>
              <w:numPr>
                <w:ilvl w:val="0"/>
                <w:numId w:val="0"/>
              </w:numPr>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15.</w:t>
            </w:r>
            <w:r>
              <w:rPr>
                <w:rFonts w:hint="eastAsia" w:ascii="仿宋" w:hAnsi="仿宋" w:eastAsia="仿宋" w:cs="仿宋"/>
                <w:sz w:val="24"/>
                <w:szCs w:val="24"/>
              </w:rPr>
              <w:t>消毒记录</w:t>
            </w:r>
            <w:r>
              <w:rPr>
                <w:rFonts w:hint="eastAsia" w:ascii="仿宋" w:hAnsi="仿宋" w:eastAsia="仿宋" w:cs="仿宋"/>
                <w:sz w:val="24"/>
                <w:szCs w:val="24"/>
                <w:lang w:val="en-US" w:eastAsia="zh-CN"/>
              </w:rPr>
              <w:t>内容是否包括记录消毒日期与时间、消毒液名称、消毒液</w:t>
            </w:r>
            <w:r>
              <w:rPr>
                <w:rFonts w:hint="eastAsia" w:ascii="仿宋" w:hAnsi="仿宋" w:eastAsia="仿宋" w:cs="仿宋"/>
                <w:sz w:val="24"/>
                <w:szCs w:val="24"/>
              </w:rPr>
              <w:t>使用</w:t>
            </w:r>
            <w:r>
              <w:rPr>
                <w:rFonts w:hint="eastAsia" w:ascii="仿宋" w:hAnsi="仿宋" w:eastAsia="仿宋" w:cs="仿宋"/>
                <w:sz w:val="24"/>
                <w:szCs w:val="24"/>
                <w:lang w:val="en-US" w:eastAsia="zh-CN"/>
              </w:rPr>
              <w:t>量、纯水罐中消毒液的有效浓度、各用水端口消毒液有效浓度、浸泡时间、冲洗时长和各用水端口消毒液残留量等</w:t>
            </w:r>
            <w:r>
              <w:rPr>
                <w:rFonts w:hint="eastAsia" w:ascii="仿宋" w:hAnsi="仿宋" w:eastAsia="仿宋" w:cs="仿宋"/>
                <w:sz w:val="24"/>
                <w:szCs w:val="24"/>
              </w:rPr>
              <w:t>相关记录</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有消毒操作人及复核人签名</w:t>
            </w:r>
            <w:r>
              <w:rPr>
                <w:rFonts w:hint="eastAsia" w:ascii="仿宋" w:hAnsi="仿宋" w:eastAsia="仿宋" w:cs="仿宋"/>
                <w:b w:val="0"/>
                <w:bCs w:val="0"/>
                <w:color w:val="auto"/>
                <w:kern w:val="0"/>
                <w:sz w:val="24"/>
                <w:szCs w:val="24"/>
                <w:highlight w:val="none"/>
                <w:vertAlign w:val="baseline"/>
                <w:lang w:val="en-US" w:eastAsia="zh-CN"/>
              </w:rPr>
              <w:t>（满分4分）没有扣4分。</w:t>
            </w:r>
          </w:p>
        </w:tc>
        <w:tc>
          <w:tcPr>
            <w:tcW w:w="1140" w:type="pct"/>
          </w:tcPr>
          <w:p w14:paraId="7C5B4039">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统计服务期间消毒数据登记表</w:t>
            </w:r>
          </w:p>
        </w:tc>
        <w:tc>
          <w:tcPr>
            <w:tcW w:w="408" w:type="pct"/>
          </w:tcPr>
          <w:p w14:paraId="43CD6397">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67F46835">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79A31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7B405B14">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245FEF13">
            <w:pPr>
              <w:pStyle w:val="10"/>
              <w:keepNext w:val="0"/>
              <w:keepLines w:val="0"/>
              <w:pageBreakBefore w:val="0"/>
              <w:widowControl w:val="0"/>
              <w:suppressLineNumbers w:val="0"/>
              <w:kinsoku/>
              <w:wordWrap/>
              <w:overflowPunct/>
              <w:topLinePunct w:val="0"/>
              <w:bidi w:val="0"/>
              <w:adjustRightInd/>
              <w:snapToGrid/>
              <w:spacing w:before="0" w:beforeAutospacing="0" w:after="0" w:afterAutospacing="0" w:line="270" w:lineRule="exact"/>
              <w:ind w:left="0" w:right="0"/>
              <w:jc w:val="both"/>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16.</w:t>
            </w:r>
            <w:r>
              <w:rPr>
                <w:rFonts w:hint="eastAsia" w:ascii="仿宋" w:hAnsi="仿宋" w:eastAsia="仿宋" w:cs="仿宋"/>
                <w:b w:val="0"/>
                <w:bCs w:val="0"/>
                <w:i w:val="0"/>
                <w:iCs w:val="0"/>
                <w:caps w:val="0"/>
                <w:color w:val="000000" w:themeColor="text1"/>
                <w:spacing w:val="0"/>
                <w:sz w:val="24"/>
                <w:szCs w:val="24"/>
                <w:shd w:val="clear" w:fill="FFFFFF"/>
                <w:lang w:val="en-US" w:eastAsia="zh-CN"/>
                <w14:textFill>
                  <w14:solidFill>
                    <w14:schemeClr w14:val="tx1"/>
                  </w14:solidFill>
                </w14:textFill>
              </w:rPr>
              <w:t>一旦出现超标，是否形成闭环记录：超标通知书→原因分析→采取消毒/清洗措施等→复检合格报告→恢复供水申请单；采样记录表应包含采样日期、具体采样点位置、采样人和采样时间。</w:t>
            </w:r>
            <w:r>
              <w:rPr>
                <w:rFonts w:hint="eastAsia" w:ascii="仿宋" w:hAnsi="仿宋" w:eastAsia="仿宋" w:cs="仿宋"/>
                <w:b w:val="0"/>
                <w:bCs w:val="0"/>
                <w:color w:val="auto"/>
                <w:kern w:val="0"/>
                <w:sz w:val="24"/>
                <w:szCs w:val="24"/>
                <w:highlight w:val="none"/>
                <w:vertAlign w:val="baseline"/>
                <w:lang w:val="en-US" w:eastAsia="zh-CN"/>
              </w:rPr>
              <w:t>（满分5分）没有扣5分。</w:t>
            </w:r>
          </w:p>
        </w:tc>
        <w:tc>
          <w:tcPr>
            <w:tcW w:w="1140" w:type="pct"/>
          </w:tcPr>
          <w:p w14:paraId="21BD0600">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统计服务期间消毒数据登记表</w:t>
            </w:r>
          </w:p>
        </w:tc>
        <w:tc>
          <w:tcPr>
            <w:tcW w:w="408" w:type="pct"/>
          </w:tcPr>
          <w:p w14:paraId="43DBDAA0">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3F1772E1">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4087D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restart"/>
          </w:tcPr>
          <w:p w14:paraId="078860E3">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故障处置与运维响应（20分）</w:t>
            </w:r>
          </w:p>
        </w:tc>
        <w:tc>
          <w:tcPr>
            <w:tcW w:w="2410" w:type="pct"/>
          </w:tcPr>
          <w:p w14:paraId="40981436">
            <w:pPr>
              <w:pStyle w:val="10"/>
              <w:keepNext w:val="0"/>
              <w:keepLines w:val="0"/>
              <w:pageBreakBefore w:val="0"/>
              <w:widowControl w:val="0"/>
              <w:suppressLineNumbers w:val="0"/>
              <w:kinsoku/>
              <w:wordWrap/>
              <w:overflowPunct/>
              <w:topLinePunct w:val="0"/>
              <w:bidi w:val="0"/>
              <w:adjustRightInd/>
              <w:snapToGrid/>
              <w:spacing w:before="0" w:beforeAutospacing="0" w:after="0" w:afterAutospacing="0" w:line="270" w:lineRule="exact"/>
              <w:ind w:left="0" w:right="0"/>
              <w:jc w:val="both"/>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color w:val="auto"/>
                <w:kern w:val="0"/>
                <w:sz w:val="24"/>
                <w:szCs w:val="24"/>
                <w:highlight w:val="none"/>
                <w:lang w:val="en-US" w:eastAsia="zh-CN"/>
              </w:rPr>
              <w:t>17.设备故障维修是否响应时间：常规应急维修，中标人在接到医院报修通知后，4小时内到达现场，并安排专人驻场维修，12小时内排除故障、恢复设备正常运行；</w:t>
            </w:r>
            <w:r>
              <w:rPr>
                <w:rFonts w:hint="eastAsia" w:ascii="仿宋" w:hAnsi="仿宋" w:eastAsia="仿宋" w:cs="仿宋"/>
                <w:b w:val="0"/>
                <w:bCs w:val="0"/>
                <w:color w:val="auto"/>
                <w:kern w:val="0"/>
                <w:sz w:val="24"/>
                <w:szCs w:val="24"/>
                <w:highlight w:val="none"/>
                <w:vertAlign w:val="baseline"/>
                <w:lang w:val="en-US" w:eastAsia="zh-CN"/>
              </w:rPr>
              <w:t>（满分6分）没有扣6分。</w:t>
            </w:r>
          </w:p>
        </w:tc>
        <w:tc>
          <w:tcPr>
            <w:tcW w:w="1140" w:type="pct"/>
          </w:tcPr>
          <w:p w14:paraId="0D5F3B4E">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统计服务期间故障数据登记表</w:t>
            </w:r>
          </w:p>
        </w:tc>
        <w:tc>
          <w:tcPr>
            <w:tcW w:w="408" w:type="pct"/>
          </w:tcPr>
          <w:p w14:paraId="719D5003">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4AB8C224">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4C1C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68945F1D">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2BF1C6B1">
            <w:pPr>
              <w:pStyle w:val="10"/>
              <w:keepNext w:val="0"/>
              <w:keepLines w:val="0"/>
              <w:pageBreakBefore w:val="0"/>
              <w:widowControl w:val="0"/>
              <w:suppressLineNumbers w:val="0"/>
              <w:kinsoku/>
              <w:wordWrap/>
              <w:overflowPunct/>
              <w:topLinePunct w:val="0"/>
              <w:bidi w:val="0"/>
              <w:adjustRightInd/>
              <w:snapToGrid/>
              <w:spacing w:before="0" w:beforeAutospacing="0" w:after="0" w:afterAutospacing="0" w:line="270" w:lineRule="exact"/>
              <w:ind w:left="0" w:right="0"/>
              <w:jc w:val="both"/>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18.针对重大设备故障、突发事件引发的设备故障，是否48小时内解决故障，确保设备恢复正常运行。</w:t>
            </w:r>
            <w:r>
              <w:rPr>
                <w:rFonts w:hint="eastAsia" w:ascii="仿宋" w:hAnsi="仿宋" w:eastAsia="仿宋" w:cs="仿宋"/>
                <w:b w:val="0"/>
                <w:bCs w:val="0"/>
                <w:color w:val="auto"/>
                <w:kern w:val="0"/>
                <w:sz w:val="24"/>
                <w:szCs w:val="24"/>
                <w:highlight w:val="none"/>
                <w:vertAlign w:val="baseline"/>
                <w:lang w:val="en-US" w:eastAsia="zh-CN"/>
              </w:rPr>
              <w:t>（满分6分）没有扣6分。</w:t>
            </w:r>
          </w:p>
        </w:tc>
        <w:tc>
          <w:tcPr>
            <w:tcW w:w="1140" w:type="pct"/>
          </w:tcPr>
          <w:p w14:paraId="475C1122">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统计服务期间故障数据登记表</w:t>
            </w:r>
          </w:p>
        </w:tc>
        <w:tc>
          <w:tcPr>
            <w:tcW w:w="408" w:type="pct"/>
          </w:tcPr>
          <w:p w14:paraId="166F5E0C">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3FCB42C8">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75F9D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2E03DAF8">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5E8DFC99">
            <w:pPr>
              <w:pStyle w:val="10"/>
              <w:keepNext w:val="0"/>
              <w:keepLines w:val="0"/>
              <w:pageBreakBefore w:val="0"/>
              <w:widowControl w:val="0"/>
              <w:suppressLineNumbers w:val="0"/>
              <w:kinsoku/>
              <w:wordWrap/>
              <w:overflowPunct/>
              <w:topLinePunct w:val="0"/>
              <w:bidi w:val="0"/>
              <w:adjustRightInd/>
              <w:snapToGrid/>
              <w:spacing w:before="0" w:beforeAutospacing="0" w:after="0" w:afterAutospacing="0" w:line="270" w:lineRule="exact"/>
              <w:ind w:left="0" w:right="0"/>
              <w:jc w:val="both"/>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19.每半年是否提供工作报告，</w:t>
            </w:r>
            <w:r>
              <w:rPr>
                <w:rFonts w:hint="eastAsia" w:ascii="仿宋" w:hAnsi="仿宋" w:eastAsia="仿宋" w:cs="仿宋"/>
                <w:sz w:val="24"/>
                <w:szCs w:val="24"/>
              </w:rPr>
              <w:t>根据月度保养及检测情况汇总出具专业、完整、可追溯设备维保工作报告</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涵盖</w:t>
            </w:r>
            <w:r>
              <w:rPr>
                <w:rFonts w:hint="eastAsia" w:ascii="仿宋" w:hAnsi="仿宋" w:eastAsia="仿宋" w:cs="仿宋"/>
                <w:color w:val="auto"/>
                <w:kern w:val="0"/>
                <w:sz w:val="24"/>
                <w:szCs w:val="24"/>
                <w:highlight w:val="none"/>
                <w:lang w:val="en-US" w:eastAsia="zh-CN"/>
              </w:rPr>
              <w:t>半年内维修、保养服务工作的各个方面数据，</w:t>
            </w:r>
            <w:r>
              <w:rPr>
                <w:rFonts w:hint="eastAsia" w:ascii="仿宋" w:hAnsi="仿宋" w:eastAsia="仿宋" w:cs="仿宋"/>
                <w:sz w:val="24"/>
                <w:szCs w:val="24"/>
              </w:rPr>
              <w:t>全面反映设备运行状况、检测结果、故障处理、隐患分析及改进建议</w:t>
            </w:r>
            <w:r>
              <w:rPr>
                <w:rFonts w:hint="eastAsia" w:ascii="仿宋" w:hAnsi="仿宋" w:eastAsia="仿宋" w:cs="仿宋"/>
                <w:sz w:val="24"/>
                <w:szCs w:val="24"/>
                <w:lang w:eastAsia="zh-CN"/>
              </w:rPr>
              <w:t>。</w:t>
            </w:r>
            <w:r>
              <w:rPr>
                <w:rFonts w:hint="eastAsia" w:ascii="仿宋" w:hAnsi="仿宋" w:eastAsia="仿宋" w:cs="仿宋"/>
                <w:color w:val="auto"/>
                <w:kern w:val="0"/>
                <w:sz w:val="24"/>
                <w:szCs w:val="24"/>
                <w:highlight w:val="none"/>
                <w:lang w:val="en-US" w:eastAsia="zh-CN"/>
              </w:rPr>
              <w:t>包括且不仅限于维修工作量，</w:t>
            </w:r>
            <w:r>
              <w:rPr>
                <w:rFonts w:hint="eastAsia" w:ascii="仿宋" w:hAnsi="仿宋" w:eastAsia="仿宋" w:cs="仿宋"/>
                <w:sz w:val="24"/>
                <w:szCs w:val="24"/>
              </w:rPr>
              <w:t>月度保养及检测情况</w:t>
            </w:r>
            <w:r>
              <w:rPr>
                <w:rFonts w:hint="eastAsia" w:ascii="仿宋" w:hAnsi="仿宋" w:eastAsia="仿宋" w:cs="仿宋"/>
                <w:color w:val="auto"/>
                <w:kern w:val="0"/>
                <w:sz w:val="24"/>
                <w:szCs w:val="24"/>
                <w:highlight w:val="none"/>
                <w:lang w:val="en-US" w:eastAsia="zh-CN"/>
              </w:rPr>
              <w:t>，每季度化学消毒情况，耗材更换情况，重大事件等记录汇总及分析。</w:t>
            </w:r>
            <w:r>
              <w:rPr>
                <w:rFonts w:hint="eastAsia" w:ascii="仿宋" w:hAnsi="仿宋" w:eastAsia="仿宋" w:cs="仿宋"/>
                <w:b w:val="0"/>
                <w:bCs w:val="0"/>
                <w:color w:val="auto"/>
                <w:kern w:val="0"/>
                <w:sz w:val="24"/>
                <w:szCs w:val="24"/>
                <w:highlight w:val="none"/>
                <w:vertAlign w:val="baseline"/>
                <w:lang w:val="en-US" w:eastAsia="zh-CN"/>
              </w:rPr>
              <w:t>（满分5分）没有扣5分。</w:t>
            </w:r>
          </w:p>
        </w:tc>
        <w:tc>
          <w:tcPr>
            <w:tcW w:w="1140" w:type="pct"/>
          </w:tcPr>
          <w:p w14:paraId="2CC87C96">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查验服务期间工作报告</w:t>
            </w:r>
          </w:p>
        </w:tc>
        <w:tc>
          <w:tcPr>
            <w:tcW w:w="408" w:type="pct"/>
          </w:tcPr>
          <w:p w14:paraId="675702B0">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3A7F39A6">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r w14:paraId="3E74D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pct"/>
            <w:vMerge w:val="continue"/>
          </w:tcPr>
          <w:p w14:paraId="6FE77456">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p>
        </w:tc>
        <w:tc>
          <w:tcPr>
            <w:tcW w:w="2410" w:type="pct"/>
          </w:tcPr>
          <w:p w14:paraId="73AB1713">
            <w:pPr>
              <w:pStyle w:val="10"/>
              <w:keepNext w:val="0"/>
              <w:keepLines w:val="0"/>
              <w:pageBreakBefore w:val="0"/>
              <w:widowControl w:val="0"/>
              <w:suppressLineNumbers w:val="0"/>
              <w:kinsoku/>
              <w:wordWrap/>
              <w:overflowPunct/>
              <w:topLinePunct w:val="0"/>
              <w:bidi w:val="0"/>
              <w:adjustRightInd/>
              <w:snapToGrid/>
              <w:spacing w:before="0" w:beforeAutospacing="0" w:after="0" w:afterAutospacing="0" w:line="270" w:lineRule="exact"/>
              <w:ind w:left="0" w:right="0"/>
              <w:jc w:val="both"/>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20.是否积极配合、全力协助医院完成各项应急预案的制定、演练、培训及应急处置工作，确保满足医院应急保障、设备应急处置及安全运行相关要求。</w:t>
            </w:r>
            <w:r>
              <w:rPr>
                <w:rFonts w:hint="eastAsia" w:ascii="仿宋" w:hAnsi="仿宋" w:eastAsia="仿宋" w:cs="仿宋"/>
                <w:b w:val="0"/>
                <w:bCs w:val="0"/>
                <w:color w:val="auto"/>
                <w:kern w:val="0"/>
                <w:sz w:val="24"/>
                <w:szCs w:val="24"/>
                <w:highlight w:val="none"/>
                <w:vertAlign w:val="baseline"/>
                <w:lang w:val="en-US" w:eastAsia="zh-CN"/>
              </w:rPr>
              <w:t>（满分3分）没有扣3分。</w:t>
            </w:r>
          </w:p>
        </w:tc>
        <w:tc>
          <w:tcPr>
            <w:tcW w:w="1140" w:type="pct"/>
          </w:tcPr>
          <w:p w14:paraId="6FF43AFF">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查验服务期间</w:t>
            </w:r>
            <w:r>
              <w:rPr>
                <w:rFonts w:hint="eastAsia" w:ascii="仿宋" w:hAnsi="仿宋" w:eastAsia="仿宋" w:cs="仿宋"/>
                <w:color w:val="auto"/>
                <w:kern w:val="0"/>
                <w:sz w:val="24"/>
                <w:szCs w:val="24"/>
                <w:highlight w:val="none"/>
                <w:lang w:val="en-US" w:eastAsia="zh-CN"/>
              </w:rPr>
              <w:t>应急预案的制定、演练、培训及应急处置工作</w:t>
            </w:r>
          </w:p>
        </w:tc>
        <w:tc>
          <w:tcPr>
            <w:tcW w:w="408" w:type="pct"/>
          </w:tcPr>
          <w:p w14:paraId="3B3422C7">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c>
          <w:tcPr>
            <w:tcW w:w="482" w:type="pct"/>
          </w:tcPr>
          <w:p w14:paraId="0DCCE001">
            <w:pPr>
              <w:keepNext w:val="0"/>
              <w:keepLines w:val="0"/>
              <w:pageBreakBefore w:val="0"/>
              <w:widowControl w:val="0"/>
              <w:kinsoku/>
              <w:wordWrap/>
              <w:overflowPunct/>
              <w:topLinePunct w:val="0"/>
              <w:bidi w:val="0"/>
              <w:adjustRightInd/>
              <w:snapToGrid/>
              <w:spacing w:line="270" w:lineRule="exact"/>
              <w:textAlignment w:val="auto"/>
              <w:rPr>
                <w:rFonts w:hint="eastAsia" w:ascii="仿宋" w:hAnsi="仿宋" w:eastAsia="仿宋" w:cs="仿宋"/>
                <w:b/>
                <w:bCs/>
                <w:color w:val="auto"/>
                <w:kern w:val="0"/>
                <w:sz w:val="24"/>
                <w:szCs w:val="24"/>
                <w:highlight w:val="none"/>
                <w:vertAlign w:val="baseline"/>
                <w:lang w:val="en-US" w:eastAsia="zh-CN"/>
              </w:rPr>
            </w:pPr>
          </w:p>
        </w:tc>
      </w:tr>
    </w:tbl>
    <w:p w14:paraId="7C497F98">
      <w:pPr>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注：考核90分及以上为“优秀”；考核低于90分每降1分扣合同总价款的1%以此类推；考核60分以下为“不合格”甲方有权终止合同，乙方承担所有责任。</w:t>
      </w:r>
    </w:p>
    <w:p w14:paraId="01908F90">
      <w:pPr>
        <w:pStyle w:val="2"/>
        <w:rPr>
          <w:rFonts w:hint="default"/>
        </w:rPr>
      </w:pPr>
    </w:p>
    <w:p w14:paraId="57B82591">
      <w:pPr>
        <w:pStyle w:val="2"/>
        <w:rPr>
          <w:rFonts w:hint="eastAsia"/>
          <w:lang w:val="en-US" w:eastAsia="zh-CN"/>
        </w:rPr>
      </w:pPr>
      <w:bookmarkStart w:id="7" w:name="_GoBack"/>
      <w:bookmarkEnd w:id="7"/>
    </w:p>
    <w:p w14:paraId="1E265919">
      <w:pPr>
        <w:spacing w:line="360" w:lineRule="auto"/>
        <w:ind w:firstLine="480" w:firstLineChars="200"/>
        <w:rPr>
          <w:rFonts w:hint="eastAsia" w:ascii="新宋体" w:hAnsi="新宋体" w:eastAsia="新宋体" w:cs="新宋体"/>
          <w:b/>
          <w:bCs/>
          <w:color w:val="auto"/>
          <w:kern w:val="0"/>
          <w:sz w:val="32"/>
          <w:szCs w:val="32"/>
          <w:highlight w:val="none"/>
          <w:lang w:val="en-US" w:eastAsia="zh-CN"/>
        </w:rPr>
      </w:pPr>
      <w:r>
        <w:rPr>
          <w:rFonts w:hint="default" w:ascii="Times New Roman" w:hAnsi="Times New Roman" w:eastAsia="仿宋_GB2312" w:cs="Times New Roman"/>
          <w:sz w:val="24"/>
        </w:rPr>
        <w:t>合同附件</w:t>
      </w:r>
      <w:r>
        <w:rPr>
          <w:rFonts w:hint="eastAsia" w:ascii="Times New Roman" w:hAnsi="Times New Roman" w:eastAsia="仿宋_GB2312" w:cs="Times New Roman"/>
          <w:sz w:val="24"/>
          <w:lang w:val="en-US" w:eastAsia="zh-CN"/>
        </w:rPr>
        <w:t>3</w:t>
      </w:r>
      <w:r>
        <w:rPr>
          <w:rFonts w:hint="default" w:ascii="Times New Roman" w:hAnsi="Times New Roman" w:eastAsia="仿宋_GB2312" w:cs="Times New Roman"/>
          <w:sz w:val="24"/>
        </w:rPr>
        <w:t>：</w:t>
      </w:r>
    </w:p>
    <w:p w14:paraId="5958C3C8">
      <w:pPr>
        <w:jc w:val="center"/>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经开院区纯水机房运维服务考核制度</w:t>
      </w:r>
    </w:p>
    <w:p w14:paraId="60FF95B8">
      <w:pPr>
        <w:keepNext w:val="0"/>
        <w:keepLines w:val="0"/>
        <w:pageBreakBefore w:val="0"/>
        <w:widowControl w:val="0"/>
        <w:kinsoku/>
        <w:wordWrap/>
        <w:overflowPunct/>
        <w:topLinePunct w:val="0"/>
        <w:autoSpaceDE w:val="0"/>
        <w:autoSpaceDN w:val="0"/>
        <w:bidi w:val="0"/>
        <w:adjustRightInd w:val="0"/>
        <w:snapToGrid/>
        <w:spacing w:line="400" w:lineRule="exact"/>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b w:val="0"/>
          <w:bCs w:val="0"/>
          <w:sz w:val="24"/>
          <w:szCs w:val="24"/>
          <w:lang w:val="en-US" w:eastAsia="zh-CN"/>
        </w:rPr>
        <w:t>为</w:t>
      </w:r>
      <w:r>
        <w:rPr>
          <w:rFonts w:hint="eastAsia" w:ascii="仿宋" w:hAnsi="仿宋" w:eastAsia="仿宋" w:cs="仿宋"/>
          <w:b w:val="0"/>
          <w:bCs w:val="0"/>
          <w:sz w:val="24"/>
          <w:szCs w:val="24"/>
        </w:rPr>
        <w:t>满足医院</w:t>
      </w:r>
      <w:r>
        <w:rPr>
          <w:rFonts w:hint="eastAsia" w:ascii="仿宋" w:hAnsi="仿宋" w:eastAsia="仿宋" w:cs="仿宋"/>
          <w:b w:val="0"/>
          <w:bCs w:val="0"/>
          <w:color w:val="auto"/>
          <w:kern w:val="0"/>
          <w:sz w:val="24"/>
          <w:szCs w:val="24"/>
          <w:highlight w:val="none"/>
          <w:lang w:val="en-US" w:eastAsia="zh-CN"/>
        </w:rPr>
        <w:t>经开院区</w:t>
      </w:r>
      <w:r>
        <w:rPr>
          <w:rFonts w:hint="eastAsia" w:ascii="仿宋" w:hAnsi="仿宋" w:eastAsia="仿宋" w:cs="仿宋"/>
          <w:b w:val="0"/>
          <w:bCs w:val="0"/>
          <w:sz w:val="24"/>
          <w:szCs w:val="24"/>
        </w:rPr>
        <w:t>院感防控</w:t>
      </w:r>
      <w:r>
        <w:rPr>
          <w:rFonts w:hint="eastAsia" w:ascii="仿宋" w:hAnsi="仿宋" w:eastAsia="仿宋" w:cs="仿宋"/>
          <w:b w:val="0"/>
          <w:bCs w:val="0"/>
          <w:sz w:val="24"/>
          <w:szCs w:val="24"/>
          <w:lang w:val="en-US" w:eastAsia="zh-CN"/>
        </w:rPr>
        <w:t>和</w:t>
      </w:r>
      <w:r>
        <w:rPr>
          <w:rFonts w:hint="eastAsia" w:ascii="仿宋" w:hAnsi="仿宋" w:eastAsia="仿宋" w:cs="仿宋"/>
          <w:b w:val="0"/>
          <w:bCs w:val="0"/>
          <w:color w:val="auto"/>
          <w:kern w:val="0"/>
          <w:sz w:val="24"/>
          <w:szCs w:val="24"/>
          <w:highlight w:val="none"/>
          <w:lang w:val="en-US" w:eastAsia="zh-CN"/>
        </w:rPr>
        <w:t>纯水设备</w:t>
      </w:r>
      <w:r>
        <w:rPr>
          <w:rFonts w:hint="eastAsia" w:ascii="仿宋" w:hAnsi="仿宋" w:eastAsia="仿宋" w:cs="仿宋"/>
          <w:b w:val="0"/>
          <w:bCs w:val="0"/>
          <w:sz w:val="24"/>
          <w:szCs w:val="24"/>
        </w:rPr>
        <w:t>安全运行要求</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lang w:val="en-US" w:eastAsia="zh-CN"/>
        </w:rPr>
        <w:t>严格按照国家现行法律法规和该纯水设备使用需要专业</w:t>
      </w:r>
      <w:r>
        <w:rPr>
          <w:rFonts w:hint="eastAsia" w:ascii="仿宋" w:hAnsi="仿宋" w:eastAsia="仿宋" w:cs="仿宋"/>
          <w:color w:val="auto"/>
          <w:kern w:val="0"/>
          <w:sz w:val="24"/>
          <w:szCs w:val="24"/>
          <w:highlight w:val="none"/>
          <w:lang w:val="en-US" w:eastAsia="zh-CN"/>
        </w:rPr>
        <w:t>专业人员定期更换耗材并高水平化学消毒保证产水量达标和长期水质合格。特制定如下条款考核运维服务。</w:t>
      </w:r>
    </w:p>
    <w:p w14:paraId="1BE0CF62">
      <w:pPr>
        <w:keepNext w:val="0"/>
        <w:keepLines w:val="0"/>
        <w:pageBreakBefore w:val="0"/>
        <w:widowControl w:val="0"/>
        <w:kinsoku/>
        <w:wordWrap/>
        <w:overflowPunct/>
        <w:topLinePunct w:val="0"/>
        <w:autoSpaceDE w:val="0"/>
        <w:autoSpaceDN w:val="0"/>
        <w:bidi w:val="0"/>
        <w:adjustRightInd w:val="0"/>
        <w:snapToGrid/>
        <w:spacing w:line="400" w:lineRule="exact"/>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第一条：要保证水质合格，细菌/内毒素/化学污染物/电导率等关键指标满足医院各用水科室要求，供水压力和流量需要长期稳定；</w:t>
      </w:r>
    </w:p>
    <w:p w14:paraId="75BB4CBB">
      <w:pPr>
        <w:keepNext w:val="0"/>
        <w:keepLines w:val="0"/>
        <w:pageBreakBefore w:val="0"/>
        <w:widowControl w:val="0"/>
        <w:kinsoku/>
        <w:wordWrap/>
        <w:overflowPunct/>
        <w:topLinePunct w:val="0"/>
        <w:autoSpaceDE w:val="0"/>
        <w:autoSpaceDN w:val="0"/>
        <w:bidi w:val="0"/>
        <w:adjustRightInd w:val="0"/>
        <w:snapToGrid/>
        <w:spacing w:line="400" w:lineRule="exact"/>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第二条：要登记</w:t>
      </w:r>
      <w:r>
        <w:rPr>
          <w:rFonts w:hint="eastAsia" w:ascii="仿宋" w:hAnsi="仿宋" w:eastAsia="仿宋" w:cs="仿宋"/>
          <w:b w:val="0"/>
          <w:bCs w:val="0"/>
          <w:color w:val="auto"/>
          <w:kern w:val="0"/>
          <w:sz w:val="24"/>
          <w:szCs w:val="24"/>
          <w:highlight w:val="none"/>
          <w:vertAlign w:val="baseline"/>
          <w:lang w:val="en-US" w:eastAsia="zh-CN"/>
        </w:rPr>
        <w:t>日常运行数据与记录规范，对</w:t>
      </w:r>
      <w:r>
        <w:rPr>
          <w:rFonts w:hint="eastAsia" w:ascii="仿宋" w:hAnsi="仿宋" w:eastAsia="仿宋" w:cs="仿宋"/>
          <w:b w:val="0"/>
          <w:bCs w:val="0"/>
          <w:color w:val="auto"/>
          <w:kern w:val="0"/>
          <w:sz w:val="24"/>
          <w:szCs w:val="24"/>
          <w:highlight w:val="none"/>
          <w:lang w:val="en-US" w:eastAsia="zh-CN"/>
        </w:rPr>
        <w:t>纯水机房和纯水设备巡检记录相关运行数据；</w:t>
      </w:r>
      <w:r>
        <w:rPr>
          <w:rFonts w:hint="eastAsia" w:ascii="仿宋" w:hAnsi="仿宋" w:eastAsia="仿宋" w:cs="仿宋"/>
          <w:color w:val="auto"/>
          <w:kern w:val="0"/>
          <w:sz w:val="24"/>
          <w:szCs w:val="24"/>
          <w:highlight w:val="none"/>
          <w:lang w:val="en-US" w:eastAsia="zh-CN"/>
        </w:rPr>
        <w:t>再生盐日常使用需要专人负责；设备报警/参数异常等需要及时采取措施；定期对</w:t>
      </w:r>
      <w:r>
        <w:rPr>
          <w:rFonts w:hint="eastAsia" w:ascii="仿宋" w:hAnsi="仿宋" w:eastAsia="仿宋" w:cs="仿宋"/>
          <w:b w:val="0"/>
          <w:bCs w:val="0"/>
          <w:color w:val="auto"/>
          <w:kern w:val="0"/>
          <w:sz w:val="24"/>
          <w:szCs w:val="24"/>
          <w:highlight w:val="none"/>
          <w:lang w:val="en-US" w:eastAsia="zh-CN"/>
        </w:rPr>
        <w:t>纯水机房进行清洁并高水平化学消毒纯水机</w:t>
      </w:r>
      <w:r>
        <w:rPr>
          <w:rFonts w:hint="eastAsia" w:ascii="仿宋" w:hAnsi="仿宋" w:eastAsia="仿宋" w:cs="仿宋"/>
          <w:color w:val="auto"/>
          <w:kern w:val="0"/>
          <w:sz w:val="24"/>
          <w:szCs w:val="24"/>
          <w:highlight w:val="none"/>
          <w:lang w:val="en-US" w:eastAsia="zh-CN"/>
        </w:rPr>
        <w:t>所有表面、水箱、管道接口等易滋生细菌的部位；</w:t>
      </w:r>
    </w:p>
    <w:p w14:paraId="2D8568FE">
      <w:pPr>
        <w:keepNext w:val="0"/>
        <w:keepLines w:val="0"/>
        <w:pageBreakBefore w:val="0"/>
        <w:widowControl w:val="0"/>
        <w:kinsoku/>
        <w:wordWrap/>
        <w:overflowPunct/>
        <w:topLinePunct w:val="0"/>
        <w:autoSpaceDE w:val="0"/>
        <w:autoSpaceDN w:val="0"/>
        <w:bidi w:val="0"/>
        <w:adjustRightInd w:val="0"/>
        <w:snapToGrid/>
        <w:spacing w:line="400" w:lineRule="exact"/>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第三条：要对</w:t>
      </w:r>
      <w:r>
        <w:rPr>
          <w:rFonts w:hint="eastAsia" w:ascii="仿宋" w:hAnsi="仿宋" w:eastAsia="仿宋" w:cs="仿宋"/>
          <w:b w:val="0"/>
          <w:bCs w:val="0"/>
          <w:color w:val="auto"/>
          <w:kern w:val="0"/>
          <w:sz w:val="24"/>
          <w:szCs w:val="24"/>
          <w:highlight w:val="none"/>
          <w:vertAlign w:val="baseline"/>
          <w:lang w:val="en-US" w:eastAsia="zh-CN"/>
        </w:rPr>
        <w:t>耗材更换与记录规范，需要</w:t>
      </w:r>
      <w:r>
        <w:rPr>
          <w:rFonts w:hint="eastAsia" w:ascii="仿宋" w:hAnsi="仿宋" w:eastAsia="仿宋" w:cs="仿宋"/>
          <w:color w:val="auto"/>
          <w:kern w:val="0"/>
          <w:sz w:val="24"/>
          <w:szCs w:val="24"/>
          <w:highlight w:val="none"/>
          <w:lang w:val="en-US" w:eastAsia="zh-CN"/>
        </w:rPr>
        <w:t>产品说明书、合格证、涉水产品卫生许可批件等相关资质；每项耗材需要定期更换并记录更换日期/型号/更换人；每项耗材需要记录更换频次和所有维修记录存档；</w:t>
      </w:r>
    </w:p>
    <w:p w14:paraId="1A6F2E45">
      <w:pPr>
        <w:keepNext w:val="0"/>
        <w:keepLines w:val="0"/>
        <w:pageBreakBefore w:val="0"/>
        <w:widowControl w:val="0"/>
        <w:kinsoku/>
        <w:wordWrap/>
        <w:overflowPunct/>
        <w:topLinePunct w:val="0"/>
        <w:autoSpaceDE w:val="0"/>
        <w:autoSpaceDN w:val="0"/>
        <w:bidi w:val="0"/>
        <w:adjustRightInd w:val="0"/>
        <w:snapToGrid/>
        <w:spacing w:line="400" w:lineRule="exact"/>
        <w:ind w:firstLine="480" w:firstLineChars="200"/>
        <w:textAlignment w:val="auto"/>
        <w:rPr>
          <w:rFonts w:hint="eastAsia" w:ascii="仿宋" w:hAnsi="仿宋" w:eastAsia="仿宋" w:cs="仿宋"/>
          <w:b w:val="0"/>
          <w:bCs w:val="0"/>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 w:hAnsi="仿宋" w:eastAsia="仿宋" w:cs="仿宋"/>
          <w:color w:val="auto"/>
          <w:kern w:val="0"/>
          <w:sz w:val="24"/>
          <w:szCs w:val="24"/>
          <w:highlight w:val="none"/>
          <w:lang w:val="en-US" w:eastAsia="zh-CN"/>
        </w:rPr>
        <w:t>第四条：要对</w:t>
      </w:r>
      <w:r>
        <w:rPr>
          <w:rFonts w:hint="eastAsia" w:ascii="仿宋" w:hAnsi="仿宋" w:eastAsia="仿宋" w:cs="仿宋"/>
          <w:b w:val="0"/>
          <w:bCs w:val="0"/>
          <w:color w:val="auto"/>
          <w:kern w:val="0"/>
          <w:sz w:val="24"/>
          <w:szCs w:val="24"/>
          <w:highlight w:val="none"/>
          <w:vertAlign w:val="baseline"/>
          <w:lang w:val="en-US" w:eastAsia="zh-CN"/>
        </w:rPr>
        <w:t>纯水系统高水平化学消毒，</w:t>
      </w:r>
      <w:r>
        <w:rPr>
          <w:rFonts w:hint="eastAsia" w:ascii="仿宋" w:hAnsi="仿宋" w:eastAsia="仿宋" w:cs="仿宋"/>
          <w:sz w:val="24"/>
          <w:szCs w:val="24"/>
        </w:rPr>
        <w:t>每季度按</w:t>
      </w:r>
      <w:r>
        <w:rPr>
          <w:rFonts w:hint="eastAsia" w:ascii="仿宋" w:hAnsi="仿宋" w:eastAsia="仿宋" w:cs="仿宋"/>
          <w:sz w:val="24"/>
          <w:szCs w:val="24"/>
          <w:lang w:val="en-US" w:eastAsia="zh-CN"/>
        </w:rPr>
        <w:t>相关</w:t>
      </w:r>
      <w:r>
        <w:rPr>
          <w:rFonts w:hint="eastAsia" w:ascii="仿宋" w:hAnsi="仿宋" w:eastAsia="仿宋" w:cs="仿宋"/>
          <w:sz w:val="24"/>
          <w:szCs w:val="24"/>
        </w:rPr>
        <w:t>规范</w:t>
      </w:r>
      <w:r>
        <w:rPr>
          <w:rFonts w:hint="eastAsia" w:ascii="仿宋" w:hAnsi="仿宋" w:eastAsia="仿宋" w:cs="仿宋"/>
          <w:sz w:val="24"/>
          <w:szCs w:val="24"/>
          <w:lang w:val="en-US" w:eastAsia="zh-CN"/>
        </w:rPr>
        <w:t>对</w:t>
      </w:r>
      <w:r>
        <w:rPr>
          <w:rFonts w:hint="eastAsia" w:ascii="仿宋" w:hAnsi="仿宋" w:eastAsia="仿宋" w:cs="仿宋"/>
          <w:sz w:val="24"/>
          <w:szCs w:val="24"/>
        </w:rPr>
        <w:t>纯水设备</w:t>
      </w:r>
      <w:r>
        <w:rPr>
          <w:rFonts w:hint="eastAsia" w:ascii="仿宋" w:hAnsi="仿宋" w:eastAsia="仿宋" w:cs="仿宋"/>
          <w:sz w:val="24"/>
          <w:szCs w:val="24"/>
          <w:lang w:val="en-US" w:eastAsia="zh-CN"/>
        </w:rPr>
        <w:t>的主机、纯水罐和纯水循环管网进行</w:t>
      </w:r>
      <w:r>
        <w:rPr>
          <w:rFonts w:hint="eastAsia" w:ascii="仿宋" w:hAnsi="仿宋" w:eastAsia="仿宋" w:cs="仿宋"/>
          <w:sz w:val="24"/>
          <w:szCs w:val="24"/>
        </w:rPr>
        <w:t>高水平化学消毒</w:t>
      </w:r>
      <w:r>
        <w:rPr>
          <w:rFonts w:hint="eastAsia" w:ascii="仿宋" w:hAnsi="仿宋" w:eastAsia="仿宋" w:cs="仿宋"/>
          <w:sz w:val="24"/>
          <w:szCs w:val="24"/>
          <w:lang w:eastAsia="zh-CN"/>
        </w:rPr>
        <w:t>；</w:t>
      </w:r>
      <w:r>
        <w:rPr>
          <w:rFonts w:hint="eastAsia" w:ascii="仿宋" w:hAnsi="仿宋" w:eastAsia="仿宋" w:cs="仿宋"/>
          <w:sz w:val="24"/>
          <w:szCs w:val="24"/>
        </w:rPr>
        <w:t>消毒记录</w:t>
      </w:r>
      <w:r>
        <w:rPr>
          <w:rFonts w:hint="eastAsia" w:ascii="仿宋" w:hAnsi="仿宋" w:eastAsia="仿宋" w:cs="仿宋"/>
          <w:sz w:val="24"/>
          <w:szCs w:val="24"/>
          <w:lang w:val="en-US" w:eastAsia="zh-CN"/>
        </w:rPr>
        <w:t>内容要包括记录消毒日期与时间、消毒液名称、消毒液</w:t>
      </w:r>
      <w:r>
        <w:rPr>
          <w:rFonts w:hint="eastAsia" w:ascii="仿宋" w:hAnsi="仿宋" w:eastAsia="仿宋" w:cs="仿宋"/>
          <w:sz w:val="24"/>
          <w:szCs w:val="24"/>
        </w:rPr>
        <w:t>使用</w:t>
      </w:r>
      <w:r>
        <w:rPr>
          <w:rFonts w:hint="eastAsia" w:ascii="仿宋" w:hAnsi="仿宋" w:eastAsia="仿宋" w:cs="仿宋"/>
          <w:sz w:val="24"/>
          <w:szCs w:val="24"/>
          <w:lang w:val="en-US" w:eastAsia="zh-CN"/>
        </w:rPr>
        <w:t>量、纯水罐中消毒液的有效浓度、各用水端口消毒液有效浓度、浸泡时间、冲洗时长和各用水端口消毒液残留量等</w:t>
      </w:r>
      <w:r>
        <w:rPr>
          <w:rFonts w:hint="eastAsia" w:ascii="仿宋" w:hAnsi="仿宋" w:eastAsia="仿宋" w:cs="仿宋"/>
          <w:sz w:val="24"/>
          <w:szCs w:val="24"/>
        </w:rPr>
        <w:t>相关记录</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有消毒操作人及复核人签名；</w:t>
      </w:r>
      <w:r>
        <w:rPr>
          <w:rFonts w:hint="eastAsia" w:ascii="仿宋" w:hAnsi="仿宋" w:eastAsia="仿宋" w:cs="仿宋"/>
          <w:b w:val="0"/>
          <w:bCs w:val="0"/>
          <w:i w:val="0"/>
          <w:iCs w:val="0"/>
          <w:caps w:val="0"/>
          <w:color w:val="000000" w:themeColor="text1"/>
          <w:spacing w:val="0"/>
          <w:sz w:val="24"/>
          <w:szCs w:val="24"/>
          <w:shd w:val="clear" w:fill="FFFFFF"/>
          <w:lang w:val="en-US" w:eastAsia="zh-CN"/>
          <w14:textFill>
            <w14:solidFill>
              <w14:schemeClr w14:val="tx1"/>
            </w14:solidFill>
          </w14:textFill>
        </w:rPr>
        <w:t>一旦出现超标，要形成闭环记录：超标通知书→原因分析→采取消毒/清洗措施等→复检合格报告→恢复供水申请单；采样记录表应包含采样日期、具体采样点位置、采样人和采样时间；</w:t>
      </w:r>
    </w:p>
    <w:p w14:paraId="3AE93ECD">
      <w:pPr>
        <w:keepNext w:val="0"/>
        <w:keepLines w:val="0"/>
        <w:pageBreakBefore w:val="0"/>
        <w:widowControl w:val="0"/>
        <w:kinsoku/>
        <w:wordWrap/>
        <w:overflowPunct/>
        <w:topLinePunct w:val="0"/>
        <w:autoSpaceDE w:val="0"/>
        <w:autoSpaceDN w:val="0"/>
        <w:bidi w:val="0"/>
        <w:adjustRightInd w:val="0"/>
        <w:snapToGrid/>
        <w:spacing w:line="400" w:lineRule="exact"/>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b w:val="0"/>
          <w:bCs w:val="0"/>
          <w:i w:val="0"/>
          <w:iCs w:val="0"/>
          <w:caps w:val="0"/>
          <w:color w:val="000000" w:themeColor="text1"/>
          <w:spacing w:val="0"/>
          <w:sz w:val="24"/>
          <w:szCs w:val="24"/>
          <w:shd w:val="clear" w:fill="FFFFFF"/>
          <w:lang w:val="en-US" w:eastAsia="zh-CN"/>
          <w14:textFill>
            <w14:solidFill>
              <w14:schemeClr w14:val="tx1"/>
            </w14:solidFill>
          </w14:textFill>
        </w:rPr>
        <w:t>第五条：</w:t>
      </w:r>
      <w:r>
        <w:rPr>
          <w:rFonts w:hint="eastAsia" w:ascii="仿宋" w:hAnsi="仿宋" w:eastAsia="仿宋" w:cs="仿宋"/>
          <w:b w:val="0"/>
          <w:bCs w:val="0"/>
          <w:color w:val="auto"/>
          <w:kern w:val="0"/>
          <w:sz w:val="24"/>
          <w:szCs w:val="24"/>
          <w:highlight w:val="none"/>
          <w:vertAlign w:val="baseline"/>
          <w:lang w:val="en-US" w:eastAsia="zh-CN"/>
        </w:rPr>
        <w:t>故障处置</w:t>
      </w:r>
      <w:r>
        <w:rPr>
          <w:rFonts w:hint="eastAsia" w:ascii="仿宋" w:hAnsi="仿宋" w:eastAsia="仿宋" w:cs="仿宋"/>
          <w:color w:val="auto"/>
          <w:kern w:val="0"/>
          <w:sz w:val="24"/>
          <w:szCs w:val="24"/>
          <w:highlight w:val="none"/>
          <w:lang w:val="en-US" w:eastAsia="zh-CN"/>
        </w:rPr>
        <w:t>常规应急维修，报修通知后，要求4小时内到达现场，并安排专人驻场维修，12小时内排除故障、恢复设备正常运行；重大设备故障、突发事件引发的设备故障，要求48小时内解决故障，确保设备恢复正常运行；</w:t>
      </w:r>
    </w:p>
    <w:p w14:paraId="48B96C03">
      <w:pPr>
        <w:keepNext w:val="0"/>
        <w:keepLines w:val="0"/>
        <w:pageBreakBefore w:val="0"/>
        <w:widowControl w:val="0"/>
        <w:kinsoku/>
        <w:wordWrap/>
        <w:overflowPunct/>
        <w:topLinePunct w:val="0"/>
        <w:autoSpaceDE w:val="0"/>
        <w:autoSpaceDN w:val="0"/>
        <w:bidi w:val="0"/>
        <w:adjustRightInd w:val="0"/>
        <w:snapToGrid/>
        <w:spacing w:line="400" w:lineRule="exact"/>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第六条：每半年要提供工作报告，</w:t>
      </w:r>
      <w:r>
        <w:rPr>
          <w:rFonts w:hint="eastAsia" w:ascii="仿宋" w:hAnsi="仿宋" w:eastAsia="仿宋" w:cs="仿宋"/>
          <w:sz w:val="24"/>
          <w:szCs w:val="24"/>
        </w:rPr>
        <w:t>根据月度保养及检测情况汇总出具专业、完整、可追溯设备维保工作报告</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涵盖</w:t>
      </w:r>
      <w:r>
        <w:rPr>
          <w:rFonts w:hint="eastAsia" w:ascii="仿宋" w:hAnsi="仿宋" w:eastAsia="仿宋" w:cs="仿宋"/>
          <w:color w:val="auto"/>
          <w:kern w:val="0"/>
          <w:sz w:val="24"/>
          <w:szCs w:val="24"/>
          <w:highlight w:val="none"/>
          <w:lang w:val="en-US" w:eastAsia="zh-CN"/>
        </w:rPr>
        <w:t>半年内维修、保养服务工作的各个方面数据，</w:t>
      </w:r>
      <w:r>
        <w:rPr>
          <w:rFonts w:hint="eastAsia" w:ascii="仿宋" w:hAnsi="仿宋" w:eastAsia="仿宋" w:cs="仿宋"/>
          <w:sz w:val="24"/>
          <w:szCs w:val="24"/>
        </w:rPr>
        <w:t>全面反映设备运行状况、检测结果、故障处理、隐患分析及改进建议</w:t>
      </w:r>
      <w:r>
        <w:rPr>
          <w:rFonts w:hint="eastAsia" w:ascii="仿宋" w:hAnsi="仿宋" w:eastAsia="仿宋" w:cs="仿宋"/>
          <w:sz w:val="24"/>
          <w:szCs w:val="24"/>
          <w:lang w:eastAsia="zh-CN"/>
        </w:rPr>
        <w:t>。</w:t>
      </w:r>
      <w:r>
        <w:rPr>
          <w:rFonts w:hint="eastAsia" w:ascii="仿宋" w:hAnsi="仿宋" w:eastAsia="仿宋" w:cs="仿宋"/>
          <w:color w:val="auto"/>
          <w:kern w:val="0"/>
          <w:sz w:val="24"/>
          <w:szCs w:val="24"/>
          <w:highlight w:val="none"/>
          <w:lang w:val="en-US" w:eastAsia="zh-CN"/>
        </w:rPr>
        <w:t>包括且不仅限于维修工作量，</w:t>
      </w:r>
      <w:r>
        <w:rPr>
          <w:rFonts w:hint="eastAsia" w:ascii="仿宋" w:hAnsi="仿宋" w:eastAsia="仿宋" w:cs="仿宋"/>
          <w:sz w:val="24"/>
          <w:szCs w:val="24"/>
        </w:rPr>
        <w:t>月度保养及检测情况</w:t>
      </w:r>
      <w:r>
        <w:rPr>
          <w:rFonts w:hint="eastAsia" w:ascii="仿宋" w:hAnsi="仿宋" w:eastAsia="仿宋" w:cs="仿宋"/>
          <w:color w:val="auto"/>
          <w:kern w:val="0"/>
          <w:sz w:val="24"/>
          <w:szCs w:val="24"/>
          <w:highlight w:val="none"/>
          <w:lang w:val="en-US" w:eastAsia="zh-CN"/>
        </w:rPr>
        <w:t>，每季度化学消毒情况，耗材更换情况，重大事件等记录汇总及分析；</w:t>
      </w:r>
    </w:p>
    <w:p w14:paraId="7F4637B9">
      <w:pPr>
        <w:keepNext w:val="0"/>
        <w:keepLines w:val="0"/>
        <w:pageBreakBefore w:val="0"/>
        <w:widowControl w:val="0"/>
        <w:kinsoku/>
        <w:wordWrap/>
        <w:overflowPunct/>
        <w:topLinePunct w:val="0"/>
        <w:autoSpaceDE w:val="0"/>
        <w:autoSpaceDN w:val="0"/>
        <w:bidi w:val="0"/>
        <w:adjustRightInd w:val="0"/>
        <w:snapToGrid/>
        <w:spacing w:line="400" w:lineRule="exact"/>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第七条：要积极配合、全力协助医院完成各项应急预案的制定、演练、培训及应急处置工作，确保满足医院应急保障、设备应急处置及安全运行相关要求；</w:t>
      </w:r>
    </w:p>
    <w:p w14:paraId="7EA0ECD8">
      <w:pPr>
        <w:keepNext w:val="0"/>
        <w:keepLines w:val="0"/>
        <w:pageBreakBefore w:val="0"/>
        <w:widowControl w:val="0"/>
        <w:kinsoku/>
        <w:wordWrap/>
        <w:overflowPunct/>
        <w:topLinePunct w:val="0"/>
        <w:autoSpaceDE w:val="0"/>
        <w:autoSpaceDN w:val="0"/>
        <w:bidi w:val="0"/>
        <w:adjustRightInd w:val="0"/>
        <w:snapToGrid/>
        <w:spacing w:line="400" w:lineRule="exact"/>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第八条：</w:t>
      </w:r>
      <w:r>
        <w:rPr>
          <w:rFonts w:hint="eastAsia" w:ascii="仿宋" w:hAnsi="仿宋" w:eastAsia="仿宋" w:cs="仿宋"/>
          <w:b w:val="0"/>
          <w:bCs w:val="0"/>
          <w:color w:val="auto"/>
          <w:kern w:val="0"/>
          <w:sz w:val="24"/>
          <w:szCs w:val="24"/>
          <w:highlight w:val="none"/>
          <w:lang w:val="en-US" w:eastAsia="zh-CN"/>
        </w:rPr>
        <w:t>考核90分及以上为“优秀”；考核低于90分每降1分扣合同总价款的1%以此类推；考核60分以下为“不合格”甲方有权终止合同，乙方承担所有责任。</w:t>
      </w:r>
    </w:p>
    <w:p w14:paraId="2FF88550">
      <w:pPr>
        <w:rPr>
          <w:rFonts w:hint="default"/>
        </w:rPr>
      </w:pPr>
    </w:p>
    <w:p w14:paraId="5BD228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08843">
    <w:pPr>
      <w:pStyle w:val="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A7ACE">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0C4EA">
    <w:pPr>
      <w:pStyle w:val="3"/>
    </w:pPr>
  </w:p>
  <w:p w14:paraId="7CC5D65B">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2E00D">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823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4">
    <w:name w:val="header"/>
    <w:basedOn w:val="1"/>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sz w:val="18"/>
      <w:szCs w:val="18"/>
    </w:rPr>
  </w:style>
  <w:style w:type="paragraph" w:styleId="5">
    <w:name w:val="Title"/>
    <w:basedOn w:val="1"/>
    <w:next w:val="1"/>
    <w:qFormat/>
    <w:uiPriority w:val="0"/>
    <w:pPr>
      <w:spacing w:before="240" w:after="60" w:line="440" w:lineRule="exact"/>
      <w:jc w:val="center"/>
      <w:outlineLvl w:val="0"/>
    </w:pPr>
    <w:rPr>
      <w:rFonts w:ascii="Cambria" w:hAnsi="Cambria"/>
      <w:b/>
      <w:bCs/>
      <w:sz w:val="32"/>
      <w:szCs w:val="32"/>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1 Char1"/>
    <w:autoRedefine/>
    <w:qFormat/>
    <w:uiPriority w:val="99"/>
    <w:rPr>
      <w:rFonts w:ascii="黑体" w:eastAsia="黑体"/>
      <w:sz w:val="52"/>
      <w:lang w:bidi="ar-SA"/>
    </w:rPr>
  </w:style>
  <w:style w:type="paragraph" w:customStyle="1" w:styleId="10">
    <w:name w:val="Default"/>
    <w:autoRedefine/>
    <w:qFormat/>
    <w:uiPriority w:val="0"/>
    <w:pPr>
      <w:widowControl w:val="0"/>
      <w:autoSpaceDE w:val="0"/>
      <w:autoSpaceDN w:val="0"/>
      <w:adjustRightInd w:val="0"/>
    </w:pPr>
    <w:rPr>
      <w:rFonts w:ascii="宋体" w:hAnsi="Times New Roman" w:eastAsia="Arial Unicode MS"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2026-04-24T07:36:32Z</dcterms:created>
  <dc:creator>Administrator</dc:creator>
  <cp:lastModifiedBy>六一三</cp:lastModifiedBy>
  <dcterms:modified xsi:type="dcterms:W3CDTF">2026-04-24T07:38:23Z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eyJoZGlkIjoiNmMyN2M4YWM4YmFlMTMxOWQ0ZmZmNzlmMmE2MTRiODgiLCJ1c2VySWQiOiI1MDUxNzY1OTAifQ==</vt:lpwstr>
  </property>
  <property fmtid="{D5CDD505-2E9C-101B-9397-08002B2CF9AE}" pid="4" name="ICV">
    <vt:lpwstr>53C008AB665B4EA580AE75F82218FF8E_12</vt:lpwstr>
  </property>
</Properties>
</file>