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63013">
      <w:pPr>
        <w:pStyle w:val="6"/>
        <w:jc w:val="center"/>
        <w:rPr>
          <w:rFonts w:hint="default" w:eastAsia="仿宋_GB2312"/>
          <w:b/>
          <w:bCs/>
          <w:sz w:val="44"/>
          <w:szCs w:val="44"/>
          <w:highlight w:val="none"/>
          <w:lang w:val="en-US" w:eastAsia="zh-CN"/>
        </w:rPr>
      </w:pPr>
      <w:bookmarkStart w:id="0" w:name="_GoBack"/>
      <w:bookmarkEnd w:id="0"/>
      <w:r>
        <w:rPr>
          <w:rFonts w:hint="eastAsia" w:eastAsia="仿宋_GB2312"/>
          <w:b/>
          <w:bCs/>
          <w:sz w:val="44"/>
          <w:szCs w:val="44"/>
          <w:highlight w:val="none"/>
          <w:lang w:val="en-US" w:eastAsia="zh-CN"/>
        </w:rPr>
        <w:t>采购需求</w:t>
      </w:r>
    </w:p>
    <w:p w14:paraId="5D2689F5"/>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5"/>
        <w:gridCol w:w="770"/>
        <w:gridCol w:w="7107"/>
      </w:tblGrid>
      <w:tr w14:paraId="67217D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2623C95A">
            <w:pPr>
              <w:pStyle w:val="6"/>
              <w:spacing w:line="340" w:lineRule="exact"/>
              <w:jc w:val="center"/>
              <w:rPr>
                <w:rFonts w:hint="default" w:asciiTheme="minorEastAsia" w:hAnsiTheme="minorEastAsia" w:cstheme="minorEastAsia"/>
                <w:sz w:val="21"/>
                <w:szCs w:val="21"/>
                <w:highlight w:val="none"/>
              </w:rPr>
            </w:pPr>
            <w:r>
              <w:rPr>
                <w:rFonts w:asciiTheme="minorEastAsia" w:hAnsiTheme="minorEastAsia" w:cstheme="minorEastAsia"/>
                <w:sz w:val="21"/>
                <w:szCs w:val="21"/>
                <w:highlight w:val="none"/>
              </w:rPr>
              <w:t>序号</w:t>
            </w:r>
          </w:p>
        </w:tc>
        <w:tc>
          <w:tcPr>
            <w:tcW w:w="770" w:type="dxa"/>
            <w:vAlign w:val="center"/>
          </w:tcPr>
          <w:p w14:paraId="5746AE78">
            <w:pPr>
              <w:pStyle w:val="6"/>
              <w:spacing w:line="340" w:lineRule="exact"/>
              <w:jc w:val="center"/>
              <w:rPr>
                <w:rFonts w:hint="default" w:asciiTheme="minorEastAsia" w:hAnsiTheme="minorEastAsia" w:cstheme="minorEastAsia"/>
                <w:sz w:val="21"/>
                <w:szCs w:val="21"/>
                <w:highlight w:val="none"/>
              </w:rPr>
            </w:pPr>
            <w:r>
              <w:rPr>
                <w:rFonts w:asciiTheme="minorEastAsia" w:hAnsiTheme="minorEastAsia" w:cstheme="minorEastAsia"/>
                <w:sz w:val="21"/>
                <w:szCs w:val="21"/>
                <w:highlight w:val="none"/>
              </w:rPr>
              <w:t>参数性质</w:t>
            </w:r>
          </w:p>
        </w:tc>
        <w:tc>
          <w:tcPr>
            <w:tcW w:w="7107" w:type="dxa"/>
            <w:vAlign w:val="center"/>
          </w:tcPr>
          <w:p w14:paraId="75CCF7A9">
            <w:pPr>
              <w:pStyle w:val="6"/>
              <w:spacing w:line="340" w:lineRule="exact"/>
              <w:jc w:val="center"/>
              <w:rPr>
                <w:rFonts w:hint="default" w:asciiTheme="minorEastAsia" w:hAnsiTheme="minorEastAsia" w:cstheme="minorEastAsia"/>
                <w:sz w:val="21"/>
                <w:szCs w:val="21"/>
                <w:highlight w:val="none"/>
                <w:lang w:eastAsia="zh-CN"/>
              </w:rPr>
            </w:pPr>
            <w:r>
              <w:rPr>
                <w:rFonts w:asciiTheme="minorEastAsia" w:hAnsiTheme="minorEastAsia" w:cstheme="minorEastAsia"/>
                <w:sz w:val="21"/>
                <w:szCs w:val="21"/>
                <w:highlight w:val="none"/>
              </w:rPr>
              <w:t>技术参数与性能指标</w:t>
            </w:r>
          </w:p>
        </w:tc>
      </w:tr>
      <w:tr w14:paraId="03A36B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19AD30BA">
            <w:pPr>
              <w:pStyle w:val="6"/>
              <w:spacing w:line="340" w:lineRule="exact"/>
              <w:jc w:val="center"/>
              <w:rPr>
                <w:rFonts w:hint="default" w:asciiTheme="minorEastAsia" w:hAnsiTheme="minorEastAsia" w:cstheme="minorEastAsia"/>
                <w:sz w:val="21"/>
                <w:szCs w:val="21"/>
                <w:highlight w:val="none"/>
                <w:lang w:eastAsia="zh-CN"/>
              </w:rPr>
            </w:pPr>
            <w:r>
              <w:rPr>
                <w:rFonts w:asciiTheme="minorEastAsia" w:hAnsiTheme="minorEastAsia" w:cstheme="minorEastAsia"/>
                <w:sz w:val="21"/>
                <w:szCs w:val="21"/>
                <w:highlight w:val="none"/>
                <w:lang w:eastAsia="zh-CN"/>
              </w:rPr>
              <w:t>1</w:t>
            </w:r>
          </w:p>
        </w:tc>
        <w:tc>
          <w:tcPr>
            <w:tcW w:w="770" w:type="dxa"/>
            <w:vAlign w:val="center"/>
          </w:tcPr>
          <w:p w14:paraId="4CDEC160">
            <w:pPr>
              <w:pStyle w:val="6"/>
              <w:spacing w:line="340" w:lineRule="exact"/>
              <w:jc w:val="center"/>
              <w:rPr>
                <w:rFonts w:hint="default" w:asciiTheme="minorEastAsia" w:hAnsiTheme="minorEastAsia" w:cstheme="minorEastAsia"/>
                <w:sz w:val="21"/>
                <w:szCs w:val="21"/>
                <w:highlight w:val="none"/>
              </w:rPr>
            </w:pPr>
          </w:p>
        </w:tc>
        <w:tc>
          <w:tcPr>
            <w:tcW w:w="7107" w:type="dxa"/>
            <w:vAlign w:val="center"/>
          </w:tcPr>
          <w:p w14:paraId="105E38C1">
            <w:pPr>
              <w:pStyle w:val="6"/>
              <w:spacing w:line="340" w:lineRule="exact"/>
              <w:jc w:val="center"/>
              <w:rPr>
                <w:rFonts w:hint="default" w:asciiTheme="minorEastAsia" w:hAnsiTheme="minorEastAsia" w:cstheme="minorEastAsia"/>
                <w:b/>
                <w:bCs/>
                <w:sz w:val="21"/>
                <w:szCs w:val="21"/>
                <w:highlight w:val="none"/>
              </w:rPr>
            </w:pPr>
            <w:r>
              <w:rPr>
                <w:rFonts w:asciiTheme="minorEastAsia" w:hAnsiTheme="minorEastAsia" w:cstheme="minorEastAsia"/>
                <w:b/>
                <w:bCs/>
                <w:sz w:val="21"/>
                <w:szCs w:val="21"/>
                <w:highlight w:val="none"/>
              </w:rPr>
              <w:t>采购清单</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1616"/>
              <w:gridCol w:w="1147"/>
              <w:gridCol w:w="1153"/>
              <w:gridCol w:w="1148"/>
              <w:gridCol w:w="1147"/>
            </w:tblGrid>
            <w:tr w14:paraId="79F7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781303B4">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序号</w:t>
                  </w:r>
                </w:p>
              </w:tc>
              <w:tc>
                <w:tcPr>
                  <w:tcW w:w="1174" w:type="pct"/>
                  <w:vAlign w:val="center"/>
                </w:tcPr>
                <w:p w14:paraId="5B4CF7B1">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货物名称</w:t>
                  </w:r>
                </w:p>
              </w:tc>
              <w:tc>
                <w:tcPr>
                  <w:tcW w:w="833" w:type="pct"/>
                  <w:vAlign w:val="center"/>
                </w:tcPr>
                <w:p w14:paraId="2B0DF2E4">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数量</w:t>
                  </w:r>
                </w:p>
              </w:tc>
              <w:tc>
                <w:tcPr>
                  <w:tcW w:w="837" w:type="pct"/>
                  <w:vAlign w:val="center"/>
                </w:tcPr>
                <w:p w14:paraId="6ACCDBE3">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单价</w:t>
                  </w:r>
                </w:p>
              </w:tc>
              <w:tc>
                <w:tcPr>
                  <w:tcW w:w="834" w:type="pct"/>
                  <w:vAlign w:val="center"/>
                </w:tcPr>
                <w:p w14:paraId="24C3D61C">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预算金额（元）</w:t>
                  </w:r>
                </w:p>
              </w:tc>
              <w:tc>
                <w:tcPr>
                  <w:tcW w:w="833" w:type="pct"/>
                  <w:vAlign w:val="center"/>
                </w:tcPr>
                <w:p w14:paraId="4E233ACD">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核心</w:t>
                  </w:r>
                </w:p>
                <w:p w14:paraId="621E2DF3">
                  <w:pPr>
                    <w:widowControl w:val="0"/>
                    <w:spacing w:line="400" w:lineRule="exact"/>
                    <w:jc w:val="center"/>
                    <w:rPr>
                      <w:rFonts w:asciiTheme="minorEastAsia" w:hAnsiTheme="minorEastAsia" w:cstheme="minorEastAsia"/>
                      <w:szCs w:val="21"/>
                      <w:highlight w:val="none"/>
                    </w:rPr>
                  </w:pPr>
                  <w:r>
                    <w:rPr>
                      <w:rFonts w:hint="eastAsia" w:ascii="宋体" w:hAnsi="宋体" w:cs="宋体"/>
                      <w:b/>
                      <w:bCs/>
                      <w:szCs w:val="21"/>
                      <w:highlight w:val="none"/>
                    </w:rPr>
                    <w:t>产品</w:t>
                  </w:r>
                </w:p>
              </w:tc>
            </w:tr>
            <w:tr w14:paraId="25FB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F717945">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1</w:t>
                  </w:r>
                </w:p>
              </w:tc>
              <w:tc>
                <w:tcPr>
                  <w:tcW w:w="1174" w:type="pct"/>
                  <w:vAlign w:val="center"/>
                </w:tcPr>
                <w:p w14:paraId="37B14067">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超A1幅面高精度非接触式扫描仪</w:t>
                  </w:r>
                </w:p>
              </w:tc>
              <w:tc>
                <w:tcPr>
                  <w:tcW w:w="833" w:type="pct"/>
                  <w:vAlign w:val="center"/>
                </w:tcPr>
                <w:p w14:paraId="4528CF73">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1台</w:t>
                  </w:r>
                </w:p>
              </w:tc>
              <w:tc>
                <w:tcPr>
                  <w:tcW w:w="837" w:type="pct"/>
                  <w:vAlign w:val="center"/>
                </w:tcPr>
                <w:p w14:paraId="1E0AB032">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1050000</w:t>
                  </w:r>
                </w:p>
              </w:tc>
              <w:tc>
                <w:tcPr>
                  <w:tcW w:w="834" w:type="pct"/>
                  <w:vAlign w:val="center"/>
                </w:tcPr>
                <w:p w14:paraId="6A7C8B3D">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1050000</w:t>
                  </w:r>
                </w:p>
              </w:tc>
              <w:tc>
                <w:tcPr>
                  <w:tcW w:w="833" w:type="pct"/>
                  <w:vAlign w:val="center"/>
                </w:tcPr>
                <w:p w14:paraId="51FA31A4">
                  <w:pPr>
                    <w:widowControl w:val="0"/>
                    <w:spacing w:line="400" w:lineRule="exact"/>
                    <w:jc w:val="center"/>
                    <w:rPr>
                      <w:rFonts w:asciiTheme="minorEastAsia" w:hAnsiTheme="minorEastAsia" w:cstheme="minorEastAsia"/>
                      <w:szCs w:val="21"/>
                      <w:highlight w:val="none"/>
                    </w:rPr>
                  </w:pPr>
                </w:p>
              </w:tc>
            </w:tr>
            <w:tr w14:paraId="5F27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36379E9C">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2</w:t>
                  </w:r>
                </w:p>
              </w:tc>
              <w:tc>
                <w:tcPr>
                  <w:tcW w:w="1174" w:type="pct"/>
                  <w:vAlign w:val="center"/>
                </w:tcPr>
                <w:p w14:paraId="1DC7F2E7">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全自动书刊档案扫描机器人</w:t>
                  </w:r>
                </w:p>
              </w:tc>
              <w:tc>
                <w:tcPr>
                  <w:tcW w:w="833" w:type="pct"/>
                  <w:vAlign w:val="center"/>
                </w:tcPr>
                <w:p w14:paraId="238D6794">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1台</w:t>
                  </w:r>
                </w:p>
              </w:tc>
              <w:tc>
                <w:tcPr>
                  <w:tcW w:w="837" w:type="pct"/>
                  <w:vAlign w:val="center"/>
                </w:tcPr>
                <w:p w14:paraId="14045181">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1250000</w:t>
                  </w:r>
                </w:p>
              </w:tc>
              <w:tc>
                <w:tcPr>
                  <w:tcW w:w="834" w:type="pct"/>
                  <w:vAlign w:val="center"/>
                </w:tcPr>
                <w:p w14:paraId="01E3AFEB">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1250000</w:t>
                  </w:r>
                </w:p>
              </w:tc>
              <w:tc>
                <w:tcPr>
                  <w:tcW w:w="833" w:type="pct"/>
                  <w:vAlign w:val="center"/>
                </w:tcPr>
                <w:p w14:paraId="7C49F843">
                  <w:pPr>
                    <w:widowControl w:val="0"/>
                    <w:spacing w:line="400" w:lineRule="exact"/>
                    <w:jc w:val="center"/>
                    <w:rPr>
                      <w:rFonts w:asciiTheme="minorEastAsia" w:hAnsiTheme="minorEastAsia" w:cstheme="minorEastAsia"/>
                      <w:szCs w:val="21"/>
                      <w:highlight w:val="none"/>
                    </w:rPr>
                  </w:pPr>
                </w:p>
              </w:tc>
            </w:tr>
            <w:tr w14:paraId="1011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53E81A0">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3</w:t>
                  </w:r>
                </w:p>
              </w:tc>
              <w:tc>
                <w:tcPr>
                  <w:tcW w:w="1174" w:type="pct"/>
                  <w:vAlign w:val="center"/>
                </w:tcPr>
                <w:p w14:paraId="076B8DFD">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数据采集系统</w:t>
                  </w:r>
                </w:p>
              </w:tc>
              <w:tc>
                <w:tcPr>
                  <w:tcW w:w="833" w:type="pct"/>
                  <w:vAlign w:val="center"/>
                </w:tcPr>
                <w:p w14:paraId="0845F894">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1套</w:t>
                  </w:r>
                </w:p>
              </w:tc>
              <w:tc>
                <w:tcPr>
                  <w:tcW w:w="837" w:type="pct"/>
                  <w:vAlign w:val="center"/>
                </w:tcPr>
                <w:p w14:paraId="74965224">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990000</w:t>
                  </w:r>
                </w:p>
              </w:tc>
              <w:tc>
                <w:tcPr>
                  <w:tcW w:w="834" w:type="pct"/>
                  <w:vAlign w:val="center"/>
                </w:tcPr>
                <w:p w14:paraId="046A8718">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990000</w:t>
                  </w:r>
                </w:p>
              </w:tc>
              <w:tc>
                <w:tcPr>
                  <w:tcW w:w="833" w:type="pct"/>
                  <w:vAlign w:val="center"/>
                </w:tcPr>
                <w:p w14:paraId="22E8035D">
                  <w:pPr>
                    <w:widowControl w:val="0"/>
                    <w:spacing w:line="400" w:lineRule="exact"/>
                    <w:jc w:val="center"/>
                    <w:rPr>
                      <w:rFonts w:asciiTheme="minorEastAsia" w:hAnsiTheme="minorEastAsia" w:cstheme="minorEastAsia"/>
                      <w:szCs w:val="21"/>
                      <w:highlight w:val="none"/>
                    </w:rPr>
                  </w:pPr>
                  <w:r>
                    <w:rPr>
                      <w:rFonts w:ascii="仿宋_GB2312" w:hAnsi="仿宋_GB2312" w:eastAsia="仿宋_GB2312" w:cs="仿宋_GB2312"/>
                      <w:highlight w:val="none"/>
                    </w:rPr>
                    <w:t>★</w:t>
                  </w:r>
                </w:p>
              </w:tc>
            </w:tr>
            <w:tr w14:paraId="7FBA8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200E346">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4</w:t>
                  </w:r>
                </w:p>
              </w:tc>
              <w:tc>
                <w:tcPr>
                  <w:tcW w:w="1174" w:type="pct"/>
                  <w:vAlign w:val="center"/>
                </w:tcPr>
                <w:p w14:paraId="63492DFA">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配套数据处理工作站</w:t>
                  </w:r>
                </w:p>
              </w:tc>
              <w:tc>
                <w:tcPr>
                  <w:tcW w:w="833" w:type="pct"/>
                  <w:vAlign w:val="center"/>
                </w:tcPr>
                <w:p w14:paraId="1D6A8280">
                  <w:pPr>
                    <w:widowControl w:val="0"/>
                    <w:spacing w:line="400" w:lineRule="exact"/>
                    <w:jc w:val="center"/>
                    <w:rPr>
                      <w:rFonts w:asciiTheme="minorEastAsia" w:hAnsiTheme="minorEastAsia" w:cstheme="minorEastAsia"/>
                      <w:color w:val="000000" w:themeColor="text1"/>
                      <w:szCs w:val="21"/>
                      <w:highlight w:val="none"/>
                      <w14:textFill>
                        <w14:solidFill>
                          <w14:schemeClr w14:val="tx1"/>
                        </w14:solidFill>
                      </w14:textFill>
                    </w:rPr>
                  </w:pPr>
                  <w:r>
                    <w:rPr>
                      <w:rFonts w:hint="eastAsia" w:cs="Segoe UI" w:asciiTheme="minorEastAsia" w:hAnsiTheme="minorEastAsia" w:eastAsiaTheme="minorEastAsia"/>
                      <w:color w:val="000000" w:themeColor="text1"/>
                      <w:szCs w:val="21"/>
                      <w:highlight w:val="none"/>
                      <w:shd w:val="clear" w:color="auto" w:fill="FFFFFF"/>
                      <w14:textFill>
                        <w14:solidFill>
                          <w14:schemeClr w14:val="tx1"/>
                        </w14:solidFill>
                      </w14:textFill>
                    </w:rPr>
                    <w:t>2台</w:t>
                  </w:r>
                </w:p>
              </w:tc>
              <w:tc>
                <w:tcPr>
                  <w:tcW w:w="837" w:type="pct"/>
                  <w:vAlign w:val="center"/>
                </w:tcPr>
                <w:p w14:paraId="3CC414B9">
                  <w:pPr>
                    <w:widowControl w:val="0"/>
                    <w:spacing w:line="400" w:lineRule="exact"/>
                    <w:jc w:val="center"/>
                    <w:rPr>
                      <w:rFonts w:asciiTheme="minorEastAsia" w:hAnsiTheme="minorEastAsia" w:cstheme="minorEastAsia"/>
                      <w:color w:val="000000" w:themeColor="text1"/>
                      <w:szCs w:val="21"/>
                      <w:highlight w:val="none"/>
                      <w:u w:val="single"/>
                      <w14:textFill>
                        <w14:solidFill>
                          <w14:schemeClr w14:val="tx1"/>
                        </w14:solidFill>
                      </w14:textFill>
                    </w:rPr>
                  </w:pPr>
                  <w:r>
                    <w:rPr>
                      <w:rFonts w:hint="eastAsia" w:cs="Segoe UI" w:asciiTheme="minorEastAsia" w:hAnsiTheme="minorEastAsia" w:eastAsiaTheme="minorEastAsia"/>
                      <w:color w:val="000000" w:themeColor="text1"/>
                      <w:szCs w:val="21"/>
                      <w:highlight w:val="none"/>
                      <w:shd w:val="clear" w:color="auto" w:fill="FFFFFF"/>
                      <w14:textFill>
                        <w14:solidFill>
                          <w14:schemeClr w14:val="tx1"/>
                        </w14:solidFill>
                      </w14:textFill>
                    </w:rPr>
                    <w:t>15000</w:t>
                  </w:r>
                </w:p>
              </w:tc>
              <w:tc>
                <w:tcPr>
                  <w:tcW w:w="834" w:type="pct"/>
                  <w:vAlign w:val="center"/>
                </w:tcPr>
                <w:p w14:paraId="152F1C15">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30000</w:t>
                  </w:r>
                </w:p>
              </w:tc>
              <w:tc>
                <w:tcPr>
                  <w:tcW w:w="833" w:type="pct"/>
                  <w:vAlign w:val="center"/>
                </w:tcPr>
                <w:p w14:paraId="22DE4818">
                  <w:pPr>
                    <w:widowControl w:val="0"/>
                    <w:spacing w:line="400" w:lineRule="exact"/>
                    <w:jc w:val="center"/>
                    <w:rPr>
                      <w:rFonts w:asciiTheme="minorEastAsia" w:hAnsiTheme="minorEastAsia" w:cstheme="minorEastAsia"/>
                      <w:szCs w:val="21"/>
                      <w:highlight w:val="none"/>
                    </w:rPr>
                  </w:pPr>
                </w:p>
              </w:tc>
            </w:tr>
            <w:tr w14:paraId="24FB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2" w:type="pct"/>
                  <w:gridSpan w:val="4"/>
                  <w:vAlign w:val="center"/>
                </w:tcPr>
                <w:p w14:paraId="03CA0671">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b/>
                      <w:bCs/>
                      <w:szCs w:val="21"/>
                      <w:highlight w:val="none"/>
                    </w:rPr>
                    <w:t>小计</w:t>
                  </w:r>
                </w:p>
              </w:tc>
              <w:tc>
                <w:tcPr>
                  <w:tcW w:w="834" w:type="pct"/>
                  <w:vAlign w:val="center"/>
                </w:tcPr>
                <w:p w14:paraId="683750F2">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3320000</w:t>
                  </w:r>
                </w:p>
              </w:tc>
              <w:tc>
                <w:tcPr>
                  <w:tcW w:w="833" w:type="pct"/>
                  <w:vAlign w:val="center"/>
                </w:tcPr>
                <w:p w14:paraId="779A3233">
                  <w:pPr>
                    <w:widowControl w:val="0"/>
                    <w:spacing w:line="400" w:lineRule="exact"/>
                    <w:jc w:val="center"/>
                    <w:rPr>
                      <w:rFonts w:asciiTheme="minorEastAsia" w:hAnsiTheme="minorEastAsia" w:cstheme="minorEastAsia"/>
                      <w:szCs w:val="21"/>
                      <w:highlight w:val="none"/>
                    </w:rPr>
                  </w:pPr>
                  <w:r>
                    <w:rPr>
                      <w:rFonts w:hint="eastAsia" w:ascii="宋体" w:hAnsi="宋体" w:cs="宋体"/>
                      <w:b/>
                      <w:sz w:val="18"/>
                      <w:szCs w:val="18"/>
                      <w:highlight w:val="none"/>
                    </w:rPr>
                    <w:t>/</w:t>
                  </w:r>
                </w:p>
              </w:tc>
            </w:tr>
          </w:tbl>
          <w:p w14:paraId="35983BF4">
            <w:pPr>
              <w:pStyle w:val="6"/>
              <w:spacing w:line="340" w:lineRule="exact"/>
              <w:jc w:val="both"/>
              <w:rPr>
                <w:rFonts w:hint="default" w:asciiTheme="minorEastAsia" w:hAnsiTheme="minorEastAsia" w:cstheme="minorEastAsia"/>
                <w:sz w:val="21"/>
                <w:szCs w:val="21"/>
                <w:highlight w:val="none"/>
              </w:rPr>
            </w:pPr>
          </w:p>
        </w:tc>
      </w:tr>
      <w:tr w14:paraId="44CC2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060285C7">
            <w:pPr>
              <w:pStyle w:val="6"/>
              <w:spacing w:line="340" w:lineRule="exact"/>
              <w:jc w:val="center"/>
              <w:rPr>
                <w:rFonts w:hint="default" w:asciiTheme="minorEastAsia" w:hAnsiTheme="minorEastAsia" w:cstheme="minorEastAsia"/>
                <w:sz w:val="21"/>
                <w:szCs w:val="21"/>
                <w:highlight w:val="none"/>
                <w:lang w:eastAsia="zh-CN"/>
              </w:rPr>
            </w:pPr>
            <w:r>
              <w:rPr>
                <w:rFonts w:asciiTheme="minorEastAsia" w:hAnsiTheme="minorEastAsia" w:cstheme="minorEastAsia"/>
                <w:sz w:val="21"/>
                <w:szCs w:val="21"/>
                <w:highlight w:val="none"/>
                <w:lang w:eastAsia="zh-CN"/>
              </w:rPr>
              <w:t>2</w:t>
            </w:r>
          </w:p>
        </w:tc>
        <w:tc>
          <w:tcPr>
            <w:tcW w:w="770" w:type="dxa"/>
            <w:vAlign w:val="center"/>
          </w:tcPr>
          <w:p w14:paraId="57CB0CC6">
            <w:pPr>
              <w:pStyle w:val="6"/>
              <w:spacing w:line="340" w:lineRule="exact"/>
              <w:jc w:val="center"/>
              <w:rPr>
                <w:rFonts w:hint="default" w:asciiTheme="minorEastAsia" w:hAnsiTheme="minorEastAsia" w:cstheme="minorEastAsia"/>
                <w:sz w:val="21"/>
                <w:szCs w:val="21"/>
                <w:highlight w:val="none"/>
              </w:rPr>
            </w:pPr>
          </w:p>
        </w:tc>
        <w:tc>
          <w:tcPr>
            <w:tcW w:w="7107" w:type="dxa"/>
            <w:vAlign w:val="center"/>
          </w:tcPr>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148"/>
              <w:gridCol w:w="875"/>
              <w:gridCol w:w="1500"/>
              <w:gridCol w:w="2638"/>
            </w:tblGrid>
            <w:tr w14:paraId="24E6C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vAlign w:val="center"/>
                </w:tcPr>
                <w:p w14:paraId="2F89708F">
                  <w:pPr>
                    <w:widowControl w:val="0"/>
                    <w:spacing w:line="400" w:lineRule="exact"/>
                    <w:jc w:val="center"/>
                    <w:rPr>
                      <w:rFonts w:asciiTheme="minorEastAsia" w:hAnsiTheme="minorEastAsia" w:cstheme="minorEastAsia"/>
                      <w:szCs w:val="21"/>
                      <w:highlight w:val="none"/>
                    </w:rPr>
                  </w:pPr>
                  <w:r>
                    <w:rPr>
                      <w:rFonts w:hint="eastAsia" w:ascii="宋体" w:hAnsi="宋体" w:cs="宋体"/>
                      <w:b/>
                      <w:sz w:val="24"/>
                      <w:szCs w:val="24"/>
                      <w:highlight w:val="none"/>
                    </w:rPr>
                    <w:t>配套标的需要的服务清单</w:t>
                  </w:r>
                </w:p>
              </w:tc>
            </w:tr>
            <w:tr w14:paraId="209B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pct"/>
                  <w:vAlign w:val="center"/>
                </w:tcPr>
                <w:p w14:paraId="31B583A7">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序号</w:t>
                  </w:r>
                </w:p>
              </w:tc>
              <w:tc>
                <w:tcPr>
                  <w:tcW w:w="834" w:type="pct"/>
                  <w:vAlign w:val="center"/>
                </w:tcPr>
                <w:p w14:paraId="6D47552F">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服务名称</w:t>
                  </w:r>
                </w:p>
              </w:tc>
              <w:tc>
                <w:tcPr>
                  <w:tcW w:w="635" w:type="pct"/>
                  <w:vAlign w:val="center"/>
                </w:tcPr>
                <w:p w14:paraId="32A5A5D7">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数量</w:t>
                  </w:r>
                </w:p>
              </w:tc>
              <w:tc>
                <w:tcPr>
                  <w:tcW w:w="1090" w:type="pct"/>
                  <w:vAlign w:val="center"/>
                </w:tcPr>
                <w:p w14:paraId="157E85BB">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预算金额（元）</w:t>
                  </w:r>
                </w:p>
              </w:tc>
              <w:tc>
                <w:tcPr>
                  <w:tcW w:w="1916" w:type="pct"/>
                  <w:vAlign w:val="center"/>
                </w:tcPr>
                <w:p w14:paraId="7ED31254">
                  <w:pPr>
                    <w:widowControl w:val="0"/>
                    <w:spacing w:line="400" w:lineRule="exact"/>
                    <w:jc w:val="center"/>
                    <w:rPr>
                      <w:rFonts w:ascii="宋体" w:hAnsi="宋体" w:cs="宋体"/>
                      <w:b/>
                      <w:bCs/>
                      <w:szCs w:val="21"/>
                      <w:highlight w:val="none"/>
                    </w:rPr>
                  </w:pPr>
                  <w:r>
                    <w:rPr>
                      <w:rFonts w:hint="eastAsia" w:ascii="宋体" w:hAnsi="宋体" w:cs="宋体"/>
                      <w:b/>
                      <w:bCs/>
                      <w:szCs w:val="21"/>
                      <w:highlight w:val="none"/>
                    </w:rPr>
                    <w:t>服务要求</w:t>
                  </w:r>
                </w:p>
              </w:tc>
            </w:tr>
            <w:tr w14:paraId="5D41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pct"/>
                  <w:vAlign w:val="center"/>
                </w:tcPr>
                <w:p w14:paraId="3A2CC827">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1</w:t>
                  </w:r>
                </w:p>
              </w:tc>
              <w:tc>
                <w:tcPr>
                  <w:tcW w:w="834" w:type="pct"/>
                  <w:vAlign w:val="center"/>
                </w:tcPr>
                <w:p w14:paraId="29E56959">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安装调试与系统集成服务</w:t>
                  </w:r>
                </w:p>
              </w:tc>
              <w:tc>
                <w:tcPr>
                  <w:tcW w:w="635" w:type="pct"/>
                  <w:vAlign w:val="center"/>
                </w:tcPr>
                <w:p w14:paraId="1008ED5B">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1项</w:t>
                  </w:r>
                </w:p>
              </w:tc>
              <w:tc>
                <w:tcPr>
                  <w:tcW w:w="1090" w:type="pct"/>
                  <w:vAlign w:val="center"/>
                </w:tcPr>
                <w:p w14:paraId="7329F6F4">
                  <w:pPr>
                    <w:widowControl w:val="0"/>
                    <w:spacing w:line="400" w:lineRule="exact"/>
                    <w:jc w:val="center"/>
                    <w:rPr>
                      <w:rFonts w:cs="Segoe UI" w:asciiTheme="minorEastAsia" w:hAnsiTheme="minorEastAsia" w:eastAsiaTheme="minorEastAsia"/>
                      <w:color w:val="0F1115"/>
                      <w:szCs w:val="21"/>
                      <w:highlight w:val="none"/>
                      <w:shd w:val="clear" w:color="auto" w:fill="FFFFFF"/>
                    </w:rPr>
                  </w:pPr>
                  <w:r>
                    <w:rPr>
                      <w:rFonts w:cs="Segoe UI" w:asciiTheme="minorEastAsia" w:hAnsiTheme="minorEastAsia" w:eastAsiaTheme="minorEastAsia"/>
                      <w:color w:val="0F1115"/>
                      <w:szCs w:val="21"/>
                      <w:highlight w:val="none"/>
                      <w:shd w:val="clear" w:color="auto" w:fill="FFFFFF"/>
                    </w:rPr>
                    <w:t>已含在</w:t>
                  </w:r>
                </w:p>
                <w:p w14:paraId="1203FB1E">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设备总价中</w:t>
                  </w:r>
                </w:p>
              </w:tc>
              <w:tc>
                <w:tcPr>
                  <w:tcW w:w="1916" w:type="pct"/>
                  <w:vAlign w:val="center"/>
                </w:tcPr>
                <w:p w14:paraId="74845936">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负责所有设备的现场安装、调试、系统集成，确保硬件设备与数据处理工作站之间的数据互通及稳定运行。</w:t>
                  </w:r>
                </w:p>
              </w:tc>
            </w:tr>
            <w:tr w14:paraId="04BC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23" w:type="pct"/>
                  <w:vAlign w:val="center"/>
                </w:tcPr>
                <w:p w14:paraId="688B3DA8">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2</w:t>
                  </w:r>
                </w:p>
              </w:tc>
              <w:tc>
                <w:tcPr>
                  <w:tcW w:w="834" w:type="pct"/>
                  <w:vAlign w:val="center"/>
                </w:tcPr>
                <w:p w14:paraId="574BA108">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操作培训服务</w:t>
                  </w:r>
                </w:p>
              </w:tc>
              <w:tc>
                <w:tcPr>
                  <w:tcW w:w="635" w:type="pct"/>
                  <w:vAlign w:val="center"/>
                </w:tcPr>
                <w:p w14:paraId="13A66610">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1项</w:t>
                  </w:r>
                </w:p>
              </w:tc>
              <w:tc>
                <w:tcPr>
                  <w:tcW w:w="1090" w:type="pct"/>
                  <w:vAlign w:val="center"/>
                </w:tcPr>
                <w:p w14:paraId="32100ED2">
                  <w:pPr>
                    <w:widowControl w:val="0"/>
                    <w:spacing w:line="400" w:lineRule="exact"/>
                    <w:jc w:val="center"/>
                    <w:rPr>
                      <w:rFonts w:cs="Segoe UI" w:asciiTheme="minorEastAsia" w:hAnsiTheme="minorEastAsia" w:eastAsiaTheme="minorEastAsia"/>
                      <w:color w:val="0F1115"/>
                      <w:szCs w:val="21"/>
                      <w:highlight w:val="none"/>
                      <w:shd w:val="clear" w:color="auto" w:fill="FFFFFF"/>
                    </w:rPr>
                  </w:pPr>
                  <w:r>
                    <w:rPr>
                      <w:rFonts w:cs="Segoe UI" w:asciiTheme="minorEastAsia" w:hAnsiTheme="minorEastAsia" w:eastAsiaTheme="minorEastAsia"/>
                      <w:color w:val="0F1115"/>
                      <w:szCs w:val="21"/>
                      <w:highlight w:val="none"/>
                      <w:shd w:val="clear" w:color="auto" w:fill="FFFFFF"/>
                    </w:rPr>
                    <w:t>已含在</w:t>
                  </w:r>
                </w:p>
                <w:p w14:paraId="4118ED0A">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设备总价中</w:t>
                  </w:r>
                </w:p>
              </w:tc>
              <w:tc>
                <w:tcPr>
                  <w:tcW w:w="1916" w:type="pct"/>
                  <w:vAlign w:val="center"/>
                </w:tcPr>
                <w:p w14:paraId="0B34C9FB">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提供不少于5个工作日的现场操作培训，培训内容包括设备原理、操作流程、日常维护、故障排除、数据处理软件使用等，确保至少8名操作人员能够独立使用设备。</w:t>
                  </w:r>
                </w:p>
              </w:tc>
            </w:tr>
            <w:tr w14:paraId="2D7C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pct"/>
                  <w:vAlign w:val="center"/>
                </w:tcPr>
                <w:p w14:paraId="7EAF25CA">
                  <w:pPr>
                    <w:widowControl w:val="0"/>
                    <w:spacing w:line="400" w:lineRule="exact"/>
                    <w:jc w:val="center"/>
                    <w:rPr>
                      <w:rFonts w:asciiTheme="minorEastAsia" w:hAnsiTheme="minorEastAsia" w:cstheme="minorEastAsia"/>
                      <w:szCs w:val="21"/>
                      <w:highlight w:val="none"/>
                    </w:rPr>
                  </w:pPr>
                  <w:r>
                    <w:rPr>
                      <w:rFonts w:hint="eastAsia" w:cs="宋体" w:asciiTheme="minorEastAsia" w:hAnsiTheme="minorEastAsia" w:eastAsiaTheme="minorEastAsia"/>
                      <w:szCs w:val="21"/>
                      <w:highlight w:val="none"/>
                    </w:rPr>
                    <w:t>3</w:t>
                  </w:r>
                </w:p>
              </w:tc>
              <w:tc>
                <w:tcPr>
                  <w:tcW w:w="834" w:type="pct"/>
                  <w:vAlign w:val="center"/>
                </w:tcPr>
                <w:p w14:paraId="54596F71">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质保与售后服务</w:t>
                  </w:r>
                </w:p>
              </w:tc>
              <w:tc>
                <w:tcPr>
                  <w:tcW w:w="635" w:type="pct"/>
                  <w:vAlign w:val="center"/>
                </w:tcPr>
                <w:p w14:paraId="5C12A440">
                  <w:pPr>
                    <w:widowControl w:val="0"/>
                    <w:spacing w:line="400" w:lineRule="exact"/>
                    <w:jc w:val="center"/>
                    <w:rPr>
                      <w:rFonts w:asciiTheme="minorEastAsia" w:hAnsiTheme="minorEastAsia" w:cstheme="minorEastAsia"/>
                      <w:szCs w:val="21"/>
                      <w:highlight w:val="none"/>
                    </w:rPr>
                  </w:pPr>
                  <w:r>
                    <w:rPr>
                      <w:rFonts w:hint="eastAsia" w:cs="Segoe UI" w:asciiTheme="minorEastAsia" w:hAnsiTheme="minorEastAsia" w:eastAsiaTheme="minorEastAsia"/>
                      <w:color w:val="0F1115"/>
                      <w:szCs w:val="21"/>
                      <w:highlight w:val="none"/>
                      <w:shd w:val="clear" w:color="auto" w:fill="FFFFFF"/>
                    </w:rPr>
                    <w:t>1项</w:t>
                  </w:r>
                </w:p>
              </w:tc>
              <w:tc>
                <w:tcPr>
                  <w:tcW w:w="1090" w:type="pct"/>
                  <w:vAlign w:val="center"/>
                </w:tcPr>
                <w:p w14:paraId="50E15746">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已含在设备总价中</w:t>
                  </w:r>
                </w:p>
              </w:tc>
              <w:tc>
                <w:tcPr>
                  <w:tcW w:w="1916" w:type="pct"/>
                  <w:vAlign w:val="center"/>
                </w:tcPr>
                <w:p w14:paraId="349105C1">
                  <w:pPr>
                    <w:widowControl w:val="0"/>
                    <w:spacing w:line="400" w:lineRule="exact"/>
                    <w:jc w:val="center"/>
                    <w:rPr>
                      <w:rFonts w:asciiTheme="minorEastAsia" w:hAnsiTheme="minorEastAsia" w:cstheme="minorEastAsia"/>
                      <w:szCs w:val="21"/>
                      <w:highlight w:val="none"/>
                    </w:rPr>
                  </w:pPr>
                  <w:r>
                    <w:rPr>
                      <w:rFonts w:cs="Segoe UI" w:asciiTheme="minorEastAsia" w:hAnsiTheme="minorEastAsia" w:eastAsiaTheme="minorEastAsia"/>
                      <w:color w:val="0F1115"/>
                      <w:szCs w:val="21"/>
                      <w:highlight w:val="none"/>
                      <w:shd w:val="clear" w:color="auto" w:fill="FFFFFF"/>
                    </w:rPr>
                    <w:t>硬件设备提供不少于3年原厂质保（从最终验收合格之日起计算）；质保期内提供7×24小时技术支持，故障响应时间≤2小时，到达现场≤24小时；质保期内免费提供软件版本升级服务。</w:t>
                  </w:r>
                </w:p>
              </w:tc>
            </w:tr>
            <w:tr w14:paraId="08BF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3" w:type="pct"/>
                  <w:gridSpan w:val="3"/>
                  <w:vAlign w:val="center"/>
                </w:tcPr>
                <w:p w14:paraId="64EDFDDC">
                  <w:pPr>
                    <w:widowControl w:val="0"/>
                    <w:spacing w:line="400" w:lineRule="exact"/>
                    <w:jc w:val="center"/>
                    <w:rPr>
                      <w:rFonts w:asciiTheme="minorEastAsia" w:hAnsiTheme="minorEastAsia" w:cstheme="minorEastAsia"/>
                      <w:szCs w:val="21"/>
                      <w:highlight w:val="none"/>
                    </w:rPr>
                  </w:pPr>
                  <w:r>
                    <w:rPr>
                      <w:rFonts w:hint="eastAsia" w:ascii="宋体" w:hAnsi="宋体" w:cs="宋体"/>
                      <w:b/>
                      <w:bCs/>
                      <w:sz w:val="24"/>
                      <w:szCs w:val="24"/>
                      <w:highlight w:val="none"/>
                    </w:rPr>
                    <w:t>小计</w:t>
                  </w:r>
                </w:p>
              </w:tc>
              <w:tc>
                <w:tcPr>
                  <w:tcW w:w="1090" w:type="pct"/>
                  <w:vAlign w:val="center"/>
                </w:tcPr>
                <w:p w14:paraId="5125296A">
                  <w:pPr>
                    <w:widowControl w:val="0"/>
                    <w:spacing w:line="400" w:lineRule="exact"/>
                    <w:jc w:val="center"/>
                    <w:rPr>
                      <w:rFonts w:asciiTheme="minorEastAsia" w:hAnsiTheme="minorEastAsia" w:cstheme="minorEastAsia"/>
                      <w:szCs w:val="21"/>
                      <w:highlight w:val="none"/>
                    </w:rPr>
                  </w:pPr>
                  <w:r>
                    <w:rPr>
                      <w:rFonts w:hint="eastAsia" w:ascii="Segoe UI" w:hAnsi="Segoe UI" w:eastAsia="Segoe UI" w:cs="Segoe UI"/>
                      <w:color w:val="0F1115"/>
                      <w:sz w:val="22"/>
                      <w:highlight w:val="none"/>
                      <w:shd w:val="clear" w:color="auto" w:fill="FFFFFF"/>
                    </w:rPr>
                    <w:t>0</w:t>
                  </w:r>
                </w:p>
              </w:tc>
              <w:tc>
                <w:tcPr>
                  <w:tcW w:w="1916" w:type="pct"/>
                  <w:vAlign w:val="center"/>
                </w:tcPr>
                <w:p w14:paraId="73AC669B">
                  <w:pPr>
                    <w:widowControl w:val="0"/>
                    <w:spacing w:line="400" w:lineRule="exact"/>
                    <w:jc w:val="center"/>
                    <w:rPr>
                      <w:highlight w:val="none"/>
                    </w:rPr>
                  </w:pPr>
                  <w:r>
                    <w:rPr>
                      <w:rFonts w:hint="eastAsia" w:ascii="宋体" w:hAnsi="宋体" w:cs="宋体"/>
                      <w:b/>
                      <w:sz w:val="18"/>
                      <w:szCs w:val="18"/>
                      <w:highlight w:val="none"/>
                    </w:rPr>
                    <w:t>/</w:t>
                  </w:r>
                </w:p>
              </w:tc>
            </w:tr>
          </w:tbl>
          <w:p w14:paraId="179F0F53">
            <w:pPr>
              <w:pStyle w:val="6"/>
              <w:spacing w:line="340" w:lineRule="exact"/>
              <w:jc w:val="both"/>
              <w:rPr>
                <w:rFonts w:hint="default" w:asciiTheme="minorEastAsia" w:hAnsiTheme="minorEastAsia" w:cstheme="minorEastAsia"/>
                <w:sz w:val="21"/>
                <w:szCs w:val="21"/>
                <w:highlight w:val="none"/>
              </w:rPr>
            </w:pPr>
          </w:p>
        </w:tc>
      </w:tr>
      <w:tr w14:paraId="6CAB5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2A444266">
            <w:pPr>
              <w:pStyle w:val="6"/>
              <w:spacing w:line="340" w:lineRule="exact"/>
              <w:jc w:val="center"/>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3</w:t>
            </w:r>
          </w:p>
        </w:tc>
        <w:tc>
          <w:tcPr>
            <w:tcW w:w="770" w:type="dxa"/>
          </w:tcPr>
          <w:p w14:paraId="676AB6E6">
            <w:pPr>
              <w:spacing w:line="340" w:lineRule="exact"/>
              <w:rPr>
                <w:rFonts w:ascii="仿宋" w:hAnsi="仿宋" w:eastAsia="仿宋" w:cs="仿宋"/>
                <w:sz w:val="24"/>
                <w:szCs w:val="24"/>
                <w:highlight w:val="none"/>
              </w:rPr>
            </w:pPr>
          </w:p>
        </w:tc>
        <w:tc>
          <w:tcPr>
            <w:tcW w:w="7107" w:type="dxa"/>
          </w:tcPr>
          <w:p w14:paraId="4E711FFE">
            <w:pPr>
              <w:pStyle w:val="6"/>
              <w:spacing w:line="340" w:lineRule="exact"/>
              <w:rPr>
                <w:rFonts w:hint="default" w:ascii="仿宋" w:hAnsi="仿宋" w:eastAsia="仿宋" w:cs="仿宋"/>
                <w:b/>
                <w:bCs/>
                <w:color w:val="000000" w:themeColor="text1"/>
                <w:kern w:val="2"/>
                <w:sz w:val="24"/>
                <w:szCs w:val="24"/>
                <w:highlight w:val="none"/>
                <w:lang w:eastAsia="zh-CN"/>
                <w14:textFill>
                  <w14:solidFill>
                    <w14:schemeClr w14:val="tx1"/>
                  </w14:solidFill>
                </w14:textFill>
              </w:rPr>
            </w:pPr>
            <w:r>
              <w:rPr>
                <w:rFonts w:ascii="仿宋" w:hAnsi="仿宋" w:eastAsia="仿宋" w:cs="仿宋"/>
                <w:b/>
                <w:bCs/>
                <w:sz w:val="24"/>
                <w:szCs w:val="24"/>
                <w:highlight w:val="none"/>
                <w:lang w:eastAsia="zh-CN"/>
              </w:rPr>
              <w:t xml:space="preserve">超A1幅面高精度非接触式扫描仪     </w:t>
            </w:r>
          </w:p>
          <w:p w14:paraId="46A59971">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 xml:space="preserve">▲1、超A1幅面（≥1180mm x 760mm）非接触式扫描，无需拆档。CCD 和稿台可垂直上下自动升降，可升降范围0-120cm。左右可升降工作台高程差0-20cm，适用于扫描各种厚度的档案及图书，保持扫描台一直处于平衡状态。(要求非接触式扫描，不接受平板或滚筒扫描) 。  </w:t>
            </w:r>
          </w:p>
          <w:p w14:paraId="17728880">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2、案卷台X光片扫描系统可根据胶片黑度进行光源手动调节和自动调节功能。</w:t>
            </w:r>
          </w:p>
          <w:p w14:paraId="31929F03">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3、具备胶片扫描功能，可扫描14″× 17″英寸胶片。</w:t>
            </w:r>
          </w:p>
          <w:p w14:paraId="17D79669">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▲4、要求 CCD点对点一次性彩色扫描方式，要求实体证物采集景深高度≥12cm。不受装订方式限制。</w:t>
            </w:r>
          </w:p>
          <w:p w14:paraId="5DD55A1D">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5、要求彩色扫描一次性完成,扫描过程镜头、光源不移动、不走动。并且要求具备实体证物彩色立体采集功能。可实现实体物证仿3D立体采集胶片数字化扫描。案卷、实物、胶片实现一机扫描。</w:t>
            </w:r>
          </w:p>
          <w:p w14:paraId="252CEB81">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6、可以通过外置辅助光源进行特殊数据采集，支持升级全光谱扫描功能，扫描光谱范围300nm-1100nm，可扫描不同波长的光谱图像。可搜索到光滑非渗透性或半非渗透客体表面的油迹指纹、污迹等。可对消退、涂改、变造字迹等进行红外检验。操作界面支持多语种。</w:t>
            </w:r>
          </w:p>
          <w:p w14:paraId="3BC5CC22">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 xml:space="preserve">7、CCD传感器分辨率≥70M像素 </w:t>
            </w:r>
          </w:p>
          <w:p w14:paraId="5F00D252">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▲8、600dpi彩色/1180mm x 760mm幅面≤</w:t>
            </w:r>
            <w:r>
              <w:rPr>
                <w:rFonts w:hint="eastAsia" w:ascii="仿宋" w:hAnsi="仿宋" w:eastAsia="仿宋" w:cs="仿宋"/>
                <w:sz w:val="24"/>
                <w:szCs w:val="24"/>
                <w:highlight w:val="none"/>
                <w:lang w:val="en-US" w:eastAsia="zh-CN"/>
              </w:rPr>
              <w:t>0.5</w:t>
            </w:r>
            <w:r>
              <w:rPr>
                <w:rFonts w:hint="default" w:ascii="仿宋" w:hAnsi="仿宋" w:eastAsia="仿宋" w:cs="仿宋"/>
                <w:sz w:val="24"/>
                <w:szCs w:val="24"/>
                <w:highlight w:val="none"/>
                <w:lang w:eastAsia="zh-CN"/>
              </w:rPr>
              <w:t>秒扫描速度</w:t>
            </w:r>
          </w:p>
          <w:p w14:paraId="08FD6561">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9、100-1200 dpi光学分辨率可调节</w:t>
            </w:r>
          </w:p>
          <w:p w14:paraId="3D272DFE">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 xml:space="preserve">10、无闪烁后背式LED零辐射按需独立式采集照明系统 </w:t>
            </w:r>
          </w:p>
          <w:p w14:paraId="07263C6B">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 xml:space="preserve">11、USB3.0接口 </w:t>
            </w:r>
          </w:p>
          <w:p w14:paraId="5E48854A">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12、可变幅面大小镜头垂直位置（A1+—A5+）幅面，扫描可根据实际情况进行调整。</w:t>
            </w:r>
          </w:p>
          <w:p w14:paraId="3DAB9608">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13、提供补充光源，实现全幅面最佳扫描效果。</w:t>
            </w:r>
          </w:p>
          <w:p w14:paraId="00704FE7">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▲14、采用一体式电动稿台。标配光学级压稿台。</w:t>
            </w:r>
          </w:p>
          <w:p w14:paraId="5B633E50">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15、软件专业版,具备自动纠偏、自动分页、自动删除空白页、自动去除手指（必须左右边缘和上下边缘都可以去除）、自动OCR识别。</w:t>
            </w:r>
          </w:p>
          <w:p w14:paraId="58E77640">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16</w:t>
            </w:r>
            <w:r>
              <w:rPr>
                <w:rFonts w:ascii="仿宋" w:hAnsi="仿宋" w:eastAsia="仿宋" w:cs="仿宋"/>
                <w:sz w:val="24"/>
                <w:szCs w:val="24"/>
                <w:highlight w:val="none"/>
                <w:lang w:eastAsia="zh-CN"/>
              </w:rPr>
              <w:t>.</w:t>
            </w:r>
            <w:r>
              <w:rPr>
                <w:rFonts w:hint="default" w:ascii="仿宋" w:hAnsi="仿宋" w:eastAsia="仿宋" w:cs="仿宋"/>
                <w:sz w:val="24"/>
                <w:szCs w:val="24"/>
                <w:highlight w:val="none"/>
                <w:lang w:eastAsia="zh-CN"/>
              </w:rPr>
              <w:t>高性能工作站</w:t>
            </w:r>
            <w:r>
              <w:rPr>
                <w:rFonts w:hint="eastAsia" w:ascii="仿宋" w:hAnsi="仿宋" w:eastAsia="仿宋" w:cs="仿宋"/>
                <w:b/>
                <w:bCs/>
                <w:kern w:val="0"/>
                <w:sz w:val="24"/>
                <w:szCs w:val="24"/>
                <w:highlight w:val="none"/>
              </w:rPr>
              <w:t>（★只接受符合本国产品标准的设备投标）</w:t>
            </w:r>
          </w:p>
          <w:p w14:paraId="2F8538B3">
            <w:pPr>
              <w:pStyle w:val="6"/>
              <w:spacing w:line="340" w:lineRule="exact"/>
              <w:rPr>
                <w:rFonts w:hint="default" w:ascii="仿宋" w:hAnsi="仿宋" w:eastAsia="仿宋" w:cs="仿宋"/>
                <w:b/>
                <w:bCs/>
                <w:sz w:val="24"/>
                <w:szCs w:val="24"/>
                <w:highlight w:val="none"/>
                <w:lang w:eastAsia="zh-CN"/>
              </w:rPr>
            </w:pPr>
            <w:r>
              <w:rPr>
                <w:rFonts w:hint="default" w:ascii="仿宋" w:hAnsi="仿宋" w:eastAsia="仿宋" w:cs="仿宋"/>
                <w:b/>
                <w:bCs/>
                <w:sz w:val="24"/>
                <w:szCs w:val="24"/>
                <w:highlight w:val="none"/>
                <w:lang w:eastAsia="zh-CN"/>
              </w:rPr>
              <w:t>配套工作站×1台</w:t>
            </w:r>
          </w:p>
          <w:p w14:paraId="03F3FB1E">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w:t>
            </w:r>
            <w:r>
              <w:rPr>
                <w:rFonts w:hint="default" w:ascii="仿宋" w:hAnsi="仿宋" w:eastAsia="仿宋" w:cs="仿宋"/>
                <w:sz w:val="24"/>
                <w:szCs w:val="24"/>
                <w:highlight w:val="none"/>
                <w:lang w:eastAsia="zh-CN"/>
              </w:rPr>
              <w:t>CPU：≥24核 32线程 主频≥3.0GHz</w:t>
            </w:r>
            <w:r>
              <w:rPr>
                <w:rFonts w:ascii="仿宋" w:hAnsi="仿宋" w:eastAsia="仿宋" w:cs="仿宋"/>
                <w:sz w:val="24"/>
                <w:szCs w:val="24"/>
                <w:highlight w:val="none"/>
                <w:lang w:eastAsia="zh-CN"/>
              </w:rPr>
              <w:t>；</w:t>
            </w:r>
          </w:p>
          <w:p w14:paraId="6CED2A20">
            <w:pPr>
              <w:pStyle w:val="6"/>
              <w:spacing w:line="340" w:lineRule="exact"/>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内存：≥32G 3200MHz UDIMM，插槽：≥4个，最大可支持128G内存</w:t>
            </w:r>
            <w:r>
              <w:rPr>
                <w:rFonts w:ascii="仿宋" w:hAnsi="仿宋" w:eastAsia="仿宋" w:cs="仿宋"/>
                <w:sz w:val="24"/>
                <w:szCs w:val="24"/>
                <w:highlight w:val="none"/>
                <w:lang w:eastAsia="zh-CN"/>
              </w:rPr>
              <w:t>；</w:t>
            </w:r>
          </w:p>
          <w:p w14:paraId="7D014420">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（2）</w:t>
            </w:r>
            <w:r>
              <w:rPr>
                <w:rFonts w:hint="default" w:ascii="仿宋" w:hAnsi="仿宋" w:eastAsia="仿宋" w:cs="仿宋"/>
                <w:sz w:val="24"/>
                <w:szCs w:val="24"/>
                <w:highlight w:val="none"/>
                <w:lang w:eastAsia="zh-CN"/>
              </w:rPr>
              <w:t>硬盘：≥1T M.2 SSD+8T HDD</w:t>
            </w:r>
            <w:r>
              <w:rPr>
                <w:rFonts w:ascii="仿宋" w:hAnsi="仿宋" w:eastAsia="仿宋" w:cs="仿宋"/>
                <w:sz w:val="24"/>
                <w:szCs w:val="24"/>
                <w:highlight w:val="none"/>
                <w:lang w:eastAsia="zh-CN"/>
              </w:rPr>
              <w:t>；</w:t>
            </w:r>
          </w:p>
          <w:p w14:paraId="2A90EB74">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（3）</w:t>
            </w:r>
            <w:r>
              <w:rPr>
                <w:rFonts w:hint="default" w:ascii="仿宋" w:hAnsi="仿宋" w:eastAsia="仿宋" w:cs="仿宋"/>
                <w:sz w:val="24"/>
                <w:szCs w:val="24"/>
                <w:highlight w:val="none"/>
                <w:lang w:eastAsia="zh-CN"/>
              </w:rPr>
              <w:t>显卡：≥12G独显</w:t>
            </w:r>
            <w:r>
              <w:rPr>
                <w:rFonts w:ascii="仿宋" w:hAnsi="仿宋" w:eastAsia="仿宋" w:cs="仿宋"/>
                <w:sz w:val="24"/>
                <w:szCs w:val="24"/>
                <w:highlight w:val="none"/>
                <w:lang w:eastAsia="zh-CN"/>
              </w:rPr>
              <w:t>；</w:t>
            </w:r>
          </w:p>
          <w:p w14:paraId="04E06E29">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（4）</w:t>
            </w:r>
            <w:r>
              <w:rPr>
                <w:rFonts w:hint="default" w:ascii="仿宋" w:hAnsi="仿宋" w:eastAsia="仿宋" w:cs="仿宋"/>
                <w:sz w:val="24"/>
                <w:szCs w:val="24"/>
                <w:highlight w:val="none"/>
                <w:lang w:eastAsia="zh-CN"/>
              </w:rPr>
              <w:t>网卡：集成千兆网卡</w:t>
            </w:r>
            <w:r>
              <w:rPr>
                <w:rFonts w:ascii="仿宋" w:hAnsi="仿宋" w:eastAsia="仿宋" w:cs="仿宋"/>
                <w:sz w:val="24"/>
                <w:szCs w:val="24"/>
                <w:highlight w:val="none"/>
                <w:lang w:eastAsia="zh-CN"/>
              </w:rPr>
              <w:t>；</w:t>
            </w:r>
          </w:p>
          <w:p w14:paraId="36272FE8">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（5）</w:t>
            </w:r>
            <w:r>
              <w:rPr>
                <w:rFonts w:hint="default" w:ascii="仿宋" w:hAnsi="仿宋" w:eastAsia="仿宋" w:cs="仿宋"/>
                <w:sz w:val="24"/>
                <w:szCs w:val="24"/>
                <w:highlight w:val="none"/>
                <w:lang w:eastAsia="zh-CN"/>
              </w:rPr>
              <w:t>电源：功率≥750W</w:t>
            </w:r>
            <w:r>
              <w:rPr>
                <w:rFonts w:ascii="仿宋" w:hAnsi="仿宋" w:eastAsia="仿宋" w:cs="仿宋"/>
                <w:sz w:val="24"/>
                <w:szCs w:val="24"/>
                <w:highlight w:val="none"/>
                <w:lang w:eastAsia="zh-CN"/>
              </w:rPr>
              <w:t>；</w:t>
            </w:r>
          </w:p>
          <w:p w14:paraId="4F7ED1D6">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（6）</w:t>
            </w:r>
            <w:r>
              <w:rPr>
                <w:rFonts w:hint="default" w:ascii="仿宋" w:hAnsi="仿宋" w:eastAsia="仿宋" w:cs="仿宋"/>
                <w:sz w:val="24"/>
                <w:szCs w:val="24"/>
                <w:highlight w:val="none"/>
                <w:lang w:eastAsia="zh-CN"/>
              </w:rPr>
              <w:t>显示器：≥27寸</w:t>
            </w:r>
            <w:r>
              <w:rPr>
                <w:rFonts w:ascii="仿宋" w:hAnsi="仿宋" w:eastAsia="仿宋" w:cs="仿宋"/>
                <w:sz w:val="24"/>
                <w:szCs w:val="24"/>
                <w:highlight w:val="none"/>
                <w:lang w:eastAsia="zh-CN"/>
              </w:rPr>
              <w:t>；</w:t>
            </w:r>
          </w:p>
          <w:p w14:paraId="2F7B468A">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（7）</w:t>
            </w:r>
            <w:r>
              <w:rPr>
                <w:rFonts w:hint="default" w:ascii="仿宋" w:hAnsi="仿宋" w:eastAsia="仿宋" w:cs="仿宋"/>
                <w:sz w:val="24"/>
                <w:szCs w:val="24"/>
                <w:highlight w:val="none"/>
                <w:lang w:eastAsia="zh-CN"/>
              </w:rPr>
              <w:t>接口：≥8个USB3.0接口+1个USB3.0 Type-C），≥1个PCleX16，≥1个PCleX8，≥1个PCleX1，机箱≥17L</w:t>
            </w:r>
            <w:r>
              <w:rPr>
                <w:rFonts w:ascii="仿宋" w:hAnsi="仿宋" w:eastAsia="仿宋" w:cs="仿宋"/>
                <w:sz w:val="24"/>
                <w:szCs w:val="24"/>
                <w:highlight w:val="none"/>
                <w:lang w:eastAsia="zh-CN"/>
              </w:rPr>
              <w:t>；</w:t>
            </w:r>
          </w:p>
          <w:p w14:paraId="34CADC97">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（8）</w:t>
            </w:r>
            <w:r>
              <w:rPr>
                <w:rFonts w:hint="default" w:ascii="仿宋" w:hAnsi="仿宋" w:eastAsia="仿宋" w:cs="仿宋"/>
                <w:sz w:val="24"/>
                <w:szCs w:val="24"/>
                <w:highlight w:val="none"/>
                <w:lang w:eastAsia="zh-CN"/>
              </w:rPr>
              <w:t>提供三年保修上门服务，原厂400技术支持，提供3C认证，检测报告</w:t>
            </w:r>
            <w:r>
              <w:rPr>
                <w:rFonts w:ascii="仿宋" w:hAnsi="仿宋" w:eastAsia="仿宋" w:cs="仿宋"/>
                <w:sz w:val="24"/>
                <w:szCs w:val="24"/>
                <w:highlight w:val="none"/>
                <w:lang w:eastAsia="zh-CN"/>
              </w:rPr>
              <w:t>。</w:t>
            </w:r>
          </w:p>
        </w:tc>
      </w:tr>
      <w:tr w14:paraId="77FADD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040E2505">
            <w:pPr>
              <w:pStyle w:val="6"/>
              <w:spacing w:line="340" w:lineRule="exact"/>
              <w:jc w:val="center"/>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4</w:t>
            </w:r>
          </w:p>
        </w:tc>
        <w:tc>
          <w:tcPr>
            <w:tcW w:w="770" w:type="dxa"/>
          </w:tcPr>
          <w:p w14:paraId="51AD9988">
            <w:pPr>
              <w:spacing w:line="340" w:lineRule="exact"/>
              <w:rPr>
                <w:rFonts w:ascii="仿宋" w:hAnsi="仿宋" w:eastAsia="仿宋" w:cs="仿宋"/>
                <w:sz w:val="24"/>
                <w:szCs w:val="24"/>
                <w:highlight w:val="none"/>
              </w:rPr>
            </w:pPr>
          </w:p>
        </w:tc>
        <w:tc>
          <w:tcPr>
            <w:tcW w:w="7107" w:type="dxa"/>
          </w:tcPr>
          <w:p w14:paraId="74B8DA57">
            <w:pPr>
              <w:pStyle w:val="6"/>
              <w:spacing w:line="340" w:lineRule="exact"/>
              <w:rPr>
                <w:rFonts w:hint="default" w:ascii="仿宋" w:hAnsi="仿宋" w:eastAsia="仿宋" w:cs="仿宋"/>
                <w:b/>
                <w:bCs/>
                <w:sz w:val="24"/>
                <w:szCs w:val="24"/>
                <w:highlight w:val="none"/>
                <w:lang w:eastAsia="zh-CN"/>
              </w:rPr>
            </w:pPr>
            <w:r>
              <w:rPr>
                <w:rFonts w:ascii="仿宋" w:hAnsi="仿宋" w:eastAsia="仿宋" w:cs="仿宋"/>
                <w:b/>
                <w:bCs/>
                <w:color w:val="000000" w:themeColor="text1"/>
                <w:kern w:val="2"/>
                <w:sz w:val="24"/>
                <w:szCs w:val="24"/>
                <w:highlight w:val="none"/>
                <w:lang w:eastAsia="zh-CN"/>
                <w14:textFill>
                  <w14:solidFill>
                    <w14:schemeClr w14:val="tx1"/>
                  </w14:solidFill>
                </w14:textFill>
              </w:rPr>
              <w:t xml:space="preserve">全自动书刊档案扫描机器人    </w:t>
            </w:r>
            <w:r>
              <w:rPr>
                <w:rFonts w:ascii="仿宋" w:hAnsi="仿宋" w:eastAsia="仿宋" w:cs="仿宋"/>
                <w:b/>
                <w:bCs/>
                <w:sz w:val="24"/>
                <w:szCs w:val="24"/>
                <w:highlight w:val="none"/>
                <w:lang w:eastAsia="zh-CN"/>
              </w:rPr>
              <w:t xml:space="preserve"> </w:t>
            </w:r>
          </w:p>
          <w:p w14:paraId="45652EF8">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 xml:space="preserve">▲1. </w:t>
            </w:r>
            <w:r>
              <w:rPr>
                <w:rFonts w:ascii="仿宋" w:hAnsi="仿宋" w:eastAsia="仿宋" w:cs="仿宋"/>
                <w:b/>
                <w:bCs/>
                <w:sz w:val="24"/>
                <w:szCs w:val="24"/>
                <w:highlight w:val="none"/>
                <w:lang w:eastAsia="zh-CN"/>
              </w:rPr>
              <w:t>全自动翻页速度：≥2000页/小时，翻页过程无需人工干预。（</w:t>
            </w:r>
            <w:r>
              <w:rPr>
                <w:rFonts w:hint="eastAsia" w:ascii="仿宋" w:hAnsi="仿宋" w:eastAsia="仿宋" w:cs="仿宋"/>
                <w:b/>
                <w:bCs/>
                <w:sz w:val="24"/>
                <w:szCs w:val="24"/>
                <w:highlight w:val="none"/>
                <w:lang w:val="en-US" w:eastAsia="zh-CN"/>
              </w:rPr>
              <w:t>本项参数需演示</w:t>
            </w:r>
            <w:r>
              <w:rPr>
                <w:rFonts w:ascii="仿宋" w:hAnsi="仿宋" w:eastAsia="仿宋" w:cs="仿宋"/>
                <w:b/>
                <w:bCs/>
                <w:sz w:val="24"/>
                <w:szCs w:val="24"/>
                <w:highlight w:val="none"/>
                <w:lang w:eastAsia="zh-CN"/>
              </w:rPr>
              <w:t>200页以上图书</w:t>
            </w:r>
            <w:r>
              <w:rPr>
                <w:rFonts w:hint="eastAsia" w:ascii="仿宋" w:hAnsi="仿宋" w:eastAsia="仿宋" w:cs="仿宋"/>
                <w:b/>
                <w:bCs/>
                <w:sz w:val="24"/>
                <w:szCs w:val="24"/>
                <w:highlight w:val="none"/>
                <w:lang w:val="en-US" w:eastAsia="zh-CN"/>
              </w:rPr>
              <w:t>实际扫描情况，演示通过腾讯会议方式进行，具体会议号在项目开标时于开标大厅公布</w:t>
            </w:r>
            <w:r>
              <w:rPr>
                <w:rFonts w:ascii="仿宋" w:hAnsi="仿宋" w:eastAsia="仿宋" w:cs="仿宋"/>
                <w:b/>
                <w:bCs/>
                <w:sz w:val="24"/>
                <w:szCs w:val="24"/>
                <w:highlight w:val="none"/>
                <w:lang w:eastAsia="zh-CN"/>
              </w:rPr>
              <w:t>）</w:t>
            </w:r>
          </w:p>
          <w:p w14:paraId="32E19CDC">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▲2.扫描器：≥70M CCD采集系统。翻转镜支持单双镜头模组切换。全自动反射翻转镜控制系统配置：中心反射镜随着左右两页扫描自动翻转角度可调±90°。（提供≥5种的高反光介质的彩色扫描样例）</w:t>
            </w:r>
          </w:p>
          <w:p w14:paraId="7080097D">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3.智能控制：支持智能语音控制，语音唤醒交互。各项扫描仪功能支持语音操作。</w:t>
            </w:r>
          </w:p>
          <w:p w14:paraId="76637660">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▲4.翻页技术：真空吸附翻页技术，真空吸力可调节，可准确显示真空吸力数值，以适应各种纸张。</w:t>
            </w:r>
          </w:p>
          <w:p w14:paraId="1FEFD2C6">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▲5.智能翻页吸盘系统：翻页吸盘尺寸不小于100c㎡，吸力矩≥0.2N.m/kW；翻页吸盘要求包含不少于2个激光定位系统；≥2组重张传感器；≥6组真空吸附系统。确保轻柔翻阅不同材质资料。</w:t>
            </w:r>
          </w:p>
          <w:p w14:paraId="70FD121D">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6.气流分页系统配置：使用双气流分页技术，且气流大小可同时在机身触摸屏和扫描软件界面进行调节，并且可以准确显示具体疏解数值，以适应各种纸张。</w:t>
            </w:r>
          </w:p>
          <w:p w14:paraId="6C4F7F85">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7.全自动分页拍手配置：全自动除静电分页拍手数量≥1个，为满足20—500克不同类型纸张的分页和平展，分页拍手尺寸≥4.5×6cm，同时分页拍自动与翻页机械臂速度匹配，根据用户要求不同的翻页速度进行自动调整分页。</w:t>
            </w:r>
          </w:p>
          <w:p w14:paraId="0B5C081A">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8.</w:t>
            </w:r>
            <w:r>
              <w:rPr>
                <w:rFonts w:ascii="仿宋" w:hAnsi="仿宋" w:eastAsia="仿宋" w:cs="仿宋"/>
                <w:b/>
                <w:bCs/>
                <w:sz w:val="24"/>
                <w:szCs w:val="24"/>
                <w:highlight w:val="none"/>
                <w:lang w:eastAsia="zh-CN"/>
              </w:rPr>
              <w:t>机身内置显示系统：≥7英寸防水防尘多功能工业触摸屏幕：适用多种场景支持多点触控和手套操作，多种语言显示，触控功能可以触摸调节真空吸力大小；触摸调节图书宽度、页面疏解度；一键实现复位、手动/自动扫描、紧急停止、调节稿台位置功能。</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本项参数需演示，演示通过腾讯会议方式进行，具体会议号在项目开标时于开标大厅公布</w:t>
            </w:r>
            <w:r>
              <w:rPr>
                <w:rFonts w:hint="eastAsia" w:ascii="仿宋" w:hAnsi="仿宋" w:eastAsia="仿宋" w:cs="仿宋"/>
                <w:b/>
                <w:bCs/>
                <w:sz w:val="24"/>
                <w:szCs w:val="24"/>
                <w:highlight w:val="none"/>
                <w:lang w:eastAsia="zh-CN"/>
              </w:rPr>
              <w:t>）</w:t>
            </w:r>
          </w:p>
          <w:p w14:paraId="7BB44ACE">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 xml:space="preserve"> ▲9.电动扫描书稿台配置：全自动v型电动稿台，支持语音移动控制、自动复位、自动开合，配合定位系统自动寻找书本中心位置，≤90°-120°稿台大小可自由扩展，单边尺寸≥25×30cm。</w:t>
            </w:r>
          </w:p>
          <w:p w14:paraId="153D0D75">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10.</w:t>
            </w:r>
            <w:r>
              <w:rPr>
                <w:rFonts w:ascii="仿宋" w:hAnsi="仿宋" w:eastAsia="仿宋" w:cs="仿宋"/>
                <w:b/>
                <w:bCs/>
                <w:sz w:val="24"/>
                <w:szCs w:val="24"/>
                <w:highlight w:val="none"/>
                <w:lang w:eastAsia="zh-CN"/>
              </w:rPr>
              <w:t xml:space="preserve">物理压平配置：透明书夹数量≥4个，透明书夹尺寸≤5×2.5cm，书夹压力可同时通过触摸屏和扫描软件调节，并且可显示数值，以适应各种纸张。书夹与书籍边缘接触≤10mm宽度。（不接受无压板手动方案、玻璃板压书方案、塑料树脂玻璃方案） </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本项参数需演示，演示通过腾讯会议方式进行，具体会议号在项目开标时于开标大厅公布</w:t>
            </w:r>
            <w:r>
              <w:rPr>
                <w:rFonts w:hint="eastAsia" w:ascii="仿宋" w:hAnsi="仿宋" w:eastAsia="仿宋" w:cs="仿宋"/>
                <w:b/>
                <w:bCs/>
                <w:sz w:val="24"/>
                <w:szCs w:val="24"/>
                <w:highlight w:val="none"/>
                <w:lang w:eastAsia="zh-CN"/>
              </w:rPr>
              <w:t>）</w:t>
            </w:r>
          </w:p>
          <w:p w14:paraId="65F8666E">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11.显示单元：三轴显示单元力臂支架，显示尺寸≥21寸；可前后多角度调节移动。</w:t>
            </w:r>
          </w:p>
          <w:p w14:paraId="4139E83C">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12.单页扫描幅面：最小：长18cm×宽13cm，最大书籍:长36cm×宽28cm，可接受定制。</w:t>
            </w:r>
          </w:p>
          <w:p w14:paraId="6C594363">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13.格式输出：要求可同时输出OFD、TIF、JPG、OCR识别的可搜索的PDF，WORD、TXT、Excel、多页TIF。</w:t>
            </w:r>
          </w:p>
          <w:p w14:paraId="6DEAE432">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14.扫描软件自带OCR识别语种数量≥70种(要求扫描仪自带控制软件功能）。</w:t>
            </w:r>
          </w:p>
          <w:p w14:paraId="3EF5B81E">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15.光源系统：LED零辐射光源系统数量≥2组，全幅面覆盖，无闪烁恒亮式光源可单独进行关闭并且可设置自动进入关闭节电模式。</w:t>
            </w:r>
          </w:p>
          <w:p w14:paraId="2F6266C9">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16.</w:t>
            </w:r>
            <w:r>
              <w:rPr>
                <w:rFonts w:ascii="仿宋" w:hAnsi="仿宋" w:eastAsia="仿宋" w:cs="仿宋"/>
                <w:b/>
                <w:bCs/>
                <w:sz w:val="24"/>
                <w:szCs w:val="24"/>
                <w:highlight w:val="none"/>
                <w:lang w:eastAsia="zh-CN"/>
              </w:rPr>
              <w:t>全自动翻页扫描书籍装订厚度≥10cm。要求10cm厚图书一次性自动扫描完成。</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本项参数需演示，演示通过腾讯会议方式进行，具体会议号在项目开标时于开标大厅公布</w:t>
            </w:r>
            <w:r>
              <w:rPr>
                <w:rFonts w:hint="eastAsia" w:ascii="仿宋" w:hAnsi="仿宋" w:eastAsia="仿宋" w:cs="仿宋"/>
                <w:b/>
                <w:bCs/>
                <w:sz w:val="24"/>
                <w:szCs w:val="24"/>
                <w:highlight w:val="none"/>
                <w:lang w:eastAsia="zh-CN"/>
              </w:rPr>
              <w:t>）</w:t>
            </w:r>
          </w:p>
          <w:p w14:paraId="3F3EB29F">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17.全自动扫描机器人控制影像处理系统功能：</w:t>
            </w:r>
          </w:p>
          <w:p w14:paraId="531C31DC">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（1）包含一键式AI智能自动去黑边、自动去除书夹、曲折页面自动展平、自动去除空白页、文字加深、自动纠偏；</w:t>
            </w:r>
          </w:p>
          <w:p w14:paraId="323D84AF">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2）水印设置：批量自动加水印，可自定义水印类型（图片水印或文字水印），自定义图片水印的图片和图像缩放大小，自定义文字水印的内容、字体、字体大小、不透明度、字体颜色、水印方向等。支持水印效果预览；</w:t>
            </w:r>
          </w:p>
          <w:p w14:paraId="6ACA08A7">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（3）包含数据统计功能，可以监测每天扫描数量、总扫描数量，查看指定时间段的扫描字数和页数数据并以折线图显示在下方统计数量；</w:t>
            </w:r>
          </w:p>
          <w:p w14:paraId="7C9EE87F">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（4）扫描软件内可以对真空吸力、页面疏解度、书夹压力进行调节；</w:t>
            </w:r>
          </w:p>
          <w:p w14:paraId="05BA4F93">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（5）软件内页面边缘传感器可以设置多张进纸检测、页面下拉检测、错误恢复次数设置；</w:t>
            </w:r>
          </w:p>
          <w:p w14:paraId="410A17DE">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6）单张图片的处理：可修改选中的单张图片的红头文件优化值、背景平滑值、分辨率、色彩模式、亮度、对比度、识别模型等。以上所有编辑都可一步撤销（恢复原图）。支持不同工作模式切换，缩略图以小图浏览、大图浏览或列表浏览三种模式自定义切换；</w:t>
            </w:r>
          </w:p>
          <w:p w14:paraId="2F241AFF">
            <w:pPr>
              <w:pStyle w:val="6"/>
              <w:spacing w:line="340" w:lineRule="exact"/>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（7）软件支持多线操作，可同步下达多线工作任务，扫描任务、图像处理、OCR多线任务同时处理。</w:t>
            </w:r>
          </w:p>
        </w:tc>
      </w:tr>
      <w:tr w14:paraId="6124D1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5" w:type="dxa"/>
            <w:vAlign w:val="center"/>
          </w:tcPr>
          <w:p w14:paraId="46FF2C4A">
            <w:pPr>
              <w:pStyle w:val="6"/>
              <w:spacing w:line="340" w:lineRule="exact"/>
              <w:jc w:val="center"/>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5</w:t>
            </w:r>
          </w:p>
        </w:tc>
        <w:tc>
          <w:tcPr>
            <w:tcW w:w="770" w:type="dxa"/>
          </w:tcPr>
          <w:p w14:paraId="4B374373">
            <w:pPr>
              <w:spacing w:line="340" w:lineRule="exact"/>
              <w:rPr>
                <w:rFonts w:ascii="仿宋" w:hAnsi="仿宋" w:eastAsia="仿宋" w:cs="仿宋"/>
                <w:sz w:val="24"/>
                <w:szCs w:val="24"/>
                <w:highlight w:val="none"/>
              </w:rPr>
            </w:pPr>
          </w:p>
        </w:tc>
        <w:tc>
          <w:tcPr>
            <w:tcW w:w="7107" w:type="dxa"/>
          </w:tcPr>
          <w:p w14:paraId="7E322FD1">
            <w:pPr>
              <w:pStyle w:val="6"/>
              <w:spacing w:line="340" w:lineRule="exact"/>
              <w:rPr>
                <w:rFonts w:hint="default" w:ascii="仿宋" w:hAnsi="仿宋" w:eastAsia="仿宋" w:cs="仿宋"/>
                <w:sz w:val="24"/>
                <w:szCs w:val="24"/>
                <w:highlight w:val="none"/>
                <w:lang w:eastAsia="zh-CN"/>
              </w:rPr>
            </w:pPr>
            <w:r>
              <w:rPr>
                <w:rFonts w:ascii="仿宋" w:hAnsi="仿宋" w:eastAsia="仿宋" w:cs="仿宋"/>
                <w:b/>
                <w:bCs/>
                <w:snapToGrid w:val="0"/>
                <w:color w:val="000000" w:themeColor="text1"/>
                <w:kern w:val="2"/>
                <w:sz w:val="24"/>
                <w:szCs w:val="24"/>
                <w:highlight w:val="none"/>
                <w:lang w:eastAsia="zh-CN"/>
                <w14:textFill>
                  <w14:solidFill>
                    <w14:schemeClr w14:val="tx1"/>
                  </w14:solidFill>
                </w14:textFill>
              </w:rPr>
              <w:t xml:space="preserve">数据采集系统    </w:t>
            </w:r>
            <w:r>
              <w:rPr>
                <w:rFonts w:ascii="仿宋" w:hAnsi="仿宋" w:eastAsia="仿宋" w:cs="仿宋"/>
                <w:sz w:val="24"/>
                <w:szCs w:val="24"/>
                <w:highlight w:val="none"/>
                <w:lang w:eastAsia="zh-CN"/>
              </w:rPr>
              <w:t xml:space="preserve">  </w:t>
            </w:r>
          </w:p>
          <w:p w14:paraId="6564A016">
            <w:pPr>
              <w:keepLines/>
              <w:kinsoku w:val="0"/>
              <w:adjustRightInd w:val="0"/>
              <w:snapToGrid w:val="0"/>
              <w:spacing w:before="124" w:after="160"/>
              <w:textAlignment w:val="baseline"/>
              <w:rPr>
                <w:rFonts w:ascii="仿宋" w:hAnsi="仿宋" w:eastAsia="仿宋" w:cs="仿宋"/>
                <w:b/>
                <w:bCs/>
                <w:snapToGrid w:val="0"/>
                <w:color w:val="000000" w:themeColor="text1"/>
                <w:spacing w:val="-1"/>
                <w:sz w:val="24"/>
                <w:szCs w:val="24"/>
                <w:highlight w:val="none"/>
                <w14:textFill>
                  <w14:solidFill>
                    <w14:schemeClr w14:val="tx1"/>
                  </w14:solidFill>
                </w14:textFill>
              </w:rPr>
            </w:pPr>
            <w:r>
              <w:rPr>
                <w:rFonts w:hint="eastAsia" w:ascii="仿宋" w:hAnsi="仿宋" w:eastAsia="仿宋" w:cs="仿宋"/>
                <w:b/>
                <w:bCs/>
                <w:snapToGrid w:val="0"/>
                <w:color w:val="000000" w:themeColor="text1"/>
                <w:spacing w:val="-1"/>
                <w:sz w:val="24"/>
                <w:szCs w:val="24"/>
                <w:highlight w:val="none"/>
                <w14:textFill>
                  <w14:solidFill>
                    <w14:schemeClr w14:val="tx1"/>
                  </w14:solidFill>
                </w14:textFill>
              </w:rPr>
              <w:t>一、跟踪式三维数据采集系统</w:t>
            </w:r>
          </w:p>
          <w:p w14:paraId="2065B611">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1.★光源形式：光源形式：≥90条激光线，其中包括交叉蓝色激光线、平行蓝色激光线以及可以单独工作的蓝色激光线。</w:t>
            </w:r>
          </w:p>
          <w:p w14:paraId="20BF2FA0">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2.结构形式：系统应包含CCD光学跟踪定位相机、手持激光扫描头，连接方式简便安全，可靠耐用。 </w:t>
            </w:r>
          </w:p>
          <w:p w14:paraId="63F1631F">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3.跟踪器相机像素≥2500万</w:t>
            </w:r>
          </w:p>
          <w:p w14:paraId="0D52D6F2">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4.★单站跟踪范围≥8500mm，并支持多幅拼接，单站体积精度：3.5m范围内≤0.05mm，8.5m范围内≤0.16mm。</w:t>
            </w:r>
          </w:p>
          <w:p w14:paraId="37B79BF4">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5.单站最大跟踪体积≥135m³，并支持多幅拼接。</w:t>
            </w:r>
          </w:p>
          <w:p w14:paraId="66210A2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6.具备快速、精细等多种工作模式，具备沟槽、深孔、不规则内腔的扫描能力；不同工作模式扫描数据在同一坐标系三维数据中，无需后期拼接。</w:t>
            </w:r>
          </w:p>
          <w:p w14:paraId="60D578B4">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7.动态扫描：利用动态参考功能，能在物体自由移动过程中正常工作，精准获取物体完整外形三维数据，扫描最高精度：≤ 0.025mm。</w:t>
            </w:r>
          </w:p>
          <w:p w14:paraId="16AE964B">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8.跟踪器及扫描仪数据支持有线和无线局域网传输</w:t>
            </w:r>
          </w:p>
          <w:p w14:paraId="64C9098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9.一体式结构设计 </w:t>
            </w:r>
          </w:p>
          <w:p w14:paraId="33EDA8A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10.扫描仪内置电池槽</w:t>
            </w:r>
          </w:p>
          <w:p w14:paraId="4EB54022">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11. ▲具有光笔测量功能，能够对深度隐藏点测量；光笔标记点数量≥8颗，光笔本体尺寸≥ 500mm(不含加长杆）为保证使用方便性，任意遮挡50% 不影响使用，光笔具有有线和局域网两种连接方式，两种方式可以任意切换。</w:t>
            </w:r>
          </w:p>
          <w:p w14:paraId="6459A167">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12.扫描速度：≥ 4,800,000次测量/秒 </w:t>
            </w:r>
          </w:p>
          <w:p w14:paraId="159F923E">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13.扫描基准距 ：≥ 300mm</w:t>
            </w:r>
          </w:p>
          <w:p w14:paraId="3D8D0112">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14.扫描景深：≥ 400mm</w:t>
            </w:r>
          </w:p>
          <w:p w14:paraId="3577AAB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15.分辨率≤0.020mm</w:t>
            </w:r>
          </w:p>
          <w:p w14:paraId="44FAE922">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16.最大扫描面幅：≥800mmX700mm</w:t>
            </w:r>
          </w:p>
          <w:p w14:paraId="192896EB">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17.激光安全等级：Class II级（人眼安全，对视力无害）</w:t>
            </w:r>
          </w:p>
          <w:p w14:paraId="0BA26AA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18.声音提示功能：仪器本身具备声音指示，指示用户正确和最佳工作角度及范围。</w:t>
            </w:r>
          </w:p>
          <w:p w14:paraId="3F2FF410">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19.快速标定：设备自带校准系统</w:t>
            </w:r>
          </w:p>
          <w:p w14:paraId="46FAD7E4">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20.扫描分辨率可以实时调整</w:t>
            </w:r>
          </w:p>
          <w:p w14:paraId="78520C6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21.工作温度：-10℃-40℃</w:t>
            </w:r>
          </w:p>
          <w:p w14:paraId="474A1CC4">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22.彩色扫描模块</w:t>
            </w:r>
          </w:p>
          <w:p w14:paraId="3A8FAE4C">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22.1 </w:t>
            </w:r>
            <w:r>
              <w:rPr>
                <w:rFonts w:hint="eastAsia" w:ascii="仿宋" w:hAnsi="仿宋" w:eastAsia="仿宋" w:cs="仿宋"/>
                <w:b/>
                <w:bCs/>
                <w:snapToGrid w:val="0"/>
                <w:color w:val="000000" w:themeColor="text1"/>
                <w:sz w:val="24"/>
                <w:szCs w:val="24"/>
                <w:highlight w:val="none"/>
                <w14:textFill>
                  <w14:solidFill>
                    <w14:schemeClr w14:val="tx1"/>
                  </w14:solidFill>
                </w14:textFill>
              </w:rPr>
              <w:t>具备人眼安全扫描模式：蓝色激光、红外激光、红外散斑三种采集模式，都可以通过关闭LED补光组，实现 “无光”扫描支持各模式，不贴点扫描；</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本项参数需演示，演示通过腾讯会议方式进行，具体会议号在项目开标时于开标大厅公布</w:t>
            </w:r>
            <w:r>
              <w:rPr>
                <w:rFonts w:hint="eastAsia" w:ascii="仿宋" w:hAnsi="仿宋" w:eastAsia="仿宋" w:cs="仿宋"/>
                <w:b/>
                <w:bCs/>
                <w:sz w:val="24"/>
                <w:szCs w:val="24"/>
                <w:highlight w:val="none"/>
                <w:lang w:eastAsia="zh-CN"/>
              </w:rPr>
              <w:t>）</w:t>
            </w:r>
          </w:p>
          <w:p w14:paraId="1435A8FF">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22.2▲彩色纹理扫描：红外散斑扫描模式、红外激光扫描模式、蓝色激光采集模式均支持彩色纹理扫描。设备内置彩色图像采集单元。</w:t>
            </w:r>
          </w:p>
          <w:p w14:paraId="503F094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23.三维扫描软件</w:t>
            </w:r>
          </w:p>
          <w:p w14:paraId="717C9C3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23.1 需具有测量分析软件的接口，在扫描软件内可以实现扫描完成后一键导入点云进行检测比对； </w:t>
            </w:r>
          </w:p>
          <w:p w14:paraId="59EAB7C7">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23.2具备智能引导功能，支持用户快速自定义创建工作流程； </w:t>
            </w:r>
          </w:p>
          <w:p w14:paraId="182ECCD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23.3 可同时连接多台不同类型设备，并支持切换使用。</w:t>
            </w:r>
          </w:p>
          <w:p w14:paraId="4B729772">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24.高清三维贴图软件模块</w:t>
            </w:r>
          </w:p>
          <w:p w14:paraId="17BFB82E">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24.1 具备摄影测量、AI图像识别、纹理融合、镶嵌线编辑技术，实现三维贴图映射；</w:t>
            </w:r>
          </w:p>
          <w:p w14:paraId="080BD97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24.2 拥有扫描贴图、照片建模和贴图置换三大模块（需提供软件功能截图证明）。具备扫描贴图、照片建模、贴图置换功能；</w:t>
            </w:r>
          </w:p>
          <w:p w14:paraId="5F56C3FF">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24.3 </w:t>
            </w:r>
            <w:r>
              <w:rPr>
                <w:rFonts w:hint="eastAsia" w:ascii="仿宋" w:hAnsi="仿宋" w:eastAsia="仿宋" w:cs="仿宋"/>
                <w:b/>
                <w:bCs/>
                <w:snapToGrid w:val="0"/>
                <w:color w:val="000000" w:themeColor="text1"/>
                <w:sz w:val="24"/>
                <w:szCs w:val="24"/>
                <w:highlight w:val="none"/>
                <w14:textFill>
                  <w14:solidFill>
                    <w14:schemeClr w14:val="tx1"/>
                  </w14:solidFill>
                </w14:textFill>
              </w:rPr>
              <w:t>可将无线三维扫描系统获取的三维数据与多角度高清2D影像集智能融合后导出数据，该格式将支持生成含三维点云与真彩纹理工业级全景式三维模型，并支持三维测量；</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本项参数需演示，演示通过腾讯会议方式进行，具体会议号在项目开标时于开标大厅公布</w:t>
            </w:r>
            <w:r>
              <w:rPr>
                <w:rFonts w:hint="eastAsia" w:ascii="仿宋" w:hAnsi="仿宋" w:eastAsia="仿宋" w:cs="仿宋"/>
                <w:b/>
                <w:bCs/>
                <w:sz w:val="24"/>
                <w:szCs w:val="24"/>
                <w:highlight w:val="none"/>
                <w:lang w:eastAsia="zh-CN"/>
              </w:rPr>
              <w:t>）</w:t>
            </w:r>
          </w:p>
          <w:p w14:paraId="5A71546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24.4 支持网格清理，照片与三维模型匹配，支持镶嵌线实时编辑，支持Blender纹理精修接口，支持传递UV功能，支持全分辨率（重组UV）超高分辨率纹理贴图输出，可视化地完成光斑、模糊、异物映射等剔除。</w:t>
            </w:r>
          </w:p>
          <w:p w14:paraId="30AD82FB">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25.三维检测软件技术指标</w:t>
            </w:r>
          </w:p>
          <w:p w14:paraId="07C589BE">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25.1.支持数据对齐方法：最佳拟合对齐、基于公差带的最佳拟合对齐、断面最佳拟合对齐、3-2-1、 RPS、基准参考框对齐、测量对象的最佳拟合对齐等；</w:t>
            </w:r>
          </w:p>
          <w:p w14:paraId="5FE442C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25.2.基本特征测量（点、向量、平面、圆、槽、矩形、多边形、椭圆、圆柱、圆锥、球、曲面和平板等）， 支持 3D 特征和 2D 特征；</w:t>
            </w:r>
          </w:p>
          <w:p w14:paraId="48C45F1B">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25.3.具备形位公差分析功能；</w:t>
            </w:r>
          </w:p>
          <w:p w14:paraId="68B317A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25.4.具备点云与 CAD 比对的误差彩图、曲面分析和边界分析功能；</w:t>
            </w:r>
          </w:p>
          <w:p w14:paraId="23F81A6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25.5.支持间隙干涉彩图、厚度彩图、曲面缺陷彩图；</w:t>
            </w:r>
          </w:p>
          <w:p w14:paraId="2003568A">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25.6.断面生成与分析；</w:t>
            </w:r>
          </w:p>
          <w:p w14:paraId="7AF2462D">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25.7.基于三角化网格和点云的量规测量：柔性卡规，轮廓量规、组装间隙量规，叶片量规等；</w:t>
            </w:r>
          </w:p>
          <w:p w14:paraId="77A240D7">
            <w:pPr>
              <w:keepLines/>
              <w:kinsoku w:val="0"/>
              <w:adjustRightInd w:val="0"/>
              <w:snapToGrid w:val="0"/>
              <w:spacing w:before="124" w:after="160"/>
              <w:textAlignment w:val="baseline"/>
              <w:rPr>
                <w:rFonts w:ascii="仿宋" w:hAnsi="仿宋" w:eastAsia="仿宋" w:cs="仿宋"/>
                <w:snapToGrid w:val="0"/>
                <w:color w:val="000000" w:themeColor="text1"/>
                <w:sz w:val="24"/>
                <w:szCs w:val="24"/>
                <w:highlight w:val="none"/>
                <w14:textFill>
                  <w14:solidFill>
                    <w14:schemeClr w14:val="tx1"/>
                  </w14:solidFill>
                </w14:textFill>
              </w:rPr>
            </w:pPr>
            <w:r>
              <w:rPr>
                <w:rFonts w:hint="eastAsia" w:ascii="仿宋" w:hAnsi="仿宋" w:eastAsia="仿宋" w:cs="仿宋"/>
                <w:snapToGrid w:val="0"/>
                <w:color w:val="000000" w:themeColor="text1"/>
                <w:sz w:val="24"/>
                <w:szCs w:val="24"/>
                <w:highlight w:val="none"/>
                <w14:textFill>
                  <w14:solidFill>
                    <w14:schemeClr w14:val="tx1"/>
                  </w14:solidFill>
                </w14:textFill>
              </w:rPr>
              <w:t xml:space="preserve">25.8.调装/检测功能，用于工装、夹具的调整和测量。 </w:t>
            </w:r>
          </w:p>
          <w:p w14:paraId="1C3F907F">
            <w:pPr>
              <w:keepLines/>
              <w:kinsoku w:val="0"/>
              <w:adjustRightInd w:val="0"/>
              <w:snapToGrid w:val="0"/>
              <w:spacing w:before="124" w:after="160"/>
              <w:textAlignment w:val="baseline"/>
              <w:rPr>
                <w:rFonts w:ascii="仿宋" w:hAnsi="仿宋" w:eastAsia="仿宋" w:cs="仿宋"/>
                <w:b/>
                <w:bCs/>
                <w:snapToGrid w:val="0"/>
                <w:color w:val="000000" w:themeColor="text1"/>
                <w:spacing w:val="-1"/>
                <w:sz w:val="24"/>
                <w:szCs w:val="24"/>
                <w:highlight w:val="none"/>
                <w14:textFill>
                  <w14:solidFill>
                    <w14:schemeClr w14:val="tx1"/>
                  </w14:solidFill>
                </w14:textFill>
              </w:rPr>
            </w:pPr>
            <w:r>
              <w:rPr>
                <w:rFonts w:hint="eastAsia" w:ascii="仿宋" w:hAnsi="仿宋" w:eastAsia="仿宋" w:cs="仿宋"/>
                <w:b/>
                <w:bCs/>
                <w:snapToGrid w:val="0"/>
                <w:color w:val="000000" w:themeColor="text1"/>
                <w:spacing w:val="-1"/>
                <w:sz w:val="24"/>
                <w:szCs w:val="24"/>
                <w:highlight w:val="none"/>
                <w14:textFill>
                  <w14:solidFill>
                    <w14:schemeClr w14:val="tx1"/>
                  </w14:solidFill>
                </w14:textFill>
              </w:rPr>
              <w:t>二、远程手持三维激光扫描模块</w:t>
            </w:r>
          </w:p>
          <w:p w14:paraId="4DC4E513">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1.硬件：</w:t>
            </w:r>
          </w:p>
          <w:p w14:paraId="0FA1735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（1）扫描频率</w:t>
            </w:r>
            <w:r>
              <w:rPr>
                <w:rFonts w:hint="eastAsia" w:ascii="仿宋" w:hAnsi="仿宋" w:eastAsia="仿宋" w:cs="仿宋"/>
                <w:kern w:val="0"/>
                <w:sz w:val="24"/>
                <w:szCs w:val="24"/>
                <w:highlight w:val="none"/>
              </w:rPr>
              <w:tab/>
            </w:r>
            <w:r>
              <w:rPr>
                <w:rFonts w:hint="eastAsia" w:ascii="仿宋" w:hAnsi="仿宋" w:eastAsia="仿宋" w:cs="仿宋"/>
                <w:kern w:val="0"/>
                <w:sz w:val="24"/>
                <w:szCs w:val="24"/>
                <w:highlight w:val="none"/>
              </w:rPr>
              <w:t>≥20万点/秒，测程≥40m；</w:t>
            </w:r>
          </w:p>
          <w:p w14:paraId="3F91D8F7">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（2）存储容量</w:t>
            </w:r>
            <w:r>
              <w:rPr>
                <w:rFonts w:hint="eastAsia" w:ascii="仿宋" w:hAnsi="仿宋" w:eastAsia="仿宋" w:cs="仿宋"/>
                <w:kern w:val="0"/>
                <w:sz w:val="24"/>
                <w:szCs w:val="24"/>
                <w:highlight w:val="none"/>
              </w:rPr>
              <w:tab/>
            </w:r>
            <w:r>
              <w:rPr>
                <w:rFonts w:hint="eastAsia" w:ascii="仿宋" w:hAnsi="仿宋" w:eastAsia="仿宋" w:cs="仿宋"/>
                <w:kern w:val="0"/>
                <w:sz w:val="24"/>
                <w:szCs w:val="24"/>
                <w:highlight w:val="none"/>
              </w:rPr>
              <w:t>≥256GB（可升级）；</w:t>
            </w:r>
          </w:p>
          <w:p w14:paraId="61F7E595">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（3）实时彩色点云生成支持实时生成彩色点云；</w:t>
            </w:r>
          </w:p>
          <w:p w14:paraId="36F1B774">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（4）设备总重量≤800g（不含电池）；</w:t>
            </w:r>
          </w:p>
          <w:p w14:paraId="402E1A69">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（5）供电方式</w:t>
            </w:r>
            <w:r>
              <w:rPr>
                <w:rFonts w:hint="eastAsia" w:ascii="仿宋" w:hAnsi="仿宋" w:eastAsia="仿宋" w:cs="仿宋"/>
                <w:kern w:val="0"/>
                <w:sz w:val="24"/>
                <w:szCs w:val="24"/>
                <w:highlight w:val="none"/>
              </w:rPr>
              <w:tab/>
            </w:r>
            <w:r>
              <w:rPr>
                <w:rFonts w:hint="eastAsia" w:ascii="仿宋" w:hAnsi="仿宋" w:eastAsia="仿宋" w:cs="仿宋"/>
                <w:kern w:val="0"/>
                <w:sz w:val="24"/>
                <w:szCs w:val="24"/>
                <w:highlight w:val="none"/>
              </w:rPr>
              <w:t>支持一体化电池手柄供电；</w:t>
            </w:r>
          </w:p>
          <w:p w14:paraId="542F64E8">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（6）机身相机：集成2个景深相机和2个全景相机；</w:t>
            </w:r>
          </w:p>
          <w:p w14:paraId="3DB9E763">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（7）机身彩色相机：相机分辨率，总像素≥5600万像素；</w:t>
            </w:r>
          </w:p>
          <w:p w14:paraId="00934E4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（8）视场角：360°×360°全景。</w:t>
            </w:r>
          </w:p>
          <w:p w14:paraId="7DB622DD">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2.场景复原软件</w:t>
            </w:r>
          </w:p>
          <w:p w14:paraId="74D4881B">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（1）可一键生成高清三维实景模型, 自动生成 3D高斯模型（支持主流格式）；</w:t>
            </w:r>
          </w:p>
          <w:p w14:paraId="0C386F31">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（2）软件支持一键切换3D高斯模型和点云显示，模型可一键发布到web端；</w:t>
            </w:r>
          </w:p>
          <w:p w14:paraId="7E9B5BC3">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（3）可在软件中漫游、开启自动碰撞检测、显示采集轨迹、支持查看和第一人称或数字人漫游的模型成果；</w:t>
            </w:r>
          </w:p>
          <w:p w14:paraId="734F6A71">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（4）软件支持对模型的三维标注(支持文字、图片、视频、超链接），并保存标注内容；</w:t>
            </w:r>
          </w:p>
          <w:p w14:paraId="2532F2BC">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（5）软件中应集成各类高斯模型案例供用户免费下载使用；</w:t>
            </w:r>
          </w:p>
          <w:p w14:paraId="6AB195F7">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（6）支持扫描数据段融合，直接加载多段设备原始数据进行融合建模，≥10段；</w:t>
            </w:r>
          </w:p>
          <w:p w14:paraId="27FDA7C9">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（7）模型应支持导入主流三维开发平台Unity；</w:t>
            </w:r>
          </w:p>
          <w:p w14:paraId="6C918B69">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（8） 模型应支持导入主流三维开发平台、UE；</w:t>
            </w:r>
          </w:p>
          <w:p w14:paraId="03885C09">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（9）模型应支持导入主流三维开发平台Web； </w:t>
            </w:r>
          </w:p>
          <w:p w14:paraId="16FFBDBE">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（10）软件中可加载无人机空中影像与自带硬件设备获取的地面数据，不需要空地计算过程，直接一键实现空地一体化3D高斯建模；</w:t>
            </w:r>
          </w:p>
          <w:p w14:paraId="05E4C985">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（11）高清补拍功能：支持导入单反、手机等高清设备对重点区域进行高精度补</w:t>
            </w:r>
          </w:p>
          <w:p w14:paraId="5369624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拍，用于提升建模细节质量和纹理表现；</w:t>
            </w:r>
          </w:p>
          <w:p w14:paraId="1787AA03">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（12）智能空间识别：针对室内扫描数据，自动提取空间结构与建筑构件，快速生成结构化户型图成果。</w:t>
            </w:r>
          </w:p>
          <w:p w14:paraId="3686D652">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3.模型管理编辑软件</w:t>
            </w:r>
          </w:p>
          <w:p w14:paraId="51F177DA">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（1）支持页面同时显示多个高斯模型项目，并且可以对每个高斯项目进行管理，编辑、查看；</w:t>
            </w:r>
          </w:p>
          <w:p w14:paraId="33F898FA">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（2）单个高斯项目支持导入LCC、 PLY、FBX、GLB、OBJ 具有碰撞体等数字资产；</w:t>
            </w:r>
          </w:p>
          <w:p w14:paraId="7840020F">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（3）支持模型图形API（DirectX11及DirectX12）切换，当模型渲染出现花屏、闪烁等显示异常时，支持图形 API 以改善显示效果；</w:t>
            </w:r>
          </w:p>
          <w:p w14:paraId="04B11A29">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（4）支持高斯模型调色，提供亮度、对比度、饱和度三项参数的调整能力，所有调整均支持实时预览与恢复默认值，并可保存后在其他端中读取。</w:t>
            </w:r>
          </w:p>
          <w:p w14:paraId="2AEA91B1">
            <w:pPr>
              <w:keepLines/>
              <w:kinsoku w:val="0"/>
              <w:adjustRightInd w:val="0"/>
              <w:snapToGrid w:val="0"/>
              <w:spacing w:before="135" w:after="160"/>
              <w:textAlignment w:val="baseline"/>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配置要求</w:t>
            </w:r>
          </w:p>
          <w:p w14:paraId="6FF029D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（1）配件设置：主机×1+充电器×1+ 电池×1；</w:t>
            </w:r>
          </w:p>
          <w:p w14:paraId="6EA4057E">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（2）为保证整套系统兼容性，设备硬件及软件及插件必须由同一个厂家生产。</w:t>
            </w:r>
          </w:p>
          <w:p w14:paraId="09141B66">
            <w:pPr>
              <w:keepLines/>
              <w:kinsoku w:val="0"/>
              <w:adjustRightInd w:val="0"/>
              <w:snapToGrid w:val="0"/>
              <w:spacing w:before="135" w:after="160"/>
              <w:textAlignment w:val="baseline"/>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配套工作站×1台（★只接受符合本国产品标准的设备投标）</w:t>
            </w:r>
          </w:p>
          <w:p w14:paraId="116A80F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（1）CPU：≥24核 32线程 主频≥3.0GHz；</w:t>
            </w:r>
          </w:p>
          <w:p w14:paraId="2350E087">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（2）内存：≥32G 3200MHz UDIMM，插槽：≥4个，最大可支持128G内存；</w:t>
            </w:r>
          </w:p>
          <w:p w14:paraId="044EF5FF">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（3）硬盘：≥1T M.2 SSD+8T HDD；</w:t>
            </w:r>
          </w:p>
          <w:p w14:paraId="561A60E8">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（4）显卡：≥12G独显；</w:t>
            </w:r>
          </w:p>
          <w:p w14:paraId="19A309B5">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（5）网卡：集成千兆网卡；</w:t>
            </w:r>
          </w:p>
          <w:p w14:paraId="19ABB9B0">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（6）电源：功率≥750W；</w:t>
            </w:r>
          </w:p>
          <w:p w14:paraId="0B8EBCAE">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（7）显示器：≥27寸；</w:t>
            </w:r>
          </w:p>
          <w:p w14:paraId="7577D9E6">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（8）接口：≥8个USB3.0接口+1个USB3.0 Type-C），≥1个PCleX16，≥1个PCleX8，≥1个PCleX1，机箱≥17L；</w:t>
            </w:r>
          </w:p>
          <w:p w14:paraId="754F2045">
            <w:pPr>
              <w:keepLines/>
              <w:kinsoku w:val="0"/>
              <w:adjustRightInd w:val="0"/>
              <w:snapToGrid w:val="0"/>
              <w:spacing w:before="135" w:after="160"/>
              <w:textAlignment w:val="baseline"/>
              <w:rPr>
                <w:rFonts w:ascii="仿宋" w:hAnsi="仿宋" w:eastAsia="仿宋" w:cs="仿宋"/>
                <w:kern w:val="0"/>
                <w:sz w:val="24"/>
                <w:szCs w:val="24"/>
                <w:highlight w:val="none"/>
              </w:rPr>
            </w:pPr>
            <w:r>
              <w:rPr>
                <w:rFonts w:hint="eastAsia" w:ascii="仿宋" w:hAnsi="仿宋" w:eastAsia="仿宋" w:cs="仿宋"/>
                <w:kern w:val="0"/>
                <w:sz w:val="24"/>
                <w:szCs w:val="24"/>
                <w:highlight w:val="none"/>
              </w:rPr>
              <w:t>（9）提供三年保修上门服务，原厂400技术支持，提供3C认证，检测报告。</w:t>
            </w:r>
          </w:p>
          <w:p w14:paraId="0F130936">
            <w:pPr>
              <w:keepLines/>
              <w:kinsoku w:val="0"/>
              <w:adjustRightInd w:val="0"/>
              <w:snapToGrid w:val="0"/>
              <w:spacing w:before="135" w:after="160"/>
              <w:textAlignment w:val="baseline"/>
              <w:rPr>
                <w:rFonts w:ascii="仿宋" w:hAnsi="仿宋" w:cs="仿宋" w:eastAsiaTheme="minorEastAsia"/>
                <w:sz w:val="24"/>
                <w:szCs w:val="24"/>
                <w:highlight w:val="none"/>
              </w:rPr>
            </w:pPr>
            <w:r>
              <w:rPr>
                <w:rFonts w:hint="eastAsia" w:ascii="仿宋" w:hAnsi="仿宋" w:eastAsia="仿宋" w:cs="仿宋"/>
                <w:kern w:val="0"/>
                <w:sz w:val="24"/>
                <w:szCs w:val="24"/>
                <w:highlight w:val="none"/>
              </w:rPr>
              <w:t>4、实验室环境适配：需贴合具体实验设备需求和实验室管理建设进行合理匹配（满足图书文物存放等环境要求）。</w:t>
            </w:r>
          </w:p>
        </w:tc>
      </w:tr>
      <w:tr w14:paraId="40987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gridSpan w:val="3"/>
            <w:vAlign w:val="center"/>
          </w:tcPr>
          <w:p w14:paraId="09FB5483">
            <w:pPr>
              <w:pStyle w:val="6"/>
              <w:spacing w:line="340" w:lineRule="exact"/>
              <w:rPr>
                <w:rFonts w:hint="default"/>
                <w:highlight w:val="none"/>
                <w:lang w:eastAsia="zh-CN"/>
              </w:rPr>
            </w:pPr>
            <w:r>
              <w:rPr>
                <w:rFonts w:ascii="仿宋" w:hAnsi="仿宋" w:cs="仿宋"/>
                <w:b/>
                <w:bCs/>
                <w:sz w:val="24"/>
                <w:szCs w:val="24"/>
                <w:highlight w:val="none"/>
                <w:lang w:eastAsia="zh-CN"/>
              </w:rPr>
              <w:t>备注：所有标注▲号的参数，在产品送达指定地点后，采购人对所供产品的相应参数进行现场测试。若出现不合格项，采购人直接退换，采购人有权要求中标人支付合同总金额20%的违约金。</w:t>
            </w:r>
          </w:p>
        </w:tc>
      </w:tr>
    </w:tbl>
    <w:p w14:paraId="222774E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496770"/>
    <w:rsid w:val="4E496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20" w:lineRule="atLeast"/>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table" w:styleId="4">
    <w:name w:val="Table Grid"/>
    <w:basedOn w:val="3"/>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2026-06-04T08:15:00Z</dcterms:created>
  <dc:creator>123</dc:creator>
  <cp:lastModifiedBy>123</cp:lastModifiedBy>
  <dcterms:modified xsi:type="dcterms:W3CDTF">2026-06-04T08:17:49Z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E7C2E27B31104911B62E6DDFBE6C0074_11</vt:lpwstr>
  </property>
  <property fmtid="{D5CDD505-2E9C-101B-9397-08002B2CF9AE}" pid="4" name="KSOTemplateDocerSaveRecord">
    <vt:lpwstr>eyJoZGlkIjoiOTEzYTE1NjhmYmI0MDkxYmE1ZjVkMjkwNjA2M2Q0ZDUiLCJ1c2VySWQiOiI0NTE5NDQwNTQifQ==</vt:lpwstr>
  </property>
</Properties>
</file>