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版本号：SXHC2026-09320260520001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2026年食品监督抽样检验检测项目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SXHC2026-093</w:t>
      </w:r>
      <w:r>
        <w:br/>
      </w:r>
      <w:r>
        <w:br/>
      </w:r>
      <w:r>
        <w:br/>
      </w:r>
    </w:p>
    <w:p>
      <w:pPr>
        <w:pStyle w:val="null3"/>
        <w:jc w:val="center"/>
        <w:outlineLvl w:val="2"/>
      </w:pPr>
      <w:r>
        <w:rPr>
          <w:rFonts w:ascii="仿宋_GB2312" w:hAnsi="仿宋_GB2312" w:cs="仿宋_GB2312" w:eastAsia="仿宋_GB2312"/>
          <w:sz w:val="28"/>
          <w:b/>
        </w:rPr>
        <w:t>勉县市场监督管理局</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勉县市场监督管理局</w:t>
      </w:r>
      <w:r>
        <w:rPr>
          <w:rFonts w:ascii="仿宋_GB2312" w:hAnsi="仿宋_GB2312" w:cs="仿宋_GB2312" w:eastAsia="仿宋_GB2312"/>
        </w:rPr>
        <w:t>委托，拟对</w:t>
      </w:r>
      <w:r>
        <w:rPr>
          <w:rFonts w:ascii="仿宋_GB2312" w:hAnsi="仿宋_GB2312" w:cs="仿宋_GB2312" w:eastAsia="仿宋_GB2312"/>
        </w:rPr>
        <w:t>2026年食品监督抽样检验检测项目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SXHC2026-093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2026年食品监督抽样检验检测项目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2026年食品监督抽样检验检测。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3、履行本合同所必需的设备和专业技术能力：提供具有履行本合同所必需的设备和专业技术能力的书面声明。</w:t>
      </w:r>
    </w:p>
    <w:p>
      <w:pPr>
        <w:pStyle w:val="null3"/>
      </w:pPr>
      <w:r>
        <w:rPr>
          <w:rFonts w:ascii="仿宋_GB2312" w:hAnsi="仿宋_GB2312" w:cs="仿宋_GB2312" w:eastAsia="仿宋_GB2312"/>
        </w:rPr>
        <w:t>4、无重大违法记录书面声明：提供参加政府采购活动前3年内在经营活动中没有重大违法记录的书面声明。</w:t>
      </w:r>
    </w:p>
    <w:p>
      <w:pPr>
        <w:pStyle w:val="null3"/>
      </w:pPr>
      <w:r>
        <w:rPr>
          <w:rFonts w:ascii="仿宋_GB2312" w:hAnsi="仿宋_GB2312" w:cs="仿宋_GB2312" w:eastAsia="仿宋_GB2312"/>
        </w:rPr>
        <w:t>5、法定代表人身份证明或法定代表人授权委托书：法定代表人直接参加投标的，须提供法定代表人身份证明；法定代表人授权代表参加投标的，须提供法定代表人授权委托书。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6、企业资质：供应商具有有效的检验检测机构资质认定证书CMA（证书附表要包含食品）及农产品质量安全检测机构考核合格证书（CATL）。</w:t>
      </w:r>
    </w:p>
    <w:p>
      <w:pPr>
        <w:pStyle w:val="null3"/>
      </w:pPr>
      <w:r>
        <w:rPr>
          <w:rFonts w:ascii="仿宋_GB2312" w:hAnsi="仿宋_GB2312" w:cs="仿宋_GB2312" w:eastAsia="仿宋_GB2312"/>
        </w:rPr>
        <w:t>7、信誉要求：供应商未列入“失信被执行人”、“重大税收违法案件当事人名单”和“政府采购严重违法失信行为记录名单”。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3、履行本合同所必需的设备和专业技术能力：提供具有履行本合同所必需的设备和专业技术能力的书面声明。</w:t>
      </w:r>
    </w:p>
    <w:p>
      <w:pPr>
        <w:pStyle w:val="null3"/>
      </w:pPr>
      <w:r>
        <w:rPr>
          <w:rFonts w:ascii="仿宋_GB2312" w:hAnsi="仿宋_GB2312" w:cs="仿宋_GB2312" w:eastAsia="仿宋_GB2312"/>
        </w:rPr>
        <w:t>4、无重大违法记录书面声明：提供参加政府采购活动前3年内在经营活动中没有重大违法记录的书面声明。</w:t>
      </w:r>
    </w:p>
    <w:p>
      <w:pPr>
        <w:pStyle w:val="null3"/>
      </w:pPr>
      <w:r>
        <w:rPr>
          <w:rFonts w:ascii="仿宋_GB2312" w:hAnsi="仿宋_GB2312" w:cs="仿宋_GB2312" w:eastAsia="仿宋_GB2312"/>
        </w:rPr>
        <w:t>5、法定代表人身份证明或法定代表人授权委托书：法定代表人直接参加投标的，须提供法定代表人身份证明；法定代表人授权代表参加投标的，须提供法定代表人授权委托书。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6、企业资质：供应商具有有效的检验检测机构资质认定证书CMA（证书附表要包含食品）及农产品质量安全检测机构考核合格证书（CATL）。</w:t>
      </w:r>
    </w:p>
    <w:p>
      <w:pPr>
        <w:pStyle w:val="null3"/>
      </w:pPr>
      <w:r>
        <w:rPr>
          <w:rFonts w:ascii="仿宋_GB2312" w:hAnsi="仿宋_GB2312" w:cs="仿宋_GB2312" w:eastAsia="仿宋_GB2312"/>
        </w:rPr>
        <w:t>7、信誉要求：供应商未列入“失信被执行人”、“重大税收违法案件当事人名单”和“政府采购严重违法失信行为记录名单”。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3、履行本合同所必需的设备和专业技术能力：提供具有履行本合同所必需的设备和专业技术能力的书面声明。</w:t>
      </w:r>
    </w:p>
    <w:p>
      <w:pPr>
        <w:pStyle w:val="null3"/>
      </w:pPr>
      <w:r>
        <w:rPr>
          <w:rFonts w:ascii="仿宋_GB2312" w:hAnsi="仿宋_GB2312" w:cs="仿宋_GB2312" w:eastAsia="仿宋_GB2312"/>
        </w:rPr>
        <w:t>4、无重大违法记录书面声明：提供参加政府采购活动前3年内在经营活动中没有重大违法记录的书面声明。</w:t>
      </w:r>
    </w:p>
    <w:p>
      <w:pPr>
        <w:pStyle w:val="null3"/>
      </w:pPr>
      <w:r>
        <w:rPr>
          <w:rFonts w:ascii="仿宋_GB2312" w:hAnsi="仿宋_GB2312" w:cs="仿宋_GB2312" w:eastAsia="仿宋_GB2312"/>
        </w:rPr>
        <w:t>5、法定代表人身份证明或法定代表人授权委托书：法定代表人直接参加投标的，须提供法定代表人身份证明；法定代表人授权代表参加投标的，须提供法定代表人授权委托书。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6、企业资质：供应商具有有效的检验检测机构资质认定证书CMA（证书附表要包含食品）及农产品质量安全检测机构考核合格证书（CATL）。</w:t>
      </w:r>
    </w:p>
    <w:p>
      <w:pPr>
        <w:pStyle w:val="null3"/>
      </w:pPr>
      <w:r>
        <w:rPr>
          <w:rFonts w:ascii="仿宋_GB2312" w:hAnsi="仿宋_GB2312" w:cs="仿宋_GB2312" w:eastAsia="仿宋_GB2312"/>
        </w:rPr>
        <w:t>7、信誉要求：供应商未列入“失信被执行人”、“重大税收违法案件当事人名单”和“政府采购严重违法失信行为记录名单”。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勉县天荡山路中段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0916-3226751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孙立博、张聪聪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采购包1：240,000.00元</w:t>
            </w:r>
          </w:p>
          <w:p>
            <w:pPr>
              <w:pStyle w:val="null3"/>
            </w:pPr>
            <w:r>
              <w:rPr>
                <w:rFonts w:ascii="仿宋_GB2312" w:hAnsi="仿宋_GB2312" w:cs="仿宋_GB2312" w:eastAsia="仿宋_GB2312"/>
              </w:rPr>
              <w:t>采购包2：240,000.00元</w:t>
            </w:r>
          </w:p>
          <w:p>
            <w:pPr>
              <w:pStyle w:val="null3"/>
            </w:pPr>
            <w:r>
              <w:rPr>
                <w:rFonts w:ascii="仿宋_GB2312" w:hAnsi="仿宋_GB2312" w:cs="仿宋_GB2312" w:eastAsia="仿宋_GB2312"/>
              </w:rPr>
              <w:t>采购包3：180,000.00元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每采购包成交金额为基数，参考《国家计委关于印发&lt;招标代理服务收费管理暂行办法&gt;的通知》（计价格〔2002〕1980号）及《国家发改委关于降低部分建设项目收费标准规范收费行为等有关问题的通知》（发改价格〔2011〕534号） 规定按标准收取，若按照标准收取不足6000元，按6000元计取。 2、招标代理服务费可以采取现金、支票、银行汇票、电汇、网银等方式缴纳。 3、招标代理服务费缴纳信息：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勉县市场监督管理局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项目实施完成后，由勉县市场监督管理局组织对项目服务的执行结果进行验收，主要针对成交供应商的合同履行情况及结果进行检验、核实和评估，以确认其提供的服务是否符合政府采购合同约定标准和要求。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项目实施完成后，由勉县市场监督管理局组织对项目服务的执行结果进行验收，主要针对成交供应商的合同履行情况及结果进行检验、核实和评估，以确认其提供的服务是否符合政府采购合同约定标准和要求。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项目实施完成后，由勉县市场监督管理局组织对项目服务的执行结果进行验收，主要针对成交供应商的合同履行情况及结果进行检验、核实和评估，以确认其提供的服务是否符合政府采购合同约定标准和要求。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联系电话：029-68255920-807</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2026年食品监督抽样检验检测。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2026年食品抽样检验检测服务采购项目－一标段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2026年食品抽样检验检测服务采购项目－二标段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2026年食品抽样检验检测服务采购项目－三标段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标的名称：2026年食品抽样检验检测服务采购项目－一标段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标的名称：2026年食品抽样检验检测服务采购项目－二标段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标的名称：2026年食品抽样检验检测服务采购项目－三标段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勉县市场监督管理局，具体以采购人指定地点为准。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勉县市场监督管理局，具体以采购人指定地点为准。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勉县市场监督管理局，具体以采购人指定地点为准。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项目实施完成后，由勉县市场监督管理局组织对项目服务的执行结果进行验收，主要针对成交供应商的合同履行情况及结果进行检验、核实和评估，以确认其提供的服务是否符合政府采购合同约定标准和要求。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项目实施完成后，由勉县市场监督管理局组织对项目服务的执行结果进行验收，主要针对成交供应商的合同履行情况及结果进行检验、核实和评估，以确认其提供的服务是否符合政府采购合同约定标准和要求。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项目实施完成后，由勉县市场监督管理局组织对项目服务的执行结果进行验收，主要针对成交供应商的合同履行情况及结果进行检验、核实和评估，以确认其提供的服务是否符合政府采购合同约定标准和要求。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进度款，每半年支付一次，服务期满半年后乙方提供检测服务明细即费用结算单，经甲方验收合格，达到付款条件起30个工作日内，支付合同总金额的50.0%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进度款，2026年度检测任务全部完成，并经采购人验收合格后，达到付款条件起30个工作日内，支付合同总金额的50.0%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进度款，每半年支付一次，服务期满半年后乙方提供检测服务明细即费用结算单，经甲方验收合格，达到付款条件起30个工作日内，支付合同总金额的50.0%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进度款，2026年度检测任务全部完成，并经采购人验收合格后，达到付款条件起30个工作日内，支付合同总金额的50.0%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进度款，每半年支付一次，服务期满半年后乙方提供检测服务明细即费用结算单，经甲方验收合格，达到付款条件起30个工作日内，支付合同总金额的50.0%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进度款，2026年度检测任务全部完成，并经采购人验收合格后，达到付款条件起30个工作日内，支付合同总金额的50.0%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以拟签订的合同文本中体现的为准。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以拟签订的合同文本中体现的为准。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以拟签订的合同文本中体现的为准。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其他补充事宜：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3、如磋商文件中融资相关内容与新政策要求有出入，按照最新要求执行。4、本项目共分为3个采购包，每个采购包确定1家成交供应商，供应商可同时参与多个采购包，但最终只能中1个采购包。评审时按照采购包号顺序进行评审，若供应商在评审时已在采购包1被推荐为排序第一的成交候选人，则该供应商在其他采购包中不再参与成交候选人的推荐。5、支付约定因系统格式问题，合同款项支付以拟签订合同文本体现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1）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 （2）其开标前三个月内基本开户银行出具的资信证明； （3）信用担保机构出具的投标担保函。</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1）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 （2）其开标前三个月内基本开户银行出具的资信证明； （3）信用担保机构出具的投标担保函。</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1）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 （2）其开标前三个月内基本开户银行出具的资信证明； （3）信用担保机构出具的投标担保函。</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供应商具有有效的检验检测机构资质认定证书CMA（证书附表要包含食品）及农产品质量安全检测机构考核合格证书（CATL）。</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供应商具有有效的检验检测机构资质认定证书CMA（证书附表要包含食品）及农产品质量安全检测机构考核合格证书（CATL）。</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供应商具有有效的检验检测机构资质认定证书CMA（证书附表要包含食品）及农产品质量安全检测机构考核合格证书（CATL）。</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磋商报价表.docx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磋商报价表.docx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检测技术实施方案</w:t>
            </w:r>
          </w:p>
        </w:tc>
        <w:tc>
          <w:tcPr>
            <w:tcW w:type="dxa" w:w="2492"/>
          </w:tcPr>
          <w:p>
            <w:pPr>
              <w:pStyle w:val="null3"/>
            </w:pPr>
            <w:r>
              <w:rPr>
                <w:rFonts w:ascii="仿宋_GB2312" w:hAnsi="仿宋_GB2312" w:cs="仿宋_GB2312" w:eastAsia="仿宋_GB2312"/>
              </w:rPr>
              <w:t>内容包括但不限于①检测方案；②人员组织管理方案；③抽样方案；④结果专报机制；⑤档案管理机制等。以上内容专门针对本项目且符合本项目实际需求的得20分，每缺一项内容扣4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采样实施方案</w:t>
            </w:r>
          </w:p>
        </w:tc>
        <w:tc>
          <w:tcPr>
            <w:tcW w:type="dxa" w:w="2492"/>
          </w:tcPr>
          <w:p>
            <w:pPr>
              <w:pStyle w:val="null3"/>
            </w:pPr>
            <w:r>
              <w:rPr>
                <w:rFonts w:ascii="仿宋_GB2312" w:hAnsi="仿宋_GB2312" w:cs="仿宋_GB2312" w:eastAsia="仿宋_GB2312"/>
              </w:rPr>
              <w:t>内容包括但不限于①上门采集样品方案；②采集人员组织安排方案；③采样工具配置；④样品存储运输方案等。以上内容专门针对本项目且符合本项目实际需求的得20分，每缺一项内容扣5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检测设备配置</w:t>
            </w:r>
          </w:p>
        </w:tc>
        <w:tc>
          <w:tcPr>
            <w:tcW w:type="dxa" w:w="2492"/>
          </w:tcPr>
          <w:p>
            <w:pPr>
              <w:pStyle w:val="null3"/>
            </w:pPr>
            <w:r>
              <w:rPr>
                <w:rFonts w:ascii="仿宋_GB2312" w:hAnsi="仿宋_GB2312" w:cs="仿宋_GB2312" w:eastAsia="仿宋_GB2312"/>
              </w:rPr>
              <w:t>内容包括但不限于①检测设备清单、购置发票；②有效的设备检定/校准证书；③设备型号、设备图片等。以上内容专门针对本项目且符合本项目实际需求的得3分，每缺一项内容扣1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内容包括但不限于①采购人辖区出现食品安全事故或案件调查等应急类事件时的应急预案；②技术专家及采样人员应急配置；③应急车辆配置方案；④检测过程中出现的其他应急情况预案等。以上内容专门针对本项目且符合本项目实际需求的得10分，每缺一项内容扣2.5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1.实验室（3分）：供应商提供自建或租赁实验室面积证明材料，面积≥4000平方米证明得3分，面积2000（含）～4000平方米得2分，面积1000（含）～2000平方米得1分；面积1000平方米以下不得分。 2.冷库（3分）：供应商提供自建或租赁食品冷藏样品存储的专用冷库面积证明材料，面积≥200平方米得3分，面积150（含）～200平方米得2分，面积100（含）～150平方米得1分，面积100（不含）平方米以下不得分。 3.常温样品室（2分）：供应商具有常温样品室，得2分，未提供不得分。 说明：评审时须提供实验室、冷库及常温样品室实物照片、租赁合同（或房产证）；冷库建造或冷藏设施购买证明信息（票据）等证明材料，证明材料须提供复印件加盖供应商公章，未提供不得分。 4.采样车辆（3分）：供应商具有自有或租赁采样车辆，每辆得 1 分，最高 3分。 (提供机动车行驶证、车辆照片；若为租赁车辆需同时提供租赁合同)。</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质量考核</w:t>
            </w:r>
          </w:p>
        </w:tc>
        <w:tc>
          <w:tcPr>
            <w:tcW w:type="dxa" w:w="2492"/>
          </w:tcPr>
          <w:p>
            <w:pPr>
              <w:pStyle w:val="null3"/>
            </w:pPr>
            <w:r>
              <w:rPr>
                <w:rFonts w:ascii="仿宋_GB2312" w:hAnsi="仿宋_GB2312" w:cs="仿宋_GB2312" w:eastAsia="仿宋_GB2312"/>
              </w:rPr>
              <w:t>2023年以来参加县级及以上市场监督管理局组织的食品类盲样考核或食品类检验检测能力验证结果为“满意”或“合格”得2分，其余结果不得分。 （以供应商提供市场监督管理局印发的相关文件为准，须提供复印件加盖供应商公章。）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1.检测人员（7分）：①提供10个检测相关专业中级技术职称得5分，不足10个，每缺少1个扣0.5分，扣完为止；②提供4个检测相关专业高级技术职称得2分，每缺少1个扣0.5分，扣完为止。 注：供应商须提供以上人员的身份证、职称证、社保缴纳记录（若为退休人员提供退休证及劳动合同），若有任一缺项该人员将不得分。 2.抽样人员（3分）：有承担食品抽检工作的独立抽样人员＜6人不得分，等于6人得2分，＞6人得3分。 （提供相关专业上述人员学历证和抽样上岗证复印件加盖公章，否则，不计分）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内容包括但不限于①对于餐饮环节、小作坊、鲜活食用农产品类的样品，能保证在其要求的存储条件下，按规定时间进入食品检测实验室的承诺；②有特殊储运要求的样品储运规定、样品第三方物流储运规定、样品丢失、损毁、变质等应急处置的承诺；③检测质量控制措施规定、盲样考核结果整改进展报告的承诺；④检测结果引发争议或诉讼处置的承诺等。每提供一个承诺得1分，满分4分，未提供或仅有标题无实际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1、供应商2023年05月01日至今（以合同签订时间为准），承担过县级及以上食品监督抽样检测任务，每提供1个有效服务合同得1分，满分为3分，且提供合同对应的县级及以上被服务单位出具的服务满意度评价，评价分为满意、基本满意、不满意三个等次，每获1个满意得1分，每获1个基本满意得0.5分，不满意得0分，满分为3分； 注：时间以合同签订时间为准，须提供合同证明复印件和满意度评价相关证明加盖供应商公章； 2、供应商2023年05月01日至今，已完成县级及以上委托任务（含年度任务、专项任务）食品检测，已完成批次样品检测结果不合格率达3%（含）及以下的得1分，不合格率达3%至4.5%（含）得2分，不合格率达4.5%（不含）以上的得4分。以供应商举例提供的年度任务检测进度系统完整数据截屏、任务合同或专项任务清单及其计算的有效不合格率为准，数据不准确、未提供完整印证资料的不得分。 注：所提供的资料须提供复印件加盖供应商公章。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满足磋商文件内容及技术要求且最终磋商报价最低的投标价为评审基准价，其价格分为满分。 磋商报价得分=（评审基准价／最终磋商报价）×价格权值×100。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检测技术实施方案</w:t>
            </w:r>
          </w:p>
        </w:tc>
        <w:tc>
          <w:tcPr>
            <w:tcW w:type="dxa" w:w="2492"/>
          </w:tcPr>
          <w:p>
            <w:pPr>
              <w:pStyle w:val="null3"/>
            </w:pPr>
            <w:r>
              <w:rPr>
                <w:rFonts w:ascii="仿宋_GB2312" w:hAnsi="仿宋_GB2312" w:cs="仿宋_GB2312" w:eastAsia="仿宋_GB2312"/>
              </w:rPr>
              <w:t>内容包括但不限于①检测方案；②人员组织管理方案；③抽样方案；④结果专报机制；⑤档案管理机制等。以上内容专门针对本项目且符合本项目实际需求的得20分，每缺一项内容扣4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采样实施方案</w:t>
            </w:r>
          </w:p>
        </w:tc>
        <w:tc>
          <w:tcPr>
            <w:tcW w:type="dxa" w:w="2492"/>
          </w:tcPr>
          <w:p>
            <w:pPr>
              <w:pStyle w:val="null3"/>
            </w:pPr>
            <w:r>
              <w:rPr>
                <w:rFonts w:ascii="仿宋_GB2312" w:hAnsi="仿宋_GB2312" w:cs="仿宋_GB2312" w:eastAsia="仿宋_GB2312"/>
              </w:rPr>
              <w:t>内容包括但不限于①上门采集样品方案；②采集人员组织安排方案；③采样工具配置；④样品存储运输方案等。以上内容专门针对本项目且符合本项目实际需求的得20分，每缺一项内容扣5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检测设备配置</w:t>
            </w:r>
          </w:p>
        </w:tc>
        <w:tc>
          <w:tcPr>
            <w:tcW w:type="dxa" w:w="2492"/>
          </w:tcPr>
          <w:p>
            <w:pPr>
              <w:pStyle w:val="null3"/>
            </w:pPr>
            <w:r>
              <w:rPr>
                <w:rFonts w:ascii="仿宋_GB2312" w:hAnsi="仿宋_GB2312" w:cs="仿宋_GB2312" w:eastAsia="仿宋_GB2312"/>
              </w:rPr>
              <w:t>内容包括但不限于①检测设备清单、购置发票；②有效的设备检定/校准证书；③设备型号、设备图片等。以上内容专门针对本项目且符合本项目实际需求的得3分，每缺一项内容扣1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内容包括但不限于①采购人辖区出现食品安全事故或案件调查等应急类事件时的应急预案；②技术专家及采样人员应急配置；③应急车辆配置方案；④检测过程中出现的其他应急情况预案等。以上内容专门针对本项目且符合本项目实际需求的得10分，每缺一项内容扣2.5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1.实验室（3分）：供应商提供自建或租赁实验室面积证明材料，面积≥4000平方米证明得3分，面积2000（含）～4000平方米得2分，面积1000（含）～2000平方米得1分；面积1000平方米以下不得分。 2.冷库（3分）：供应商提供自建或租赁食品冷藏样品存储的专用冷库面积证明材料，面积≥200平方米得3分，面积150（含）～200平方米得2分，面积100（含）～150平方米得1分，面积100（不含）平方米以下不得分。 3.常温样品室（2分）：供应商具有常温样品室，得2分，未提供不得分。 说明：评审时须提供实验室、冷库及常温样品室实物照片、租赁合同（或房产证）；冷库建造或冷藏设施购买证明信息（票据）等证明材料，证明材料须提供复印件加盖供应商公章，未提供不得分。 4.采样车辆（3分）：供应商具有自有或租赁采样车辆，每辆得 1 分，最高 3分。 (提供机动车行驶证、车辆照片；若为租赁车辆需同时提供租赁合同)。</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质量考核</w:t>
            </w:r>
          </w:p>
        </w:tc>
        <w:tc>
          <w:tcPr>
            <w:tcW w:type="dxa" w:w="2492"/>
          </w:tcPr>
          <w:p>
            <w:pPr>
              <w:pStyle w:val="null3"/>
            </w:pPr>
            <w:r>
              <w:rPr>
                <w:rFonts w:ascii="仿宋_GB2312" w:hAnsi="仿宋_GB2312" w:cs="仿宋_GB2312" w:eastAsia="仿宋_GB2312"/>
              </w:rPr>
              <w:t>2023年以来参加县级及以上市场监督管理局组织的食品类盲样考核或食品类检验检测能力验证结果为“满意”或“合格”得2分，其余结果不得分。 （以供应商提供市场监督管理局印发的相关文件为准，须提供复印件加盖供应商公章。）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1.检测人员（7分）：①提供10个检测相关专业中级技术职称得5分，不足10个，每缺少1个扣0.5分，扣完为止；②提供4个检测相关专业高级技术职称得2分，每缺少1个扣0.5分，扣完为止。 注：供应商须提供以上人员的身份证、职称证、社保缴纳记录（若为退休人员提供退休证及劳动合同），若有任一缺项该人员将不得分。 2.抽样人员（3分）：有承担食品抽检工作的独立抽样人员＜6人不得分，等于6人得2分，＞6人得3分。 （提供相关专业上述人员学历证和抽样上岗证复印件加盖公章，否则，不计分）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内容包括但不限于①对于餐饮环节、小作坊、鲜活食用农产品类的样品，能保证在其要求的存储条件下，按规定时间进入食品检测实验室的承诺；②有特殊储运要求的样品储运规定、样品第三方物流储运规定、样品丢失、损毁、变质等应急处置的承诺；③检测质量控制措施规定、盲样考核结果整改进展报告的承诺；④检测结果引发争议或诉讼处置的承诺等。每提供一个承诺得1分，满分4分，未提供或仅有标题无实际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1、供应商2023年05月01日至今（以合同签订时间为准），承担过县级及以上食品监督抽样检测任务，每提供1个有效服务合同得1分，满分为3分，且提供合同对应的县级及以上被服务单位出具的服务满意度评价，评价分为满意、基本满意、不满意三个等次，每获1个满意得1分，每获1个基本满意得0.5分，不满意得0分，满分为3分； 注：时间以合同签订时间为准，须提供合同证明复印件和满意度评价相关证明加盖供应商公章； 2、供应商2023年05月01日至今，已完成县级及以上委托任务（含年度任务、专项任务）食品检测，已完成批次样品检测结果不合格率达3%（含）及以下的得1分，不合格率达3%至4.5%（含）得2分，不合格率达4.5%（不含）以上的得4分。以供应商举例提供的年度任务检测进度系统完整数据截屏、任务合同或专项任务清单及其计算的有效不合格率为准，数据不准确、未提供完整印证资料的不得分。 注：所提供的资料须提供复印件加盖供应商公章。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满足磋商文件内容及技术要求且最终磋商报价最低的投标价为评审基准价，其价格分为满分。 磋商报价得分=（评审基准价／最终磋商报价）×价格权值×100。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检测技术实施方案</w:t>
            </w:r>
          </w:p>
        </w:tc>
        <w:tc>
          <w:tcPr>
            <w:tcW w:type="dxa" w:w="2492"/>
          </w:tcPr>
          <w:p>
            <w:pPr>
              <w:pStyle w:val="null3"/>
            </w:pPr>
            <w:r>
              <w:rPr>
                <w:rFonts w:ascii="仿宋_GB2312" w:hAnsi="仿宋_GB2312" w:cs="仿宋_GB2312" w:eastAsia="仿宋_GB2312"/>
              </w:rPr>
              <w:t>内容包括但不限于①检测方案；②人员组织管理方案；③抽样方案；④结果专报机制；⑤档案管理机制等。以上内容专门针对本项目且符合本项目实际需求的得20分，每缺一项内容扣4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采样实施方案</w:t>
            </w:r>
          </w:p>
        </w:tc>
        <w:tc>
          <w:tcPr>
            <w:tcW w:type="dxa" w:w="2492"/>
          </w:tcPr>
          <w:p>
            <w:pPr>
              <w:pStyle w:val="null3"/>
            </w:pPr>
            <w:r>
              <w:rPr>
                <w:rFonts w:ascii="仿宋_GB2312" w:hAnsi="仿宋_GB2312" w:cs="仿宋_GB2312" w:eastAsia="仿宋_GB2312"/>
              </w:rPr>
              <w:t>内容包括但不限于①上门采集样品方案；②采集人员组织安排方案；③采样工具配置；④样品存储运输方案等。以上内容专门针对本项目且符合本项目实际需求的得20分，每缺一项内容扣5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检测设备配置</w:t>
            </w:r>
          </w:p>
        </w:tc>
        <w:tc>
          <w:tcPr>
            <w:tcW w:type="dxa" w:w="2492"/>
          </w:tcPr>
          <w:p>
            <w:pPr>
              <w:pStyle w:val="null3"/>
            </w:pPr>
            <w:r>
              <w:rPr>
                <w:rFonts w:ascii="仿宋_GB2312" w:hAnsi="仿宋_GB2312" w:cs="仿宋_GB2312" w:eastAsia="仿宋_GB2312"/>
              </w:rPr>
              <w:t>内容包括但不限于①检测设备清单、购置发票；②有效的设备检定/校准证书；③设备型号、设备图片等。以上内容专门针对本项目且符合本项目实际需求的得3分，每缺一项内容扣1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内容包括但不限于①采购人辖区出现食品安全事故或案件调查等应急类事件时的应急预案；②技术专家及采样人员应急配置；③应急车辆配置方案；④检测过程中出现的其他应急情况预案等。以上内容专门针对本项目且符合本项目实际需求的得10分，每缺一项内容扣2.5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1.实验室（3分）：供应商提供自建或租赁实验室面积证明材料，面积≥4000平方米证明得3分，面积2000（含）～4000平方米得2分，面积1000（含）～2000平方米得1分；面积1000平方米以下不得分。 2.冷库（3分）：供应商提供自建或租赁食品冷藏样品存储的专用冷库面积证明材料，面积≥200平方米得3分，面积150（含）～200平方米得2分，面积100（含）～150平方米得1分，面积100（不含）平方米以下不得分。 3.常温样品室（2分）：供应商具有常温样品室，得2分，未提供不得分。 说明：评审时须提供实验室、冷库及常温样品室实物照片、租赁合同（或房产证）；冷库建造或冷藏设施购买证明信息（票据）等证明材料，证明材料须提供复印件加盖供应商公章，未提供不得分。 4.采样车辆（3分）：供应商具有自有或租赁采样车辆，每辆得 1 分，最高 3分。 (提供机动车行驶证、车辆照片；若为租赁车辆需同时提供租赁合同)。</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质量考核</w:t>
            </w:r>
          </w:p>
        </w:tc>
        <w:tc>
          <w:tcPr>
            <w:tcW w:type="dxa" w:w="2492"/>
          </w:tcPr>
          <w:p>
            <w:pPr>
              <w:pStyle w:val="null3"/>
            </w:pPr>
            <w:r>
              <w:rPr>
                <w:rFonts w:ascii="仿宋_GB2312" w:hAnsi="仿宋_GB2312" w:cs="仿宋_GB2312" w:eastAsia="仿宋_GB2312"/>
              </w:rPr>
              <w:t>2023年以来参加县级及以上市场监督管理局组织的食品类盲样考核或食品类检验检测能力验证结果为“满意”或“合格”得2分，其余结果不得分。 （以供应商提供市场监督管理局印发的相关文件为准，须提供复印件加盖供应商公章。）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1.检测人员（7分）：①提供10个检测相关专业中级技术职称得5分，不足10个，每缺少1个扣0.5分，扣完为止；②提供4个检测相关专业高级技术职称得2分，每缺少1个扣0.5分，扣完为止。 注：供应商须提供以上人员的身份证、职称证、社保缴纳记录（若为退休人员提供退休证及劳动合同），若有任一缺项该人员将不得分。 2.抽样人员（3分）：有承担食品抽检工作的独立抽样人员＜6人不得分，等于6人得2分，＞6人得3分。 （提供相关专业上述人员学历证和抽样上岗证复印件加盖公章，否则，不计分）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内容包括但不限于①对于餐饮环节、小作坊、鲜活食用农产品类的样品，能保证在其要求的存储条件下，按规定时间进入食品检测实验室的承诺；②有特殊储运要求的样品储运规定、样品第三方物流储运规定、样品丢失、损毁、变质等应急处置的承诺；③检测质量控制措施规定、盲样考核结果整改进展报告的承诺；④检测结果引发争议或诉讼处置的承诺等。每提供一个承诺得1分，满分4分，未提供或仅有标题无实际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1、供应商2023年05月01日至今（以合同签订时间为准），承担过县级及以上食品监督抽样检测任务，每提供1个有效服务合同得1分，满分为3分，且提供合同对应的县级及以上被服务单位出具的服务满意度评价，评价分为满意、基本满意、不满意三个等次，每获1个满意得1分，每获1个基本满意得0.5分，不满意得0分，满分为3分； 注：时间以合同签订时间为准，须提供合同证明复印件和满意度评价相关证明加盖供应商公章； 2、供应商2023年05月01日至今，已完成县级及以上委托任务（含年度任务、专项任务）食品检测，已完成批次样品检测结果不合格率达3%（含）及以下的得1分，不合格率达3%至4.5%（含）得2分，不合格率达4.5%（不含）以上的得4分。以供应商举例提供的年度任务检测进度系统完整数据截屏、任务合同或专项任务清单及其计算的有效不合格率为准，数据不准确、未提供完整印证资料的不得分。 注：所提供的资料须提供复印件加盖供应商公章。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满足磋商文件内容及技术要求且最终磋商报价最低的投标价为评审基准价，其价格分为满分。 磋商报价得分=（评审基准价／最终磋商报价）×价格权值×100。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