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版本号：ZZHY202601300620260507001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考务中心项目建筑土方清运项目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ZZHY2026013006</w:t>
      </w:r>
      <w:r>
        <w:br/>
      </w:r>
      <w:r>
        <w:br/>
      </w:r>
      <w:r>
        <w:br/>
      </w:r>
    </w:p>
    <w:p>
      <w:pPr>
        <w:pStyle w:val="null3"/>
        <w:jc w:val="center"/>
        <w:outlineLvl w:val="2"/>
      </w:pPr>
      <w:r>
        <w:rPr>
          <w:rFonts w:ascii="仿宋_GB2312" w:hAnsi="仿宋_GB2312" w:cs="仿宋_GB2312" w:eastAsia="仿宋_GB2312"/>
          <w:sz w:val="28"/>
          <w:b/>
        </w:rPr>
        <w:t>西安市高陵区耿镇街道办事处</w:t>
      </w:r>
    </w:p>
    <w:p>
      <w:pPr>
        <w:pStyle w:val="null3"/>
        <w:jc w:val="center"/>
        <w:outlineLvl w:val="2"/>
      </w:pPr>
      <w:r>
        <w:rPr>
          <w:rFonts w:ascii="仿宋_GB2312" w:hAnsi="仿宋_GB2312" w:cs="仿宋_GB2312" w:eastAsia="仿宋_GB2312"/>
          <w:sz w:val="28"/>
          <w:b/>
        </w:rPr>
        <w:t>中正翰元项目管理有限公司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中正翰元项目管理有限公司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西安市高陵区耿镇街道办事处</w:t>
      </w:r>
      <w:r>
        <w:rPr>
          <w:rFonts w:ascii="仿宋_GB2312" w:hAnsi="仿宋_GB2312" w:cs="仿宋_GB2312" w:eastAsia="仿宋_GB2312"/>
        </w:rPr>
        <w:t>委托，拟对</w:t>
      </w:r>
      <w:r>
        <w:rPr>
          <w:rFonts w:ascii="仿宋_GB2312" w:hAnsi="仿宋_GB2312" w:cs="仿宋_GB2312" w:eastAsia="仿宋_GB2312"/>
        </w:rPr>
        <w:t>考务中心项目建筑土方清运项目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ZZHY2026013006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考务中心项目建筑土方清运项目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考务中心项目建筑土方清运项目位于高陵区渭阳五路以南西韩公路以西，主要为项目红线范围内土方清运工作，包括建筑垃圾清运74991.4立方米，素土回填29.1立方米。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采购包1（考务中心项目建筑土方清运项目）：属于专门面向中小企业采购。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1、主体资格证明：具有独立承担民事责任能力的法人、其他组织或自然人，并出具合法有效的营业执照或事业单位法人证书等国家规定的合法证明文件，自然人参与的提供其身份证明。</w:t>
      </w:r>
    </w:p>
    <w:p>
      <w:pPr>
        <w:pStyle w:val="null3"/>
      </w:pPr>
      <w:r>
        <w:rPr>
          <w:rFonts w:ascii="仿宋_GB2312" w:hAnsi="仿宋_GB2312" w:cs="仿宋_GB2312" w:eastAsia="仿宋_GB2312"/>
        </w:rPr>
        <w:t>2、供应商资质要求：具有道路运输经营许可证及当地行政主管部门颁发的建筑垃圾处置（运输）证。</w:t>
      </w:r>
    </w:p>
    <w:p>
      <w:pPr>
        <w:pStyle w:val="null3"/>
      </w:pPr>
      <w:r>
        <w:rPr>
          <w:rFonts w:ascii="仿宋_GB2312" w:hAnsi="仿宋_GB2312" w:cs="仿宋_GB2312" w:eastAsia="仿宋_GB2312"/>
        </w:rPr>
        <w:t>3、企业信誉：供应商未被“信用中国”网站(www.creditchina.gov.cn)列入失信被执行人和重大税收违法失信主体，未被中国政府采购网(www.ccgp.gov.cn)列入政府采购严重违法失信行为记录名单。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4、法定代表人身份证明或法定代表人授权委托书：法定代表人直接参加投标的，须提供法定代表人身份证明；法定代表人授权代表参加投标的，须提供法定代表人授权委托书（附法定代表人、被授权委托人身份证复印件）；非法人单位参照执行。</w:t>
      </w:r>
    </w:p>
    <w:p>
      <w:pPr>
        <w:pStyle w:val="null3"/>
      </w:pPr>
      <w:r>
        <w:rPr>
          <w:rFonts w:ascii="仿宋_GB2312" w:hAnsi="仿宋_GB2312" w:cs="仿宋_GB2312" w:eastAsia="仿宋_GB2312"/>
        </w:rPr>
        <w:t>5、本项目不接受联合体投标：非联合体投标承诺函。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西安市高陵区耿镇街道办事处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西安市高陵区耿镇街道苏虎路副6号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西安市高陵区耿镇街道办事处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029-86060010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中正翰元项目管理有限公司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西安市未央区未央路126号赛高国际商务港20层2004室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王海艳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15991980597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采购包1：8,819,802.59元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代理服务费收费标准：1、招标代理费以中标金额为收费基数，参照国家计委颁发的《 招标代理服务收费管理暂行办法》（计价格〔2002〕1980号）、《国家发展改革委关于降低部分建设项目收费标准规范收费行为等有关问题的通知》（发改价格〔2011〕534号）的有关规定执行，由中标单位在领取中标通知书前一次性支付。 2、代理服务费账户名称：中正翰元项目管理有限公司，开户行：交通银行股份有限公司西安长庆支行，账号：611301096013001128048。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西安市高陵区耿镇街道办事处</w:t>
      </w:r>
      <w:r>
        <w:rPr>
          <w:rFonts w:ascii="仿宋_GB2312" w:hAnsi="仿宋_GB2312" w:cs="仿宋_GB2312" w:eastAsia="仿宋_GB2312"/>
        </w:rPr>
        <w:t>和</w:t>
      </w:r>
      <w:r>
        <w:rPr>
          <w:rFonts w:ascii="仿宋_GB2312" w:hAnsi="仿宋_GB2312" w:cs="仿宋_GB2312" w:eastAsia="仿宋_GB2312"/>
        </w:rPr>
        <w:t>中正翰元项目管理有限公司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西安市高陵区耿镇街道办事处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中正翰元项目管理有限公司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西安市高陵区耿镇街道办事处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中正翰元项目管理有限公司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项目红线范围内建筑土方全部清运完成，进行素土回填，回填表面平整满足采购人要求。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联系电话：15991980597</w:t>
      </w:r>
    </w:p>
    <w:p>
      <w:pPr>
        <w:pStyle w:val="null3"/>
      </w:pPr>
      <w:r>
        <w:rPr>
          <w:rFonts w:ascii="仿宋_GB2312" w:hAnsi="仿宋_GB2312" w:cs="仿宋_GB2312" w:eastAsia="仿宋_GB2312"/>
        </w:rPr>
        <w:t>地址：西安市未央区未央路126号赛高国际商务港20层2004室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8"/>
        </w:rPr>
        <w:t>考务中心项目建筑土方清运项目位于高陵区渭阳五路以南西韩公路以西，主要为项目红线范围内土方清运工作，包括建筑垃圾清运74991.4立方米，素土回填29.1立方米。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8,819,802.59</w:t>
      </w:r>
    </w:p>
    <w:p>
      <w:pPr>
        <w:pStyle w:val="null3"/>
      </w:pPr>
      <w:r>
        <w:rPr>
          <w:rFonts w:ascii="仿宋_GB2312" w:hAnsi="仿宋_GB2312" w:cs="仿宋_GB2312" w:eastAsia="仿宋_GB2312"/>
        </w:rPr>
        <w:t>采购包最高限价（元）: 8,819,802.59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考务中心项目建筑土方清运项目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8,819,802.59</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标的名称：考务中心项目建筑土方清运项目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 xml:space="preserve">    </w:t>
            </w:r>
            <w:r>
              <w:rPr>
                <w:rFonts w:ascii="仿宋_GB2312" w:hAnsi="仿宋_GB2312" w:cs="仿宋_GB2312" w:eastAsia="仿宋_GB2312"/>
                <w:sz w:val="21"/>
                <w:b/>
              </w:rPr>
              <w:t>一、项目</w:t>
            </w:r>
            <w:r>
              <w:rPr>
                <w:rFonts w:ascii="仿宋_GB2312" w:hAnsi="仿宋_GB2312" w:cs="仿宋_GB2312" w:eastAsia="仿宋_GB2312"/>
                <w:sz w:val="21"/>
                <w:b/>
              </w:rPr>
              <w:t>概况</w:t>
            </w:r>
          </w:p>
          <w:p>
            <w:pPr>
              <w:pStyle w:val="null3"/>
              <w:ind w:firstLine="560"/>
              <w:jc w:val="both"/>
            </w:pPr>
            <w:r>
              <w:rPr>
                <w:rFonts w:ascii="仿宋_GB2312" w:hAnsi="仿宋_GB2312" w:cs="仿宋_GB2312" w:eastAsia="仿宋_GB2312"/>
                <w:sz w:val="21"/>
              </w:rPr>
              <w:t>西安市公安局交通警察支队车管所考务中心（一期）项目位于高陵区耿镇街道安家村，北至渭阳五路，南至渭阳四路(规划路)，东至西韩公路，西至泾惠五路(规划路)，总建筑面积7430平方米，包括考务大楼、车辆查验业务技术用房、候考待考楼、查验及预录入大棚、设备用房、大中型车及摩托车科目二考场。</w:t>
            </w:r>
          </w:p>
          <w:p>
            <w:pPr>
              <w:pStyle w:val="null3"/>
              <w:ind w:firstLine="560"/>
              <w:jc w:val="both"/>
            </w:pPr>
            <w:r>
              <w:rPr>
                <w:rFonts w:ascii="仿宋_GB2312" w:hAnsi="仿宋_GB2312" w:cs="仿宋_GB2312" w:eastAsia="仿宋_GB2312"/>
                <w:sz w:val="21"/>
                <w:b/>
              </w:rPr>
              <w:t>二、服务内容</w:t>
            </w:r>
          </w:p>
          <w:p>
            <w:pPr>
              <w:pStyle w:val="null3"/>
              <w:ind w:firstLine="560"/>
              <w:jc w:val="both"/>
            </w:pPr>
            <w:r>
              <w:rPr>
                <w:rFonts w:ascii="仿宋_GB2312" w:hAnsi="仿宋_GB2312" w:cs="仿宋_GB2312" w:eastAsia="仿宋_GB2312"/>
                <w:sz w:val="21"/>
              </w:rPr>
              <w:t>考务中心项目建筑土方清运项目位于高陵区渭阳五路以南西韩公路以西，主要为项目红线范围内土方清运工作，包括建筑垃圾清运74991.4立方米，素土回填29.1立方米。</w:t>
            </w:r>
          </w:p>
          <w:p>
            <w:pPr>
              <w:pStyle w:val="null3"/>
              <w:ind w:firstLine="560"/>
              <w:jc w:val="both"/>
            </w:pPr>
            <w:r>
              <w:rPr>
                <w:rFonts w:ascii="仿宋_GB2312" w:hAnsi="仿宋_GB2312" w:cs="仿宋_GB2312" w:eastAsia="仿宋_GB2312"/>
                <w:sz w:val="21"/>
                <w:b/>
              </w:rPr>
              <w:t>三、技术要求</w:t>
            </w:r>
          </w:p>
          <w:p>
            <w:pPr>
              <w:pStyle w:val="null3"/>
              <w:ind w:firstLine="560"/>
              <w:jc w:val="both"/>
            </w:pPr>
            <w:r>
              <w:rPr>
                <w:rFonts w:ascii="仿宋_GB2312" w:hAnsi="仿宋_GB2312" w:cs="仿宋_GB2312" w:eastAsia="仿宋_GB2312"/>
                <w:sz w:val="21"/>
              </w:rPr>
              <w:t>1、建筑土方清运：采用机械清运，红线范围内建筑土方全部清运完毕，现场无任何遗留物。</w:t>
            </w:r>
          </w:p>
          <w:p>
            <w:pPr>
              <w:pStyle w:val="null3"/>
              <w:ind w:firstLine="560"/>
              <w:jc w:val="both"/>
            </w:pPr>
            <w:r>
              <w:rPr>
                <w:rFonts w:ascii="仿宋_GB2312" w:hAnsi="仿宋_GB2312" w:cs="仿宋_GB2312" w:eastAsia="仿宋_GB2312"/>
                <w:sz w:val="21"/>
              </w:rPr>
              <w:t>2、运输：密闭运输、沿途无撒漏；严格按照城市管理部门指定的运输路线和时段清运；倾倒场地为本辖区以外的经政府主管部门批准的合法消纳场所。</w:t>
            </w:r>
          </w:p>
          <w:p>
            <w:pPr>
              <w:pStyle w:val="null3"/>
              <w:ind w:firstLine="560"/>
              <w:jc w:val="both"/>
            </w:pPr>
            <w:r>
              <w:rPr>
                <w:rFonts w:ascii="仿宋_GB2312" w:hAnsi="仿宋_GB2312" w:cs="仿宋_GB2312" w:eastAsia="仿宋_GB2312"/>
                <w:sz w:val="21"/>
              </w:rPr>
              <w:t>3、回填：填料合格（无杂质、含水率适宜）；分层碾压、压实度符合规范要求。</w:t>
            </w:r>
          </w:p>
          <w:p>
            <w:pPr>
              <w:pStyle w:val="null3"/>
              <w:ind w:firstLine="560"/>
              <w:jc w:val="both"/>
            </w:pPr>
            <w:r>
              <w:rPr>
                <w:rFonts w:ascii="仿宋_GB2312" w:hAnsi="仿宋_GB2312" w:cs="仿宋_GB2312" w:eastAsia="仿宋_GB2312"/>
                <w:sz w:val="21"/>
              </w:rPr>
              <w:t>4、安全文明：按有关规定及要求做好防尘、降噪等环保措施。</w:t>
            </w:r>
          </w:p>
          <w:p>
            <w:pPr>
              <w:pStyle w:val="null3"/>
              <w:ind w:firstLine="560"/>
              <w:jc w:val="both"/>
            </w:pPr>
            <w:r>
              <w:rPr>
                <w:rFonts w:ascii="仿宋_GB2312" w:hAnsi="仿宋_GB2312" w:cs="仿宋_GB2312" w:eastAsia="仿宋_GB2312"/>
                <w:sz w:val="21"/>
                <w:b/>
              </w:rPr>
              <w:t>四、服务要求</w:t>
            </w:r>
          </w:p>
          <w:p>
            <w:pPr>
              <w:pStyle w:val="null3"/>
              <w:ind w:firstLine="560"/>
              <w:jc w:val="both"/>
            </w:pPr>
            <w:r>
              <w:rPr>
                <w:rFonts w:ascii="仿宋_GB2312" w:hAnsi="仿宋_GB2312" w:cs="仿宋_GB2312" w:eastAsia="仿宋_GB2312"/>
                <w:sz w:val="21"/>
              </w:rPr>
              <w:t>1、安全：不塌方、不伤人、不出重大事故。</w:t>
            </w:r>
          </w:p>
          <w:p>
            <w:pPr>
              <w:pStyle w:val="null3"/>
              <w:ind w:firstLine="560"/>
              <w:jc w:val="both"/>
            </w:pPr>
            <w:r>
              <w:rPr>
                <w:rFonts w:ascii="仿宋_GB2312" w:hAnsi="仿宋_GB2312" w:cs="仿宋_GB2312" w:eastAsia="仿宋_GB2312"/>
                <w:sz w:val="21"/>
              </w:rPr>
              <w:t>2、质量：项目红线范围内建筑土方全部清运完成，进行素土回填，回填表面平整满足采购人要求。</w:t>
            </w:r>
          </w:p>
          <w:p>
            <w:pPr>
              <w:pStyle w:val="null3"/>
              <w:ind w:firstLine="560"/>
              <w:jc w:val="both"/>
            </w:pPr>
            <w:r>
              <w:rPr>
                <w:rFonts w:ascii="仿宋_GB2312" w:hAnsi="仿宋_GB2312" w:cs="仿宋_GB2312" w:eastAsia="仿宋_GB2312"/>
                <w:sz w:val="21"/>
              </w:rPr>
              <w:t>3、运输车辆：应具备国家及地方管理部门核发的合法有效运输证件；车辆各项保险齐全且处于有效状态；车辆状况良好，硬件配置完备；标志、标识清晰可辨。</w:t>
            </w:r>
          </w:p>
          <w:p>
            <w:pPr>
              <w:pStyle w:val="null3"/>
              <w:ind w:firstLine="560"/>
              <w:jc w:val="both"/>
            </w:pPr>
            <w:r>
              <w:rPr>
                <w:rFonts w:ascii="仿宋_GB2312" w:hAnsi="仿宋_GB2312" w:cs="仿宋_GB2312" w:eastAsia="仿宋_GB2312"/>
                <w:sz w:val="21"/>
              </w:rPr>
              <w:t>4、驾驶员：须持有合规有效的驾驶证及道路运输从业资格证，无重大交通事故记录，无酒驾记录。</w:t>
            </w:r>
          </w:p>
          <w:p>
            <w:pPr>
              <w:pStyle w:val="null3"/>
              <w:ind w:firstLine="560"/>
              <w:jc w:val="both"/>
            </w:pPr>
            <w:r>
              <w:rPr>
                <w:rFonts w:ascii="仿宋_GB2312" w:hAnsi="仿宋_GB2312" w:cs="仿宋_GB2312" w:eastAsia="仿宋_GB2312"/>
                <w:sz w:val="21"/>
                <w:b/>
              </w:rPr>
              <w:t>五、其他</w:t>
            </w:r>
          </w:p>
          <w:p>
            <w:pPr>
              <w:pStyle w:val="null3"/>
              <w:ind w:firstLine="560"/>
              <w:jc w:val="both"/>
            </w:pPr>
            <w:r>
              <w:rPr>
                <w:rFonts w:ascii="仿宋_GB2312" w:hAnsi="仿宋_GB2312" w:cs="仿宋_GB2312" w:eastAsia="仿宋_GB2312"/>
                <w:sz w:val="21"/>
              </w:rPr>
              <w:t>（一）进度要求</w:t>
            </w:r>
          </w:p>
          <w:p>
            <w:pPr>
              <w:pStyle w:val="null3"/>
              <w:ind w:firstLine="560"/>
              <w:jc w:val="both"/>
            </w:pPr>
            <w:r>
              <w:rPr>
                <w:rFonts w:ascii="仿宋_GB2312" w:hAnsi="仿宋_GB2312" w:cs="仿宋_GB2312" w:eastAsia="仿宋_GB2312"/>
                <w:sz w:val="21"/>
              </w:rPr>
              <w:t>1、本项目服务期为</w:t>
            </w:r>
            <w:r>
              <w:rPr>
                <w:rFonts w:ascii="仿宋_GB2312" w:hAnsi="仿宋_GB2312" w:cs="仿宋_GB2312" w:eastAsia="仿宋_GB2312"/>
                <w:sz w:val="21"/>
                <w:u w:val="single"/>
              </w:rPr>
              <w:t xml:space="preserve"> 30 </w:t>
            </w:r>
            <w:r>
              <w:rPr>
                <w:rFonts w:ascii="仿宋_GB2312" w:hAnsi="仿宋_GB2312" w:cs="仿宋_GB2312" w:eastAsia="仿宋_GB2312"/>
                <w:sz w:val="21"/>
              </w:rPr>
              <w:t>日历天，自甲方书面通知乙方进场之日起计算。</w:t>
            </w:r>
          </w:p>
          <w:p>
            <w:pPr>
              <w:pStyle w:val="null3"/>
              <w:ind w:firstLine="560"/>
              <w:jc w:val="both"/>
            </w:pPr>
            <w:r>
              <w:rPr>
                <w:rFonts w:ascii="仿宋_GB2312" w:hAnsi="仿宋_GB2312" w:cs="仿宋_GB2312" w:eastAsia="仿宋_GB2312"/>
                <w:sz w:val="21"/>
              </w:rPr>
              <w:t>2、乙方应在进场前编制详细的清运计划、车辆配置计划、日清运量计划，报甲方审核确认后严格执行。</w:t>
            </w:r>
          </w:p>
          <w:p>
            <w:pPr>
              <w:pStyle w:val="null3"/>
              <w:ind w:firstLine="560"/>
              <w:jc w:val="both"/>
            </w:pPr>
            <w:r>
              <w:rPr>
                <w:rFonts w:ascii="仿宋_GB2312" w:hAnsi="仿宋_GB2312" w:cs="仿宋_GB2312" w:eastAsia="仿宋_GB2312"/>
                <w:sz w:val="21"/>
              </w:rPr>
              <w:t>3、乙方须根据现场情况合理配置运输车辆、机械及人员，保证足额运力，确保在合同服务期内完成全部建筑土方清运及素土回填工作。</w:t>
            </w:r>
          </w:p>
          <w:p>
            <w:pPr>
              <w:pStyle w:val="null3"/>
              <w:ind w:firstLine="560"/>
              <w:jc w:val="both"/>
            </w:pPr>
            <w:r>
              <w:rPr>
                <w:rFonts w:ascii="仿宋_GB2312" w:hAnsi="仿宋_GB2312" w:cs="仿宋_GB2312" w:eastAsia="仿宋_GB2312"/>
                <w:sz w:val="21"/>
              </w:rPr>
              <w:t>4、乙方应每日向甲方上报当日清运量、车辆数、消纳场回执，接受甲方进度监督。</w:t>
            </w:r>
          </w:p>
          <w:p>
            <w:pPr>
              <w:pStyle w:val="null3"/>
              <w:ind w:firstLine="560"/>
              <w:jc w:val="both"/>
            </w:pPr>
            <w:r>
              <w:rPr>
                <w:rFonts w:ascii="仿宋_GB2312" w:hAnsi="仿宋_GB2312" w:cs="仿宋_GB2312" w:eastAsia="仿宋_GB2312"/>
                <w:sz w:val="21"/>
              </w:rPr>
              <w:t>5、如遇雨天、政府检查等不可抗力，服务期可顺延，但乙方须在天气或政策允许后立即赶工追回进度。</w:t>
            </w:r>
          </w:p>
          <w:p>
            <w:pPr>
              <w:pStyle w:val="null3"/>
              <w:jc w:val="both"/>
            </w:pPr>
            <w:r>
              <w:rPr>
                <w:rFonts w:ascii="仿宋_GB2312" w:hAnsi="仿宋_GB2312" w:cs="仿宋_GB2312" w:eastAsia="仿宋_GB2312"/>
                <w:sz w:val="21"/>
              </w:rPr>
              <w:t xml:space="preserve">   （二）成果交付要求</w:t>
            </w:r>
          </w:p>
          <w:p>
            <w:pPr>
              <w:pStyle w:val="null3"/>
              <w:ind w:firstLine="560"/>
              <w:jc w:val="both"/>
            </w:pPr>
            <w:r>
              <w:rPr>
                <w:rFonts w:ascii="仿宋_GB2312" w:hAnsi="仿宋_GB2312" w:cs="仿宋_GB2312" w:eastAsia="仿宋_GB2312"/>
                <w:sz w:val="21"/>
              </w:rPr>
              <w:t>1、乙方按合同约定，将全部建筑土方清运出场，并运至政府合法合规的建筑垃圾消纳场。</w:t>
            </w:r>
          </w:p>
          <w:p>
            <w:pPr>
              <w:pStyle w:val="null3"/>
              <w:ind w:firstLine="560"/>
              <w:jc w:val="both"/>
            </w:pPr>
            <w:r>
              <w:rPr>
                <w:rFonts w:ascii="仿宋_GB2312" w:hAnsi="仿宋_GB2312" w:cs="仿宋_GB2312" w:eastAsia="仿宋_GB2312"/>
                <w:sz w:val="21"/>
              </w:rPr>
              <w:t>2、场地清理干净、素土回填到位，并按甲方要求完成场地平整及夯实工作。</w:t>
            </w:r>
          </w:p>
          <w:p>
            <w:pPr>
              <w:pStyle w:val="null3"/>
              <w:ind w:firstLine="560"/>
              <w:jc w:val="both"/>
            </w:pPr>
            <w:r>
              <w:rPr>
                <w:rFonts w:ascii="仿宋_GB2312" w:hAnsi="仿宋_GB2312" w:cs="仿宋_GB2312" w:eastAsia="仿宋_GB2312"/>
                <w:sz w:val="21"/>
              </w:rPr>
              <w:t>3、清运资料齐全，包括但不限于：</w:t>
            </w:r>
          </w:p>
          <w:p>
            <w:pPr>
              <w:pStyle w:val="null3"/>
              <w:ind w:left="240"/>
              <w:jc w:val="both"/>
            </w:pPr>
            <w:r>
              <w:rPr>
                <w:rFonts w:ascii="仿宋_GB2312" w:hAnsi="仿宋_GB2312" w:cs="仿宋_GB2312" w:eastAsia="仿宋_GB2312"/>
                <w:sz w:val="21"/>
              </w:rPr>
              <w:t xml:space="preserve"> （1）消纳场接收单据</w:t>
            </w:r>
          </w:p>
          <w:p>
            <w:pPr>
              <w:pStyle w:val="null3"/>
              <w:ind w:left="240"/>
              <w:jc w:val="both"/>
            </w:pPr>
            <w:r>
              <w:rPr>
                <w:rFonts w:ascii="仿宋_GB2312" w:hAnsi="仿宋_GB2312" w:cs="仿宋_GB2312" w:eastAsia="仿宋_GB2312"/>
                <w:sz w:val="21"/>
              </w:rPr>
              <w:t>（2）每日清运量确认单</w:t>
            </w:r>
          </w:p>
          <w:p>
            <w:pPr>
              <w:pStyle w:val="null3"/>
              <w:ind w:left="240"/>
              <w:jc w:val="both"/>
            </w:pPr>
            <w:r>
              <w:rPr>
                <w:rFonts w:ascii="仿宋_GB2312" w:hAnsi="仿宋_GB2312" w:cs="仿宋_GB2312" w:eastAsia="仿宋_GB2312"/>
                <w:sz w:val="21"/>
              </w:rPr>
              <w:t xml:space="preserve"> （3）</w:t>
            </w:r>
            <w:r>
              <w:rPr>
                <w:rFonts w:ascii="仿宋_GB2312" w:hAnsi="仿宋_GB2312" w:cs="仿宋_GB2312" w:eastAsia="仿宋_GB2312"/>
                <w:sz w:val="21"/>
              </w:rPr>
              <w:t>车辆运输记录</w:t>
            </w:r>
          </w:p>
          <w:p>
            <w:pPr>
              <w:pStyle w:val="null3"/>
              <w:ind w:left="240"/>
              <w:jc w:val="both"/>
            </w:pPr>
            <w:r>
              <w:rPr>
                <w:rFonts w:ascii="仿宋_GB2312" w:hAnsi="仿宋_GB2312" w:cs="仿宋_GB2312" w:eastAsia="仿宋_GB2312"/>
                <w:sz w:val="21"/>
              </w:rPr>
              <w:t xml:space="preserve"> （4）合规处置证明</w:t>
            </w:r>
          </w:p>
          <w:p>
            <w:pPr>
              <w:pStyle w:val="null3"/>
              <w:ind w:left="240"/>
              <w:jc w:val="both"/>
            </w:pPr>
            <w:r>
              <w:rPr>
                <w:rFonts w:ascii="仿宋_GB2312" w:hAnsi="仿宋_GB2312" w:cs="仿宋_GB2312" w:eastAsia="仿宋_GB2312"/>
                <w:sz w:val="21"/>
              </w:rPr>
              <w:t xml:space="preserve"> （5）合法有效发票</w:t>
            </w:r>
          </w:p>
          <w:p>
            <w:pPr>
              <w:pStyle w:val="null3"/>
              <w:jc w:val="both"/>
            </w:pPr>
            <w:r>
              <w:rPr>
                <w:rFonts w:ascii="仿宋_GB2312" w:hAnsi="仿宋_GB2312" w:cs="仿宋_GB2312" w:eastAsia="仿宋_GB2312"/>
                <w:sz w:val="21"/>
              </w:rPr>
              <w:t xml:space="preserve">   （三）质量验收标准或规范</w:t>
            </w:r>
          </w:p>
          <w:p>
            <w:pPr>
              <w:pStyle w:val="null3"/>
              <w:ind w:firstLine="560"/>
              <w:jc w:val="both"/>
            </w:pPr>
            <w:r>
              <w:rPr>
                <w:rFonts w:ascii="仿宋_GB2312" w:hAnsi="仿宋_GB2312" w:cs="仿宋_GB2312" w:eastAsia="仿宋_GB2312"/>
                <w:sz w:val="21"/>
              </w:rPr>
              <w:t>1、验收依据</w:t>
            </w:r>
          </w:p>
          <w:p>
            <w:pPr>
              <w:pStyle w:val="null3"/>
              <w:ind w:left="240"/>
              <w:jc w:val="both"/>
            </w:pPr>
            <w:r>
              <w:rPr>
                <w:rFonts w:ascii="仿宋_GB2312" w:hAnsi="仿宋_GB2312" w:cs="仿宋_GB2312" w:eastAsia="仿宋_GB2312"/>
                <w:sz w:val="21"/>
              </w:rPr>
              <w:t xml:space="preserve">  （1）《中华人民共和国固体废物污染环境防治法》；</w:t>
            </w:r>
          </w:p>
          <w:p>
            <w:pPr>
              <w:pStyle w:val="null3"/>
              <w:ind w:left="240"/>
              <w:jc w:val="both"/>
            </w:pPr>
            <w:r>
              <w:rPr>
                <w:rFonts w:ascii="仿宋_GB2312" w:hAnsi="仿宋_GB2312" w:cs="仿宋_GB2312" w:eastAsia="仿宋_GB2312"/>
                <w:sz w:val="21"/>
              </w:rPr>
              <w:t xml:space="preserve">  （2）《建筑垃圾污染控制技术规范》（HJ 1462-2026，2026-03-01 实施）；</w:t>
            </w:r>
          </w:p>
          <w:p>
            <w:pPr>
              <w:pStyle w:val="null3"/>
              <w:ind w:left="240"/>
              <w:jc w:val="both"/>
            </w:pPr>
            <w:r>
              <w:rPr>
                <w:rFonts w:ascii="仿宋_GB2312" w:hAnsi="仿宋_GB2312" w:cs="仿宋_GB2312" w:eastAsia="仿宋_GB2312"/>
                <w:sz w:val="21"/>
              </w:rPr>
              <w:t xml:space="preserve">  （3）《建筑垃圾处理技术标准》（CJJ/T 134-2019）；</w:t>
            </w:r>
          </w:p>
          <w:p>
            <w:pPr>
              <w:pStyle w:val="null3"/>
              <w:ind w:left="240"/>
              <w:jc w:val="both"/>
            </w:pPr>
            <w:r>
              <w:rPr>
                <w:rFonts w:ascii="仿宋_GB2312" w:hAnsi="仿宋_GB2312" w:cs="仿宋_GB2312" w:eastAsia="仿宋_GB2312"/>
                <w:sz w:val="21"/>
              </w:rPr>
              <w:t xml:space="preserve">  （4）《建设工程施工现场环境与卫生标准》（JGJ 146-2013）；</w:t>
            </w:r>
          </w:p>
          <w:p>
            <w:pPr>
              <w:pStyle w:val="null3"/>
              <w:ind w:left="240"/>
              <w:jc w:val="both"/>
            </w:pPr>
            <w:r>
              <w:rPr>
                <w:rFonts w:ascii="仿宋_GB2312" w:hAnsi="仿宋_GB2312" w:cs="仿宋_GB2312" w:eastAsia="仿宋_GB2312"/>
                <w:sz w:val="21"/>
              </w:rPr>
              <w:t xml:space="preserve">  （5）本项目合同、图纸、工程量清单及甲方书面指令。</w:t>
            </w:r>
          </w:p>
          <w:p>
            <w:pPr>
              <w:pStyle w:val="null3"/>
              <w:ind w:firstLine="560"/>
              <w:jc w:val="both"/>
            </w:pPr>
            <w:r>
              <w:rPr>
                <w:rFonts w:ascii="仿宋_GB2312" w:hAnsi="仿宋_GB2312" w:cs="仿宋_GB2312" w:eastAsia="仿宋_GB2312"/>
                <w:sz w:val="21"/>
              </w:rPr>
              <w:t>2、验收标准</w:t>
            </w:r>
          </w:p>
          <w:p>
            <w:pPr>
              <w:pStyle w:val="null3"/>
              <w:ind w:firstLine="560"/>
              <w:jc w:val="both"/>
            </w:pPr>
            <w:r>
              <w:rPr>
                <w:rFonts w:ascii="仿宋_GB2312" w:hAnsi="仿宋_GB2312" w:cs="仿宋_GB2312" w:eastAsia="仿宋_GB2312"/>
                <w:sz w:val="21"/>
              </w:rPr>
              <w:t>（1）彻底清运项目红线范围内的建筑土方，无遗留、无掩埋、无堆放。</w:t>
            </w:r>
          </w:p>
          <w:p>
            <w:pPr>
              <w:pStyle w:val="null3"/>
              <w:ind w:firstLine="560"/>
              <w:jc w:val="both"/>
            </w:pPr>
            <w:r>
              <w:rPr>
                <w:rFonts w:ascii="仿宋_GB2312" w:hAnsi="仿宋_GB2312" w:cs="仿宋_GB2312" w:eastAsia="仿宋_GB2312"/>
                <w:sz w:val="21"/>
              </w:rPr>
              <w:t>（2）清运完成后，场地整洁，出入口无散落渣土、无扬尘、无污渍，满足安全文明环保要求。</w:t>
            </w:r>
          </w:p>
          <w:p>
            <w:pPr>
              <w:pStyle w:val="null3"/>
              <w:ind w:firstLine="560"/>
              <w:jc w:val="both"/>
            </w:pPr>
            <w:r>
              <w:rPr>
                <w:rFonts w:ascii="仿宋_GB2312" w:hAnsi="仿宋_GB2312" w:cs="仿宋_GB2312" w:eastAsia="仿宋_GB2312"/>
                <w:sz w:val="21"/>
              </w:rPr>
              <w:t>（3）运输合规,所有运输车辆全密闭运输，无遗撒、无带泥上路、无违规倾倒。</w:t>
            </w:r>
          </w:p>
          <w:p>
            <w:pPr>
              <w:pStyle w:val="null3"/>
              <w:ind w:firstLine="560"/>
              <w:jc w:val="both"/>
            </w:pPr>
            <w:r>
              <w:rPr>
                <w:rFonts w:ascii="仿宋_GB2312" w:hAnsi="仿宋_GB2312" w:cs="仿宋_GB2312" w:eastAsia="仿宋_GB2312"/>
                <w:sz w:val="21"/>
              </w:rPr>
              <w:t>（4）回填质量（素土回填）</w:t>
            </w:r>
          </w:p>
          <w:p>
            <w:pPr>
              <w:pStyle w:val="null3"/>
              <w:ind w:left="240"/>
              <w:jc w:val="both"/>
            </w:pPr>
            <w:r>
              <w:rPr>
                <w:rFonts w:ascii="仿宋_GB2312" w:hAnsi="仿宋_GB2312" w:cs="仿宋_GB2312" w:eastAsia="仿宋_GB2312"/>
                <w:sz w:val="21"/>
              </w:rPr>
              <w:t xml:space="preserve">   a.回填土为洁净素土，不得混入建筑垃圾、杂物、淤泥；</w:t>
            </w:r>
          </w:p>
          <w:p>
            <w:pPr>
              <w:pStyle w:val="null3"/>
              <w:ind w:left="240"/>
              <w:jc w:val="both"/>
            </w:pPr>
            <w:r>
              <w:rPr>
                <w:rFonts w:ascii="仿宋_GB2312" w:hAnsi="仿宋_GB2312" w:cs="仿宋_GB2312" w:eastAsia="仿宋_GB2312"/>
                <w:sz w:val="21"/>
              </w:rPr>
              <w:t xml:space="preserve">   b.回填分层夯实，表面平整，标高、坡度符合甲方要求；</w:t>
            </w:r>
          </w:p>
          <w:p>
            <w:pPr>
              <w:pStyle w:val="null3"/>
              <w:ind w:left="240"/>
              <w:jc w:val="both"/>
            </w:pPr>
            <w:r>
              <w:rPr>
                <w:rFonts w:ascii="仿宋_GB2312" w:hAnsi="仿宋_GB2312" w:cs="仿宋_GB2312" w:eastAsia="仿宋_GB2312"/>
                <w:sz w:val="21"/>
              </w:rPr>
              <w:t xml:space="preserve">   c.回填后无明显沉降、无松散。</w:t>
            </w:r>
          </w:p>
          <w:p>
            <w:pPr>
              <w:pStyle w:val="null3"/>
              <w:ind w:firstLine="560"/>
              <w:jc w:val="both"/>
            </w:pPr>
            <w:r>
              <w:rPr>
                <w:rFonts w:ascii="仿宋_GB2312" w:hAnsi="仿宋_GB2312" w:cs="仿宋_GB2312" w:eastAsia="仿宋_GB2312"/>
                <w:sz w:val="21"/>
              </w:rPr>
              <w:t>（5）乙方提供的清运单据、消纳场证明等资料必须真实、合法、有效，严禁伪造、涂改。</w:t>
            </w:r>
          </w:p>
          <w:p>
            <w:pPr>
              <w:pStyle w:val="null3"/>
              <w:ind w:firstLine="560"/>
              <w:jc w:val="both"/>
            </w:pP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作业人员应持证上岗，统一着装，规范形象。</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现场作业机械设备配备齐全，运输车辆数量充足满足运量需求。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西安市高陵区渭阳五路以南西韩公路以西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1、乙方按合同约定，将全部建筑土方清运出场，并运至政府合法合规的建筑垃圾消纳场。 2、场地清理干净、素土回填到位，并按甲方要求完成场地平整及夯实工作。 3、清运资料齐全。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 10 个工作日内，甲方向乙方支付合同总价的 30% ，作为项目启动资金，用于乙方组织车辆、人员进场及前期筹备工作</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乙方完成本项目 50% 工作量（以双方共同签署的《工作量确认单》为准，涵盖建筑垃圾清运及素土回填累计工作量）后，乙方提交付款申请及《工作量确认单》，甲方审核无误后 10 个工作日内，支付至合同总价的 60% （已支付的30%启动资金从中抵扣）</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本项目全部建筑土方清运、素土回填工作完成，经甲方按合同约定验收合格，乙方提交完整的验收合格证明、合规消纳单据后 10 个工作日内，甲方支付至合同总价的 85%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甲方收到乙方提交的完整结算资料后，组织开展审计工作，审计完成并出具正式审计报告后 10 个工作日内，甲方向乙方支付至审计报告确认的总价款的 100% （已支付款项从中抵扣）</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根据《西安市财政局关于开展政府采购供应商基本资格条件承诺制试点工作的通知》(市财函[2024]1032号)，供应商出具参加本次政府采购活动的《供应商基本资格条件承诺函》（未提供的供应商需提交以下资格证明文件:①财务状况报告：提供经赋码的2024年度或2025年度完整的财务审计报告（包括报告正文及四表一注即资产负债表、利润表、现金流量表、所有者权益变动表及其附注）并在注册会计师行业统一监管平台（http://acc.mof.gov.cn/）可查询（成立时间至响应文件递交截止时间不足一年的可提供成立后任意时段的资产负债表）；或响应文件递截止时间前六个月内其基本账户银行出具的资信证明（附基本账户证明）；或政府采购信用担保机构出具的投标担保函（以上三种形式的资料提供任何一种即可）；②税收缴纳证明：提供响应文件递截止时间前6个月内已缴纳的至少一个月的纳税证明或完税证明，依法免税的单位应提供相关证明材料；③社会保障资金缴纳证明：提供响应文件递截止时间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w:t>
            </w:r>
          </w:p>
        </w:tc>
        <w:tc>
          <w:tcPr>
            <w:tcW w:type="dxa" w:w="1661"/>
          </w:tcPr>
          <w:p>
            <w:pPr>
              <w:pStyle w:val="null3"/>
            </w:pPr>
            <w:r>
              <w:rPr>
                <w:rFonts w:ascii="仿宋_GB2312" w:hAnsi="仿宋_GB2312" w:cs="仿宋_GB2312" w:eastAsia="仿宋_GB2312"/>
              </w:rPr>
              <w:t>3.基本资格条件承诺函.docx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具有独立承担民事责任能力的法人、其他组织或自然人，并出具合法有效的营业执照或事业单位法人证书等国家规定的合法证明文件，自然人参与的提供其身份证明。</w:t>
            </w:r>
          </w:p>
        </w:tc>
        <w:tc>
          <w:tcPr>
            <w:tcW w:type="dxa" w:w="1661"/>
          </w:tcPr>
          <w:p>
            <w:pPr>
              <w:pStyle w:val="null3"/>
            </w:pPr>
            <w:r>
              <w:rPr>
                <w:rFonts w:ascii="仿宋_GB2312" w:hAnsi="仿宋_GB2312" w:cs="仿宋_GB2312" w:eastAsia="仿宋_GB2312"/>
              </w:rPr>
              <w:t>7.供应商应提交的相关资格证明材料.docx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具有道路运输经营许可证及当地行政主管部门颁发的建筑垃圾处置（运输）证。</w:t>
            </w:r>
          </w:p>
        </w:tc>
        <w:tc>
          <w:tcPr>
            <w:tcW w:type="dxa" w:w="1661"/>
          </w:tcPr>
          <w:p>
            <w:pPr>
              <w:pStyle w:val="null3"/>
            </w:pPr>
            <w:r>
              <w:rPr>
                <w:rFonts w:ascii="仿宋_GB2312" w:hAnsi="仿宋_GB2312" w:cs="仿宋_GB2312" w:eastAsia="仿宋_GB2312"/>
              </w:rPr>
              <w:t>7.供应商应提交的相关资格证明材料.docx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3.基本资格条件承诺函.docx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法定代表人直接参加投标的，须提供法定代表人身份证明；法定代表人授权代表参加投标的，须提供法定代表人授权委托书（附法定代表人、被授权委托人身份证复印件）；非法人单位参照执行。</w:t>
            </w:r>
          </w:p>
        </w:tc>
        <w:tc>
          <w:tcPr>
            <w:tcW w:type="dxa" w:w="1661"/>
          </w:tcPr>
          <w:p>
            <w:pPr>
              <w:pStyle w:val="null3"/>
            </w:pPr>
            <w:r>
              <w:rPr>
                <w:rFonts w:ascii="仿宋_GB2312" w:hAnsi="仿宋_GB2312" w:cs="仿宋_GB2312" w:eastAsia="仿宋_GB2312"/>
              </w:rPr>
              <w:t>6.法定代表人身份证明或授权委托书.docx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非联合体投标承诺函。</w:t>
            </w:r>
          </w:p>
        </w:tc>
        <w:tc>
          <w:tcPr>
            <w:tcW w:type="dxa" w:w="1661"/>
          </w:tcPr>
          <w:p>
            <w:pPr>
              <w:pStyle w:val="null3"/>
            </w:pPr>
            <w:r>
              <w:rPr>
                <w:rFonts w:ascii="仿宋_GB2312" w:hAnsi="仿宋_GB2312" w:cs="仿宋_GB2312" w:eastAsia="仿宋_GB2312"/>
              </w:rPr>
              <w:t>4.非联合体投标承诺函.docx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5.1中小企业声明函 5.2残疾人福利性单位声明函 5.3监狱企业的证明文件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8.3标的清单 8.1开标一览表 8.2开标一览表附录.docx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（1）供应商名称：与营业执照、资质证书及投标文件的签署盖章一致。（2）投标文件签字盖章：符合招标文件“第六章 投标文件格式”的规定。（3）报价唯一：只能有一个有效报价，不得提交选择性报价，且报价不超过招标文件规定的采购预算金额及最高限价。（4）投标文件格式：符合招标文件“第六章 投标文件格式”的要求 。</w:t>
            </w:r>
          </w:p>
        </w:tc>
        <w:tc>
          <w:tcPr>
            <w:tcW w:type="dxa" w:w="1661"/>
          </w:tcPr>
          <w:p>
            <w:pPr>
              <w:pStyle w:val="null3"/>
            </w:pPr>
            <w:r>
              <w:rPr>
                <w:rFonts w:ascii="仿宋_GB2312" w:hAnsi="仿宋_GB2312" w:cs="仿宋_GB2312" w:eastAsia="仿宋_GB2312"/>
              </w:rPr>
              <w:t>5.1中小企业声明函 9.服务方案.docx 3.基本资格条件承诺函.docx 8.3标的清单 7.供应商应提交的相关资格证明材料.docx 6.法定代表人身份证明或授权委托书.docx 5.2残疾人福利性单位声明函 4.非联合体投标承诺函.docx 5.3监狱企业的证明文件 8.2开标一览表附录.docx 2.投标函 1.投标文件封面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8.3标的清单 8.2开标一览表附录.docx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8.3标的清单 8.2开标一览表附录.docx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2.投标函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本项目实施方案包括但不限于：①路线规划、班次安排、高峰期应对；②车辆密闭、净车出场、防遗撒措施；③消纳场资质、转运流程、联单管理；④扬尘及噪音控制、污水处置、环保承诺；⑤素土回填，土质均匀、含水率适宜，压实平整。 1.评审内容全面、条理清晰、阐述详尽，符合本项目需求得15分，每缺少一项或该项只有标题没有实质性内容扣3分，扣完为止。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本项目安全保障措施内容包括但不限于：①人员安全保障；②运输车辆安全保障；③现场装车与堆放安全；④道路行驶安全；⑤安全事故应对措施。 1.评审内容全面、条理清晰、阐述详尽，符合本项目需求得15分，每缺少一项或该项只有标题没有实质性内容扣3分，扣完为止。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本项目环境保护措施内容包括但不限于：①运输环节的车辆密闭管控、车身冲洗净车出场、扬尘抑制、禁行与限时运输；②施工现场堆放围挡封闭、湿法作业、分类堆放；③噪声污染防控；④污水与水土保持；⑤遗撒污染应急与路面保洁。 1.评审内容全面、条理清晰、阐述详尽，符合本项目需求得15分，每缺少一项或该项只有标题没有实质性内容扣3分，扣完为止。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本项目团队配置包括但不限于：①设立项目总负责人、现场管理人员、安全管理员、调度员、清运驾驶员、现场保洁、装卸人员；②人员分工明确、岗位职责清晰；③驾驶员、安全员持证上岗，建立人员花名册、证件复印件备案；④建立岗前培训制度、作业人员统一着装，规范形象。 1.评审内容全面、条理清晰、阐述详尽，符合本项目需求，要求人员配备齐全得8分，每缺少一人扣1分，评审内容缺少一项或该项只有标题没有实质性内容扣2分，扣完为止。 2.评审内容每有一项缺陷（缺陷包括：内容粗略、逻辑混乱、描述过于简单、与项目实际情况不符、凭空编造、出现常识性错误等情形）扣0.5分，本小项分值扣完为止。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机械设备、运输车辆配备</w:t>
            </w:r>
          </w:p>
        </w:tc>
        <w:tc>
          <w:tcPr>
            <w:tcW w:type="dxa" w:w="2492"/>
          </w:tcPr>
          <w:p>
            <w:pPr>
              <w:pStyle w:val="null3"/>
            </w:pPr>
            <w:r>
              <w:rPr>
                <w:rFonts w:ascii="仿宋_GB2312" w:hAnsi="仿宋_GB2312" w:cs="仿宋_GB2312" w:eastAsia="仿宋_GB2312"/>
              </w:rPr>
              <w:t>本项目机械设备及运输车辆配备包括但不限于：①现场作业机械有装载设备、挖掘设备、冲洗设备、抑尘设备等；②运输车辆数量充足，配备的硬件设施有全密封顶盖、定位仪、行车记录仪、倒车影像等。 评标委员会对各供应商投标文件进行横向对比，现场作业机械设备配备齐全且满足项目需求，运输车辆数量足以保证运量且设施配备齐全，得6分。上述要求中，每缺少一项作业机械或车辆配备的硬件设施，扣0.5分，直至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本项目应急预案内容包括但不限于： ①极端天气应急处置；②重大检查、临检应对处置；③现场堆体坍塌处置；④车辆故障、交通事故处置；⑤人员受伤、突发疾病处置。 1.评审内容全面、条理清晰、阐述详尽，符合本项目需求得5分，每缺少一项或该项只有标题没有实质性内容扣1分，扣完为止。 2.评审内容每有一项缺陷（缺陷包括：内容粗略、逻辑混乱、描述过于简单、与项目实际情况不符、凭空编造、出现常识性错误等情形）扣0.2分，本小项分值扣完为止。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本项目履约承诺包括但不限于：①预防管控承诺；②应急处置承诺；③责任承担承诺。 1.评审内容全面、条理清晰、阐述详尽，符合本项目需求得3分，每缺少一项或该项只有标题没有实质性内容扣1分，扣完为止。 2.评审内容每有一项缺陷（缺陷包括：内容粗略、逻辑混乱、描述过于简单、与项目实际情况不符、凭空编造、出现常识性错误等情形）扣0.2分，本小项分值扣完为止。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1日至今，以业绩证明资料签署时间为准）每具有1项建筑垃圾清运项目得1分，最高得3分。需提供业绩证明的扫描件（以合同或中标&lt;成交&gt;通知书为准，能充分体现项目内容、金额、时间、签字盖章等信息）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1.经资格审查和符合性审查合格的投标文件，其报价为有效投标报价。 2.报价最低的投标价格为投标基准价，其价格分为满分30分。 3.其它投标人价格得分为：投标报价得分=（投标基准价/投标报价）×30。 4.最终结果数字小数点后保留两位小数，第三位“四舍五入”。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8.2开标一览表附录.docx</w:t>
            </w:r>
          </w:p>
          <w:p>
            <w:pPr>
              <w:pStyle w:val="null3"/>
            </w:pPr>
            <w:r>
              <w:rPr>
                <w:rFonts w:ascii="仿宋_GB2312" w:hAnsi="仿宋_GB2312" w:cs="仿宋_GB2312" w:eastAsia="仿宋_GB2312"/>
              </w:rPr>
              <w:t>8.1开标一览表</w:t>
            </w:r>
          </w:p>
          <w:p>
            <w:pPr>
              <w:pStyle w:val="null3"/>
            </w:pPr>
            <w:r>
              <w:rPr>
                <w:rFonts w:ascii="仿宋_GB2312" w:hAnsi="仿宋_GB2312" w:cs="仿宋_GB2312" w:eastAsia="仿宋_GB2312"/>
              </w:rPr>
              <w:t>8.3标的清单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详见附件：1.投标文件封面</w:t>
      </w:r>
    </w:p>
    <w:p>
      <w:pPr>
        <w:pStyle w:val="null3"/>
        <w:ind w:firstLine="960"/>
      </w:pPr>
      <w:r>
        <w:rPr>
          <w:rFonts w:ascii="仿宋_GB2312" w:hAnsi="仿宋_GB2312" w:cs="仿宋_GB2312" w:eastAsia="仿宋_GB2312"/>
        </w:rPr>
        <w:t>详见附件：2.投标函</w:t>
      </w:r>
    </w:p>
    <w:p>
      <w:pPr>
        <w:pStyle w:val="null3"/>
        <w:ind w:firstLine="960"/>
      </w:pPr>
      <w:r>
        <w:rPr>
          <w:rFonts w:ascii="仿宋_GB2312" w:hAnsi="仿宋_GB2312" w:cs="仿宋_GB2312" w:eastAsia="仿宋_GB2312"/>
        </w:rPr>
        <w:t>详见附件：3.基本资格条件承诺函.docx</w:t>
      </w:r>
    </w:p>
    <w:p>
      <w:pPr>
        <w:pStyle w:val="null3"/>
        <w:ind w:firstLine="960"/>
      </w:pPr>
      <w:r>
        <w:rPr>
          <w:rFonts w:ascii="仿宋_GB2312" w:hAnsi="仿宋_GB2312" w:cs="仿宋_GB2312" w:eastAsia="仿宋_GB2312"/>
        </w:rPr>
        <w:t>详见附件：4.非联合体投标承诺函.docx</w:t>
      </w:r>
    </w:p>
    <w:p>
      <w:pPr>
        <w:pStyle w:val="null3"/>
        <w:ind w:firstLine="960"/>
      </w:pPr>
      <w:r>
        <w:rPr>
          <w:rFonts w:ascii="仿宋_GB2312" w:hAnsi="仿宋_GB2312" w:cs="仿宋_GB2312" w:eastAsia="仿宋_GB2312"/>
        </w:rPr>
        <w:t>详见附件：5.1中小企业声明函</w:t>
      </w:r>
    </w:p>
    <w:p>
      <w:pPr>
        <w:pStyle w:val="null3"/>
        <w:ind w:firstLine="960"/>
      </w:pPr>
      <w:r>
        <w:rPr>
          <w:rFonts w:ascii="仿宋_GB2312" w:hAnsi="仿宋_GB2312" w:cs="仿宋_GB2312" w:eastAsia="仿宋_GB2312"/>
        </w:rPr>
        <w:t>详见附件：5.2残疾人福利性单位声明函</w:t>
      </w:r>
    </w:p>
    <w:p>
      <w:pPr>
        <w:pStyle w:val="null3"/>
        <w:ind w:firstLine="960"/>
      </w:pPr>
      <w:r>
        <w:rPr>
          <w:rFonts w:ascii="仿宋_GB2312" w:hAnsi="仿宋_GB2312" w:cs="仿宋_GB2312" w:eastAsia="仿宋_GB2312"/>
        </w:rPr>
        <w:t>详见附件：5.3监狱企业的证明文件</w:t>
      </w:r>
    </w:p>
    <w:p>
      <w:pPr>
        <w:pStyle w:val="null3"/>
        <w:ind w:firstLine="960"/>
      </w:pPr>
      <w:r>
        <w:rPr>
          <w:rFonts w:ascii="仿宋_GB2312" w:hAnsi="仿宋_GB2312" w:cs="仿宋_GB2312" w:eastAsia="仿宋_GB2312"/>
        </w:rPr>
        <w:t>详见附件：6.法定代表人身份证明或授权委托书.docx</w:t>
      </w:r>
    </w:p>
    <w:p>
      <w:pPr>
        <w:pStyle w:val="null3"/>
        <w:ind w:firstLine="960"/>
      </w:pPr>
      <w:r>
        <w:rPr>
          <w:rFonts w:ascii="仿宋_GB2312" w:hAnsi="仿宋_GB2312" w:cs="仿宋_GB2312" w:eastAsia="仿宋_GB2312"/>
        </w:rPr>
        <w:t>详见附件：7.供应商应提交的相关资格证明材料.docx</w:t>
      </w:r>
    </w:p>
    <w:p>
      <w:pPr>
        <w:pStyle w:val="null3"/>
        <w:ind w:firstLine="960"/>
      </w:pPr>
      <w:r>
        <w:rPr>
          <w:rFonts w:ascii="仿宋_GB2312" w:hAnsi="仿宋_GB2312" w:cs="仿宋_GB2312" w:eastAsia="仿宋_GB2312"/>
        </w:rPr>
        <w:t>详见附件：8.1开标一览表</w:t>
      </w:r>
    </w:p>
    <w:p>
      <w:pPr>
        <w:pStyle w:val="null3"/>
        <w:ind w:firstLine="960"/>
      </w:pPr>
      <w:r>
        <w:rPr>
          <w:rFonts w:ascii="仿宋_GB2312" w:hAnsi="仿宋_GB2312" w:cs="仿宋_GB2312" w:eastAsia="仿宋_GB2312"/>
        </w:rPr>
        <w:t>详见附件：8.2开标一览表附录.docx</w:t>
      </w:r>
    </w:p>
    <w:p>
      <w:pPr>
        <w:pStyle w:val="null3"/>
        <w:ind w:firstLine="960"/>
      </w:pPr>
      <w:r>
        <w:rPr>
          <w:rFonts w:ascii="仿宋_GB2312" w:hAnsi="仿宋_GB2312" w:cs="仿宋_GB2312" w:eastAsia="仿宋_GB2312"/>
        </w:rPr>
        <w:t>详见附件：8.3标的清单</w:t>
      </w:r>
    </w:p>
    <w:p>
      <w:pPr>
        <w:pStyle w:val="null3"/>
        <w:ind w:firstLine="960"/>
      </w:pPr>
      <w:r>
        <w:rPr>
          <w:rFonts w:ascii="仿宋_GB2312" w:hAnsi="仿宋_GB2312" w:cs="仿宋_GB2312" w:eastAsia="仿宋_GB2312"/>
        </w:rPr>
        <w:t>详见附件：9.服务方案.docx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详见附件：考务中心项目建筑土方清运项目合同.docx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