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636766">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36"/>
          <w:szCs w:val="36"/>
        </w:rPr>
      </w:pPr>
      <w:r>
        <w:rPr>
          <w:rFonts w:hint="eastAsia" w:ascii="宋体" w:hAnsi="宋体" w:eastAsia="宋体" w:cs="宋体"/>
          <w:b/>
          <w:sz w:val="36"/>
          <w:szCs w:val="36"/>
          <w:lang w:eastAsia="zh-CN"/>
        </w:rPr>
        <w:t>考务中心项目</w:t>
      </w:r>
      <w:r>
        <w:rPr>
          <w:rFonts w:hint="eastAsia" w:ascii="宋体" w:hAnsi="宋体" w:eastAsia="宋体" w:cs="宋体"/>
          <w:b/>
          <w:sz w:val="36"/>
          <w:szCs w:val="36"/>
        </w:rPr>
        <w:t>建筑土方清运</w:t>
      </w:r>
      <w:r>
        <w:rPr>
          <w:rFonts w:hint="eastAsia" w:ascii="宋体" w:hAnsi="宋体" w:cs="宋体"/>
          <w:b/>
          <w:sz w:val="36"/>
          <w:szCs w:val="36"/>
          <w:lang w:eastAsia="zh-CN"/>
        </w:rPr>
        <w:t>项目</w:t>
      </w:r>
      <w:r>
        <w:rPr>
          <w:rFonts w:hint="eastAsia" w:ascii="宋体" w:hAnsi="宋体" w:eastAsia="宋体" w:cs="宋体"/>
          <w:b/>
          <w:sz w:val="36"/>
          <w:szCs w:val="36"/>
        </w:rPr>
        <w:t>合同</w:t>
      </w:r>
    </w:p>
    <w:p w14:paraId="0E441F76">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1"/>
          <w:szCs w:val="21"/>
        </w:rPr>
      </w:pPr>
    </w:p>
    <w:p w14:paraId="2D6DB32A">
      <w:pPr>
        <w:keepNext w:val="0"/>
        <w:keepLines w:val="0"/>
        <w:pageBreakBefore w:val="0"/>
        <w:widowControl w:val="0"/>
        <w:kinsoku/>
        <w:wordWrap/>
        <w:overflowPunct/>
        <w:topLinePunct w:val="0"/>
        <w:autoSpaceDE/>
        <w:autoSpaceDN/>
        <w:bidi w:val="0"/>
        <w:adjustRightInd/>
        <w:snapToGrid/>
        <w:spacing w:line="348" w:lineRule="auto"/>
        <w:ind w:left="0"/>
        <w:jc w:val="left"/>
        <w:textAlignment w:val="auto"/>
        <w:rPr>
          <w:rFonts w:hint="default" w:ascii="宋体" w:hAnsi="宋体" w:eastAsia="宋体" w:cs="宋体"/>
          <w:sz w:val="21"/>
          <w:szCs w:val="21"/>
          <w:lang w:val="en-US" w:eastAsia="zh-CN"/>
        </w:rPr>
      </w:pPr>
      <w:r>
        <w:rPr>
          <w:rFonts w:hint="eastAsia" w:ascii="宋体" w:hAnsi="宋体" w:eastAsia="宋体" w:cs="宋体"/>
          <w:sz w:val="21"/>
          <w:szCs w:val="21"/>
        </w:rPr>
        <w:t>甲方（委托方）：</w:t>
      </w:r>
      <w:r>
        <w:rPr>
          <w:rFonts w:hint="eastAsia" w:ascii="宋体" w:hAnsi="宋体" w:eastAsia="宋体" w:cs="宋体"/>
          <w:sz w:val="21"/>
          <w:szCs w:val="21"/>
          <w:u w:val="single"/>
          <w:lang w:val="en-US" w:eastAsia="zh-CN"/>
        </w:rPr>
        <w:t xml:space="preserve">                               </w:t>
      </w:r>
    </w:p>
    <w:p w14:paraId="10CD200F">
      <w:pPr>
        <w:keepNext w:val="0"/>
        <w:keepLines w:val="0"/>
        <w:pageBreakBefore w:val="0"/>
        <w:widowControl w:val="0"/>
        <w:kinsoku/>
        <w:wordWrap/>
        <w:overflowPunct/>
        <w:topLinePunct w:val="0"/>
        <w:autoSpaceDE/>
        <w:autoSpaceDN/>
        <w:bidi w:val="0"/>
        <w:adjustRightInd/>
        <w:snapToGrid/>
        <w:spacing w:line="348" w:lineRule="auto"/>
        <w:ind w:left="0"/>
        <w:jc w:val="left"/>
        <w:textAlignment w:val="auto"/>
        <w:rPr>
          <w:rFonts w:hint="default" w:ascii="宋体" w:hAnsi="宋体" w:eastAsia="宋体" w:cs="宋体"/>
          <w:sz w:val="21"/>
          <w:szCs w:val="21"/>
          <w:lang w:val="en-US"/>
        </w:rPr>
      </w:pPr>
      <w:r>
        <w:rPr>
          <w:rFonts w:hint="eastAsia" w:ascii="宋体" w:hAnsi="宋体" w:eastAsia="宋体" w:cs="宋体"/>
          <w:sz w:val="21"/>
          <w:szCs w:val="21"/>
        </w:rPr>
        <w:t>乙方（承运方）：</w:t>
      </w:r>
      <w:r>
        <w:rPr>
          <w:rFonts w:hint="eastAsia" w:ascii="宋体" w:hAnsi="宋体" w:eastAsia="宋体" w:cs="宋体"/>
          <w:sz w:val="21"/>
          <w:szCs w:val="21"/>
          <w:u w:val="single"/>
          <w:lang w:val="en-US" w:eastAsia="zh-CN"/>
        </w:rPr>
        <w:t xml:space="preserve">                               </w:t>
      </w:r>
    </w:p>
    <w:p w14:paraId="55C2315C">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依据《中华人民共和国民法典》</w:t>
      </w:r>
      <w:r>
        <w:rPr>
          <w:rFonts w:hint="eastAsia" w:ascii="宋体" w:hAnsi="宋体" w:eastAsia="宋体" w:cs="宋体"/>
          <w:sz w:val="21"/>
          <w:szCs w:val="21"/>
          <w:lang w:eastAsia="zh-CN"/>
        </w:rPr>
        <w:t>、</w:t>
      </w:r>
      <w:r>
        <w:rPr>
          <w:rFonts w:hint="eastAsia" w:ascii="宋体" w:hAnsi="宋体" w:eastAsia="宋体" w:cs="宋体"/>
          <w:sz w:val="21"/>
          <w:szCs w:val="21"/>
        </w:rPr>
        <w:t>《中华人民共和国固体废物污染环境防治法》</w:t>
      </w:r>
      <w:r>
        <w:rPr>
          <w:rFonts w:hint="eastAsia" w:ascii="宋体" w:hAnsi="宋体" w:eastAsia="宋体" w:cs="宋体"/>
          <w:sz w:val="21"/>
          <w:szCs w:val="21"/>
          <w:lang w:eastAsia="zh-CN"/>
        </w:rPr>
        <w:t>及</w:t>
      </w:r>
      <w:r>
        <w:rPr>
          <w:rFonts w:hint="eastAsia" w:ascii="宋体" w:hAnsi="宋体" w:eastAsia="宋体" w:cs="宋体"/>
          <w:sz w:val="21"/>
          <w:szCs w:val="21"/>
        </w:rPr>
        <w:t>《城市建筑垃圾管理规定》等相关法律法规，甲乙双方本着平等自愿、公平诚信、权责对等的原则，就甲方委托乙方进行建筑土方清运事宜，经友好协商，订立本合同，以资共同信守。</w:t>
      </w:r>
    </w:p>
    <w:p w14:paraId="7268169E">
      <w:pPr>
        <w:keepNext w:val="0"/>
        <w:keepLines w:val="0"/>
        <w:pageBreakBefore w:val="0"/>
        <w:widowControl w:val="0"/>
        <w:kinsoku/>
        <w:wordWrap/>
        <w:overflowPunct/>
        <w:topLinePunct w:val="0"/>
        <w:autoSpaceDE/>
        <w:autoSpaceDN/>
        <w:bidi w:val="0"/>
        <w:adjustRightInd/>
        <w:snapToGrid/>
        <w:spacing w:line="348" w:lineRule="auto"/>
        <w:ind w:left="0"/>
        <w:jc w:val="left"/>
        <w:textAlignment w:val="auto"/>
        <w:outlineLvl w:val="1"/>
        <w:rPr>
          <w:rFonts w:hint="eastAsia" w:ascii="宋体" w:hAnsi="宋体" w:eastAsia="宋体" w:cs="宋体"/>
          <w:sz w:val="21"/>
          <w:szCs w:val="21"/>
        </w:rPr>
      </w:pPr>
      <w:bookmarkStart w:id="0" w:name="heading_0"/>
      <w:r>
        <w:rPr>
          <w:rFonts w:hint="eastAsia" w:ascii="宋体" w:hAnsi="宋体" w:eastAsia="宋体" w:cs="宋体"/>
          <w:b/>
          <w:sz w:val="21"/>
          <w:szCs w:val="21"/>
        </w:rPr>
        <w:t>第一条 清运服务内容</w:t>
      </w:r>
      <w:bookmarkEnd w:id="0"/>
    </w:p>
    <w:p w14:paraId="35D484D1">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1.1 清运标的：甲方指定地点的建筑土方。</w:t>
      </w:r>
    </w:p>
    <w:p w14:paraId="04808271">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1.2 清运地点：</w:t>
      </w:r>
    </w:p>
    <w:p w14:paraId="79C8D865">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（1）装载地点：</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（精确到施工区域具体堆放点</w:t>
      </w:r>
      <w:r>
        <w:rPr>
          <w:rFonts w:hint="eastAsia" w:ascii="宋体" w:hAnsi="宋体" w:cs="宋体"/>
          <w:sz w:val="21"/>
          <w:szCs w:val="21"/>
          <w:lang w:val="en-US" w:eastAsia="zh-CN"/>
        </w:rPr>
        <w:t>)</w:t>
      </w:r>
      <w:r>
        <w:rPr>
          <w:rFonts w:hint="eastAsia" w:ascii="宋体" w:hAnsi="宋体" w:eastAsia="宋体" w:cs="宋体"/>
          <w:sz w:val="21"/>
          <w:szCs w:val="21"/>
        </w:rPr>
        <w:t>，现场联系人：</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，联系方式</w:t>
      </w:r>
      <w:r>
        <w:rPr>
          <w:rFonts w:hint="eastAsia" w:ascii="宋体" w:hAnsi="宋体" w:eastAsia="宋体" w:cs="宋体"/>
          <w:sz w:val="21"/>
          <w:szCs w:val="21"/>
          <w:u w:val="none"/>
        </w:rPr>
        <w:t>：</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w:t>
      </w:r>
    </w:p>
    <w:p w14:paraId="36D4A7F4">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（2）卸载/处置地点：</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合法建筑垃圾消纳场</w:t>
      </w:r>
      <w:r>
        <w:rPr>
          <w:rFonts w:hint="eastAsia" w:ascii="宋体" w:hAnsi="宋体" w:eastAsia="宋体" w:cs="宋体"/>
          <w:sz w:val="21"/>
          <w:szCs w:val="21"/>
          <w:highlight w:val="none"/>
        </w:rPr>
        <w:t>（本辖区</w:t>
      </w:r>
      <w:r>
        <w:rPr>
          <w:rFonts w:hint="eastAsia" w:ascii="宋体" w:hAnsi="宋体" w:cs="宋体"/>
          <w:sz w:val="21"/>
          <w:szCs w:val="21"/>
          <w:highlight w:val="none"/>
          <w:lang w:eastAsia="zh-CN"/>
        </w:rPr>
        <w:t>以外</w:t>
      </w:r>
      <w:r>
        <w:rPr>
          <w:rFonts w:hint="eastAsia" w:ascii="宋体" w:hAnsi="宋体" w:cs="宋体"/>
          <w:sz w:val="21"/>
          <w:szCs w:val="21"/>
          <w:lang w:eastAsia="zh-CN"/>
        </w:rPr>
        <w:t>的</w:t>
      </w:r>
      <w:r>
        <w:rPr>
          <w:rFonts w:hint="eastAsia" w:ascii="宋体" w:hAnsi="宋体" w:eastAsia="宋体" w:cs="宋体"/>
          <w:sz w:val="21"/>
          <w:szCs w:val="21"/>
        </w:rPr>
        <w:t>经政府主管部门批准的合法消纳场所，乙方提供该场所资质证明复印件作为附件</w:t>
      </w:r>
      <w:r>
        <w:rPr>
          <w:rFonts w:hint="eastAsia" w:ascii="宋体" w:hAnsi="宋体" w:cs="宋体"/>
          <w:sz w:val="21"/>
          <w:szCs w:val="21"/>
          <w:lang w:eastAsia="zh-CN"/>
        </w:rPr>
        <w:t>二</w:t>
      </w:r>
      <w:r>
        <w:rPr>
          <w:rFonts w:hint="eastAsia" w:ascii="宋体" w:hAnsi="宋体" w:eastAsia="宋体" w:cs="宋体"/>
          <w:sz w:val="21"/>
          <w:szCs w:val="21"/>
        </w:rPr>
        <w:t>，严禁随意倾倒、抛撒）。</w:t>
      </w:r>
    </w:p>
    <w:p w14:paraId="3C29B38A">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1.3 清运期限：自</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时起至</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r>
        <w:rPr>
          <w:rFonts w:hint="eastAsia" w:ascii="宋体" w:hAnsi="宋体" w:eastAsia="宋体" w:cs="宋体"/>
          <w:sz w:val="21"/>
          <w:szCs w:val="21"/>
          <w:u w:val="single"/>
        </w:rPr>
        <w:t xml:space="preserve">  </w:t>
      </w:r>
      <w:r>
        <w:rPr>
          <w:rFonts w:hint="eastAsia" w:ascii="宋体" w:hAnsi="宋体" w:eastAsia="宋体" w:cs="宋体"/>
          <w:sz w:val="21"/>
          <w:szCs w:val="21"/>
        </w:rPr>
        <w:t>时止；若为分批次清运，约定清运频次为：</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次/天，每次清运完成时间不得晚于18时。</w:t>
      </w:r>
    </w:p>
    <w:p w14:paraId="2FF7E61C">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rPr>
          <w:rFonts w:hint="eastAsia" w:ascii="宋体" w:hAnsi="宋体" w:eastAsia="宋体" w:cs="宋体"/>
          <w:sz w:val="21"/>
          <w:szCs w:val="21"/>
          <w:highlight w:val="none"/>
        </w:rPr>
      </w:pPr>
      <w:r>
        <w:rPr>
          <w:rFonts w:hint="eastAsia" w:ascii="宋体" w:hAnsi="宋体" w:eastAsia="宋体" w:cs="宋体"/>
          <w:sz w:val="21"/>
          <w:szCs w:val="21"/>
        </w:rPr>
        <w:t>1.4 清运要求：乙方负责建筑土方的装载、密闭运输、合规处置全流程服务，确保装载规范、运输无遗撒、卸载合规；清运后装载地点无垃圾残留，周边环境整洁，符合环保及城管部门相关规定。</w:t>
      </w:r>
    </w:p>
    <w:p w14:paraId="509F39D8">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highlight w:val="none"/>
        </w:rPr>
        <w:t xml:space="preserve">1.5 </w:t>
      </w:r>
      <w:r>
        <w:rPr>
          <w:rFonts w:hint="eastAsia" w:ascii="宋体" w:hAnsi="宋体" w:cs="宋体"/>
          <w:sz w:val="21"/>
          <w:szCs w:val="21"/>
          <w:highlight w:val="none"/>
          <w:lang w:eastAsia="zh-CN"/>
        </w:rPr>
        <w:t>回填要求：采用合格素土回填，回填厚度</w:t>
      </w:r>
      <w:r>
        <w:rPr>
          <w:rFonts w:hint="eastAsia" w:ascii="宋体" w:hAnsi="宋体" w:cs="宋体"/>
          <w:sz w:val="21"/>
          <w:szCs w:val="21"/>
          <w:highlight w:val="none"/>
          <w:lang w:val="en-US" w:eastAsia="zh-CN"/>
        </w:rPr>
        <w:t>30公分。要求</w:t>
      </w:r>
      <w:r>
        <w:rPr>
          <w:rFonts w:hint="eastAsia" w:ascii="宋体" w:hAnsi="宋体" w:cs="宋体"/>
          <w:sz w:val="21"/>
          <w:szCs w:val="21"/>
          <w:highlight w:val="none"/>
          <w:lang w:eastAsia="zh-CN"/>
        </w:rPr>
        <w:t>土</w:t>
      </w:r>
      <w:r>
        <w:rPr>
          <w:rFonts w:hint="eastAsia" w:ascii="宋体" w:hAnsi="宋体" w:cs="宋体"/>
          <w:sz w:val="21"/>
          <w:szCs w:val="21"/>
          <w:lang w:eastAsia="zh-CN"/>
        </w:rPr>
        <w:t>质均匀、干净、含水率适宜；分层摊铺、分层夯实碾压，禁止一次性厚填；</w:t>
      </w:r>
      <w:r>
        <w:rPr>
          <w:rFonts w:hint="eastAsia" w:ascii="宋体" w:hAnsi="宋体" w:eastAsia="宋体" w:cs="宋体"/>
          <w:sz w:val="21"/>
          <w:szCs w:val="21"/>
        </w:rPr>
        <w:t>回填完成后表面平整，</w:t>
      </w:r>
      <w:r>
        <w:rPr>
          <w:rFonts w:hint="eastAsia" w:ascii="宋体" w:hAnsi="宋体" w:cs="宋体"/>
          <w:sz w:val="21"/>
          <w:szCs w:val="21"/>
          <w:lang w:eastAsia="zh-CN"/>
        </w:rPr>
        <w:t>满足采购人要求</w:t>
      </w:r>
      <w:r>
        <w:rPr>
          <w:rFonts w:hint="eastAsia" w:ascii="宋体" w:hAnsi="宋体" w:eastAsia="宋体" w:cs="宋体"/>
          <w:sz w:val="21"/>
          <w:szCs w:val="21"/>
        </w:rPr>
        <w:t>。</w:t>
      </w:r>
    </w:p>
    <w:p w14:paraId="250837F5">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rPr>
          <w:rFonts w:hint="eastAsia" w:ascii="宋体" w:hAnsi="宋体" w:eastAsia="宋体" w:cs="宋体"/>
          <w:color w:val="auto"/>
          <w:sz w:val="21"/>
          <w:szCs w:val="21"/>
          <w:highlight w:val="yellow"/>
        </w:rPr>
      </w:pPr>
      <w:r>
        <w:rPr>
          <w:rFonts w:hint="eastAsia" w:ascii="宋体" w:hAnsi="宋体" w:cs="宋体"/>
          <w:sz w:val="21"/>
          <w:szCs w:val="21"/>
          <w:lang w:val="en-US" w:eastAsia="zh-CN"/>
        </w:rPr>
        <w:t xml:space="preserve">1.6 </w:t>
      </w:r>
      <w:r>
        <w:rPr>
          <w:rFonts w:hint="eastAsia" w:ascii="宋体" w:hAnsi="宋体" w:eastAsia="宋体" w:cs="宋体"/>
          <w:sz w:val="21"/>
          <w:szCs w:val="21"/>
        </w:rPr>
        <w:t>计量方式：固定总价，含装车、运输、处置、</w:t>
      </w:r>
      <w:r>
        <w:rPr>
          <w:rFonts w:hint="eastAsia" w:ascii="宋体" w:hAnsi="宋体" w:cs="宋体"/>
          <w:sz w:val="21"/>
          <w:szCs w:val="21"/>
          <w:lang w:eastAsia="zh-CN"/>
        </w:rPr>
        <w:t>回填、</w:t>
      </w:r>
      <w:r>
        <w:rPr>
          <w:rFonts w:hint="eastAsia" w:ascii="宋体" w:hAnsi="宋体" w:eastAsia="宋体" w:cs="宋体"/>
          <w:sz w:val="21"/>
          <w:szCs w:val="21"/>
        </w:rPr>
        <w:t>过路费、税费等全部费用。</w:t>
      </w:r>
    </w:p>
    <w:p w14:paraId="2AB3590B">
      <w:pPr>
        <w:keepNext w:val="0"/>
        <w:keepLines w:val="0"/>
        <w:pageBreakBefore w:val="0"/>
        <w:widowControl w:val="0"/>
        <w:kinsoku/>
        <w:wordWrap/>
        <w:overflowPunct/>
        <w:topLinePunct w:val="0"/>
        <w:autoSpaceDE/>
        <w:autoSpaceDN/>
        <w:bidi w:val="0"/>
        <w:adjustRightInd/>
        <w:snapToGrid/>
        <w:spacing w:line="348" w:lineRule="auto"/>
        <w:ind w:left="0"/>
        <w:jc w:val="left"/>
        <w:textAlignment w:val="auto"/>
        <w:outlineLvl w:val="1"/>
        <w:rPr>
          <w:rFonts w:hint="eastAsia" w:ascii="宋体" w:hAnsi="宋体" w:eastAsia="宋体" w:cs="宋体"/>
          <w:sz w:val="21"/>
          <w:szCs w:val="21"/>
        </w:rPr>
      </w:pPr>
      <w:bookmarkStart w:id="1" w:name="heading_1"/>
      <w:r>
        <w:rPr>
          <w:rFonts w:hint="eastAsia" w:ascii="宋体" w:hAnsi="宋体" w:eastAsia="宋体" w:cs="宋体"/>
          <w:b/>
          <w:sz w:val="21"/>
          <w:szCs w:val="21"/>
        </w:rPr>
        <w:t>第二条 服务费用及支付方式</w:t>
      </w:r>
      <w:bookmarkEnd w:id="1"/>
    </w:p>
    <w:p w14:paraId="167C8BB9">
      <w:pPr>
        <w:keepNext w:val="0"/>
        <w:keepLines w:val="0"/>
        <w:pageBreakBefore w:val="0"/>
        <w:widowControl w:val="0"/>
        <w:kinsoku/>
        <w:wordWrap/>
        <w:overflowPunct/>
        <w:topLinePunct w:val="0"/>
        <w:autoSpaceDE/>
        <w:autoSpaceDN/>
        <w:bidi w:val="0"/>
        <w:adjustRightInd/>
        <w:snapToGrid/>
        <w:spacing w:line="348" w:lineRule="auto"/>
        <w:ind w:left="210" w:leftChars="100" w:firstLine="210" w:firstLineChars="100"/>
        <w:jc w:val="left"/>
        <w:textAlignment w:val="auto"/>
        <w:rPr>
          <w:rFonts w:hint="eastAsia" w:ascii="宋体" w:hAnsi="宋体" w:eastAsia="宋体" w:cs="宋体"/>
          <w:sz w:val="21"/>
          <w:szCs w:val="21"/>
        </w:rPr>
      </w:pPr>
      <w:r>
        <w:rPr>
          <w:rFonts w:hint="eastAsia" w:ascii="宋体" w:hAnsi="宋体" w:eastAsia="宋体" w:cs="宋体"/>
          <w:sz w:val="21"/>
          <w:szCs w:val="21"/>
        </w:rPr>
        <w:t>2.1 费用金额：经双方协商，本次建筑土方清运总费用（含税）共计人民币</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元（大写：</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元整）；其中，清运费</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元，</w:t>
      </w:r>
      <w:r>
        <w:rPr>
          <w:rFonts w:hint="eastAsia" w:ascii="宋体" w:hAnsi="宋体" w:cs="宋体"/>
          <w:sz w:val="21"/>
          <w:szCs w:val="21"/>
          <w:lang w:eastAsia="zh-CN"/>
        </w:rPr>
        <w:t>回填</w:t>
      </w:r>
      <w:r>
        <w:rPr>
          <w:rFonts w:hint="eastAsia" w:ascii="宋体" w:hAnsi="宋体" w:eastAsia="宋体" w:cs="宋体"/>
          <w:sz w:val="21"/>
          <w:szCs w:val="21"/>
        </w:rPr>
        <w:t>费</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元。</w:t>
      </w:r>
    </w:p>
    <w:p w14:paraId="4AA2BDF1">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2.2 支付方式：</w:t>
      </w:r>
    </w:p>
    <w:p w14:paraId="5604A2DA">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（1）支付类型：□预付款 □进度款 □尾款</w:t>
      </w:r>
    </w:p>
    <w:p w14:paraId="06282BA4">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（2）预付款：合同签订生效后</w:t>
      </w:r>
      <w:r>
        <w:rPr>
          <w:rFonts w:hint="eastAsia" w:ascii="宋体" w:hAnsi="宋体" w:eastAsia="宋体" w:cs="宋体"/>
          <w:sz w:val="21"/>
          <w:szCs w:val="21"/>
          <w:u w:val="single"/>
        </w:rPr>
        <w:t xml:space="preserve"> 10 </w:t>
      </w:r>
      <w:r>
        <w:rPr>
          <w:rFonts w:hint="eastAsia" w:ascii="宋体" w:hAnsi="宋体" w:eastAsia="宋体" w:cs="宋体"/>
          <w:sz w:val="21"/>
          <w:szCs w:val="21"/>
        </w:rPr>
        <w:t>个工作日内，甲方向乙方支付合同总价的</w:t>
      </w:r>
      <w:r>
        <w:rPr>
          <w:rFonts w:hint="eastAsia" w:ascii="宋体" w:hAnsi="宋体" w:eastAsia="宋体" w:cs="宋体"/>
          <w:sz w:val="21"/>
          <w:szCs w:val="21"/>
          <w:u w:val="single"/>
        </w:rPr>
        <w:t xml:space="preserve"> 30%（￥</w:t>
      </w:r>
      <w:r>
        <w:rPr>
          <w:rFonts w:hint="eastAsia" w:ascii="宋体" w:hAnsi="宋体" w:cs="宋体"/>
          <w:sz w:val="21"/>
          <w:szCs w:val="21"/>
          <w:u w:val="single"/>
          <w:lang w:val="en-US" w:eastAsia="zh-CN"/>
        </w:rPr>
        <w:t xml:space="preserve">     元</w:t>
      </w:r>
      <w:r>
        <w:rPr>
          <w:rFonts w:hint="eastAsia" w:ascii="宋体" w:hAnsi="宋体" w:eastAsia="宋体" w:cs="宋体"/>
          <w:sz w:val="21"/>
          <w:szCs w:val="21"/>
          <w:u w:val="single"/>
        </w:rPr>
        <w:t>）</w:t>
      </w:r>
      <w:r>
        <w:rPr>
          <w:rFonts w:hint="eastAsia" w:ascii="宋体" w:hAnsi="宋体" w:eastAsia="宋体" w:cs="宋体"/>
          <w:sz w:val="21"/>
          <w:szCs w:val="21"/>
        </w:rPr>
        <w:t>，作为</w:t>
      </w:r>
      <w:r>
        <w:rPr>
          <w:rFonts w:hint="eastAsia" w:ascii="宋体" w:hAnsi="宋体" w:cs="宋体"/>
          <w:sz w:val="21"/>
          <w:szCs w:val="21"/>
          <w:lang w:eastAsia="zh-CN"/>
        </w:rPr>
        <w:t>项目</w:t>
      </w:r>
      <w:r>
        <w:rPr>
          <w:rFonts w:hint="eastAsia" w:ascii="宋体" w:hAnsi="宋体" w:eastAsia="宋体" w:cs="宋体"/>
          <w:sz w:val="21"/>
          <w:szCs w:val="21"/>
        </w:rPr>
        <w:t>启动资金，用于乙方组织车辆、人员进场及前期筹备工作</w:t>
      </w:r>
      <w:r>
        <w:rPr>
          <w:rFonts w:hint="eastAsia" w:ascii="宋体" w:hAnsi="宋体" w:cs="宋体"/>
          <w:sz w:val="21"/>
          <w:szCs w:val="21"/>
          <w:lang w:eastAsia="zh-CN"/>
        </w:rPr>
        <w:t>。</w:t>
      </w:r>
    </w:p>
    <w:p w14:paraId="727CA068">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（3）进度款：</w:t>
      </w:r>
    </w:p>
    <w:p w14:paraId="5FBFD122">
      <w:pPr>
        <w:keepNext w:val="0"/>
        <w:keepLines w:val="0"/>
        <w:pageBreakBefore w:val="0"/>
        <w:widowControl w:val="0"/>
        <w:kinsoku/>
        <w:wordWrap/>
        <w:overflowPunct/>
        <w:topLinePunct w:val="0"/>
        <w:autoSpaceDE/>
        <w:autoSpaceDN/>
        <w:bidi w:val="0"/>
        <w:adjustRightInd/>
        <w:snapToGrid/>
        <w:spacing w:line="348"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乙方完成本</w:t>
      </w:r>
      <w:r>
        <w:rPr>
          <w:rFonts w:hint="eastAsia" w:ascii="宋体" w:hAnsi="宋体" w:cs="宋体"/>
          <w:sz w:val="21"/>
          <w:szCs w:val="21"/>
          <w:lang w:eastAsia="zh-CN"/>
        </w:rPr>
        <w:t>项目</w:t>
      </w:r>
      <w:r>
        <w:rPr>
          <w:rFonts w:hint="eastAsia" w:ascii="宋体" w:hAnsi="宋体" w:eastAsia="宋体" w:cs="宋体"/>
          <w:sz w:val="21"/>
          <w:szCs w:val="21"/>
          <w:u w:val="single"/>
        </w:rPr>
        <w:t xml:space="preserve"> 50% </w:t>
      </w:r>
      <w:r>
        <w:rPr>
          <w:rFonts w:hint="eastAsia" w:ascii="宋体" w:hAnsi="宋体" w:eastAsia="宋体" w:cs="宋体"/>
          <w:sz w:val="21"/>
          <w:szCs w:val="21"/>
        </w:rPr>
        <w:t>工</w:t>
      </w:r>
      <w:r>
        <w:rPr>
          <w:rFonts w:hint="eastAsia" w:ascii="宋体" w:hAnsi="宋体" w:cs="宋体"/>
          <w:sz w:val="21"/>
          <w:szCs w:val="21"/>
          <w:lang w:eastAsia="zh-CN"/>
        </w:rPr>
        <w:t>作</w:t>
      </w:r>
      <w:r>
        <w:rPr>
          <w:rFonts w:hint="eastAsia" w:ascii="宋体" w:hAnsi="宋体" w:eastAsia="宋体" w:cs="宋体"/>
          <w:sz w:val="21"/>
          <w:szCs w:val="21"/>
        </w:rPr>
        <w:t>量（以双方共同签署的《工</w:t>
      </w:r>
      <w:r>
        <w:rPr>
          <w:rFonts w:hint="eastAsia" w:ascii="宋体" w:hAnsi="宋体" w:cs="宋体"/>
          <w:sz w:val="21"/>
          <w:szCs w:val="21"/>
          <w:lang w:eastAsia="zh-CN"/>
        </w:rPr>
        <w:t>作</w:t>
      </w:r>
      <w:r>
        <w:rPr>
          <w:rFonts w:hint="eastAsia" w:ascii="宋体" w:hAnsi="宋体" w:eastAsia="宋体" w:cs="宋体"/>
          <w:sz w:val="21"/>
          <w:szCs w:val="21"/>
        </w:rPr>
        <w:t>量确认单》为准，涵盖建筑</w:t>
      </w:r>
      <w:r>
        <w:rPr>
          <w:rFonts w:hint="eastAsia" w:ascii="宋体" w:hAnsi="宋体" w:cs="宋体"/>
          <w:sz w:val="21"/>
          <w:szCs w:val="21"/>
          <w:lang w:eastAsia="zh-CN"/>
        </w:rPr>
        <w:t>土方</w:t>
      </w:r>
      <w:r>
        <w:rPr>
          <w:rFonts w:hint="eastAsia" w:ascii="宋体" w:hAnsi="宋体" w:eastAsia="宋体" w:cs="宋体"/>
          <w:sz w:val="21"/>
          <w:szCs w:val="21"/>
        </w:rPr>
        <w:t>清运及素土回填累计工</w:t>
      </w:r>
      <w:r>
        <w:rPr>
          <w:rFonts w:hint="eastAsia" w:ascii="宋体" w:hAnsi="宋体" w:cs="宋体"/>
          <w:sz w:val="21"/>
          <w:szCs w:val="21"/>
          <w:lang w:eastAsia="zh-CN"/>
        </w:rPr>
        <w:t>作</w:t>
      </w:r>
      <w:r>
        <w:rPr>
          <w:rFonts w:hint="eastAsia" w:ascii="宋体" w:hAnsi="宋体" w:eastAsia="宋体" w:cs="宋体"/>
          <w:sz w:val="21"/>
          <w:szCs w:val="21"/>
        </w:rPr>
        <w:t>量）后，乙方提交付款申请及工</w:t>
      </w:r>
      <w:r>
        <w:rPr>
          <w:rFonts w:hint="eastAsia" w:ascii="宋体" w:hAnsi="宋体" w:cs="宋体"/>
          <w:sz w:val="21"/>
          <w:szCs w:val="21"/>
          <w:lang w:eastAsia="zh-CN"/>
        </w:rPr>
        <w:t>作</w:t>
      </w:r>
      <w:r>
        <w:rPr>
          <w:rFonts w:hint="eastAsia" w:ascii="宋体" w:hAnsi="宋体" w:eastAsia="宋体" w:cs="宋体"/>
          <w:sz w:val="21"/>
          <w:szCs w:val="21"/>
        </w:rPr>
        <w:t>量确认文件，甲方审核无误后</w:t>
      </w:r>
      <w:r>
        <w:rPr>
          <w:rFonts w:hint="eastAsia" w:ascii="宋体" w:hAnsi="宋体" w:eastAsia="宋体" w:cs="宋体"/>
          <w:sz w:val="21"/>
          <w:szCs w:val="21"/>
          <w:u w:val="single"/>
        </w:rPr>
        <w:t xml:space="preserve"> 10 </w:t>
      </w:r>
      <w:r>
        <w:rPr>
          <w:rFonts w:hint="eastAsia" w:ascii="宋体" w:hAnsi="宋体" w:eastAsia="宋体" w:cs="宋体"/>
          <w:sz w:val="21"/>
          <w:szCs w:val="21"/>
        </w:rPr>
        <w:t>个工作日内，支付至合同总价的</w:t>
      </w:r>
      <w:r>
        <w:rPr>
          <w:rFonts w:hint="eastAsia" w:ascii="宋体" w:hAnsi="宋体" w:eastAsia="宋体" w:cs="宋体"/>
          <w:sz w:val="21"/>
          <w:szCs w:val="21"/>
          <w:u w:val="single"/>
        </w:rPr>
        <w:t xml:space="preserve"> 60%（￥     元）</w:t>
      </w:r>
      <w:r>
        <w:rPr>
          <w:rFonts w:hint="eastAsia" w:ascii="宋体" w:hAnsi="宋体" w:eastAsia="宋体" w:cs="宋体"/>
          <w:sz w:val="21"/>
          <w:szCs w:val="21"/>
        </w:rPr>
        <w:t>（已支付的30%启动资金从中抵扣）。</w:t>
      </w:r>
    </w:p>
    <w:p w14:paraId="51C19F2C">
      <w:pPr>
        <w:keepNext w:val="0"/>
        <w:keepLines w:val="0"/>
        <w:pageBreakBefore w:val="0"/>
        <w:widowControl w:val="0"/>
        <w:kinsoku/>
        <w:wordWrap/>
        <w:overflowPunct/>
        <w:topLinePunct w:val="0"/>
        <w:autoSpaceDE/>
        <w:autoSpaceDN/>
        <w:bidi w:val="0"/>
        <w:adjustRightInd/>
        <w:snapToGrid/>
        <w:spacing w:line="348"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本</w:t>
      </w:r>
      <w:r>
        <w:rPr>
          <w:rFonts w:hint="eastAsia" w:ascii="宋体" w:hAnsi="宋体" w:cs="宋体"/>
          <w:sz w:val="21"/>
          <w:szCs w:val="21"/>
          <w:lang w:eastAsia="zh-CN"/>
        </w:rPr>
        <w:t>项目</w:t>
      </w:r>
      <w:r>
        <w:rPr>
          <w:rFonts w:hint="eastAsia" w:ascii="宋体" w:hAnsi="宋体" w:eastAsia="宋体" w:cs="宋体"/>
          <w:sz w:val="21"/>
          <w:szCs w:val="21"/>
        </w:rPr>
        <w:t>全部建筑</w:t>
      </w:r>
      <w:r>
        <w:rPr>
          <w:rFonts w:hint="eastAsia" w:ascii="宋体" w:hAnsi="宋体" w:cs="宋体"/>
          <w:sz w:val="21"/>
          <w:szCs w:val="21"/>
          <w:lang w:eastAsia="zh-CN"/>
        </w:rPr>
        <w:t>土方</w:t>
      </w:r>
      <w:r>
        <w:rPr>
          <w:rFonts w:hint="eastAsia" w:ascii="宋体" w:hAnsi="宋体" w:eastAsia="宋体" w:cs="宋体"/>
          <w:sz w:val="21"/>
          <w:szCs w:val="21"/>
        </w:rPr>
        <w:t>清运、素土回填工作完成，经甲方按合同约定验收合格，乙方提交完整的验收合格证明、合规消纳单据后</w:t>
      </w:r>
      <w:r>
        <w:rPr>
          <w:rFonts w:hint="eastAsia" w:ascii="宋体" w:hAnsi="宋体" w:eastAsia="宋体" w:cs="宋体"/>
          <w:sz w:val="21"/>
          <w:szCs w:val="21"/>
          <w:u w:val="single"/>
        </w:rPr>
        <w:t xml:space="preserve"> 10 </w:t>
      </w:r>
      <w:r>
        <w:rPr>
          <w:rFonts w:hint="eastAsia" w:ascii="宋体" w:hAnsi="宋体" w:eastAsia="宋体" w:cs="宋体"/>
          <w:sz w:val="21"/>
          <w:szCs w:val="21"/>
        </w:rPr>
        <w:t>个工作日内，甲方支付至合同总价的</w:t>
      </w:r>
      <w:r>
        <w:rPr>
          <w:rFonts w:hint="eastAsia" w:ascii="宋体" w:hAnsi="宋体" w:eastAsia="宋体" w:cs="宋体"/>
          <w:sz w:val="21"/>
          <w:szCs w:val="21"/>
          <w:u w:val="single"/>
        </w:rPr>
        <w:t>85%（￥     元）</w:t>
      </w:r>
      <w:r>
        <w:rPr>
          <w:rFonts w:hint="eastAsia" w:ascii="宋体" w:hAnsi="宋体" w:eastAsia="宋体" w:cs="宋体"/>
          <w:sz w:val="21"/>
          <w:szCs w:val="21"/>
        </w:rPr>
        <w:t>。</w:t>
      </w:r>
    </w:p>
    <w:p w14:paraId="6443688A">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（4）尾款：甲方收到乙方提交的完整结算资料后，组织开展审计工作，审计完成并出具正式审计报告后</w:t>
      </w:r>
      <w:r>
        <w:rPr>
          <w:rFonts w:hint="eastAsia" w:ascii="宋体" w:hAnsi="宋体" w:eastAsia="宋体" w:cs="宋体"/>
          <w:sz w:val="21"/>
          <w:szCs w:val="21"/>
          <w:u w:val="single"/>
        </w:rPr>
        <w:t xml:space="preserve"> 10 </w:t>
      </w:r>
      <w:r>
        <w:rPr>
          <w:rFonts w:hint="eastAsia" w:ascii="宋体" w:hAnsi="宋体" w:eastAsia="宋体" w:cs="宋体"/>
          <w:sz w:val="21"/>
          <w:szCs w:val="21"/>
        </w:rPr>
        <w:t>个工作日内，甲方向乙方支付至审计报告确认</w:t>
      </w:r>
      <w:bookmarkStart w:id="15" w:name="_GoBack"/>
      <w:bookmarkEnd w:id="15"/>
      <w:r>
        <w:rPr>
          <w:rFonts w:hint="eastAsia" w:ascii="宋体" w:hAnsi="宋体" w:eastAsia="宋体" w:cs="宋体"/>
          <w:sz w:val="21"/>
          <w:szCs w:val="21"/>
        </w:rPr>
        <w:t>的总价款的</w:t>
      </w:r>
      <w:r>
        <w:rPr>
          <w:rFonts w:hint="eastAsia" w:ascii="宋体" w:hAnsi="宋体" w:eastAsia="宋体" w:cs="宋体"/>
          <w:sz w:val="21"/>
          <w:szCs w:val="21"/>
          <w:u w:val="single"/>
        </w:rPr>
        <w:t xml:space="preserve"> 100%（￥     元）</w:t>
      </w:r>
      <w:r>
        <w:rPr>
          <w:rFonts w:hint="eastAsia" w:ascii="宋体" w:hAnsi="宋体" w:eastAsia="宋体" w:cs="宋体"/>
          <w:sz w:val="21"/>
          <w:szCs w:val="21"/>
        </w:rPr>
        <w:t>（已支付款项从中抵扣）。</w:t>
      </w:r>
    </w:p>
    <w:p w14:paraId="23E68B71">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（5）支付方式：□银行转账 □银行汇款 □转账支票（禁止现金支付）。</w:t>
      </w:r>
    </w:p>
    <w:p w14:paraId="7DBD8F77">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cs="宋体"/>
          <w:sz w:val="21"/>
          <w:szCs w:val="21"/>
          <w:lang w:val="en-US" w:eastAsia="zh-CN"/>
        </w:rPr>
        <w:t>3</w:t>
      </w:r>
      <w:r>
        <w:rPr>
          <w:rFonts w:hint="eastAsia" w:ascii="宋体" w:hAnsi="宋体" w:eastAsia="宋体" w:cs="宋体"/>
          <w:sz w:val="21"/>
          <w:szCs w:val="21"/>
        </w:rPr>
        <w:t xml:space="preserve"> 乙方收款信息：</w:t>
      </w:r>
    </w:p>
    <w:p w14:paraId="06BE46E2">
      <w:pPr>
        <w:keepNext w:val="0"/>
        <w:keepLines w:val="0"/>
        <w:pageBreakBefore w:val="0"/>
        <w:widowControl w:val="0"/>
        <w:kinsoku/>
        <w:wordWrap/>
        <w:overflowPunct/>
        <w:topLinePunct w:val="0"/>
        <w:autoSpaceDE/>
        <w:autoSpaceDN/>
        <w:bidi w:val="0"/>
        <w:adjustRightInd/>
        <w:snapToGrid/>
        <w:spacing w:line="348" w:lineRule="auto"/>
        <w:ind w:firstLine="840" w:firstLineChars="400"/>
        <w:jc w:val="left"/>
        <w:textAlignment w:val="auto"/>
        <w:rPr>
          <w:rFonts w:hint="default" w:ascii="宋体" w:hAnsi="宋体" w:eastAsia="宋体" w:cs="宋体"/>
          <w:sz w:val="21"/>
          <w:szCs w:val="21"/>
          <w:lang w:val="en-US" w:eastAsia="zh-CN"/>
        </w:rPr>
      </w:pPr>
      <w:r>
        <w:rPr>
          <w:rFonts w:hint="eastAsia" w:ascii="宋体" w:hAnsi="宋体" w:eastAsia="宋体" w:cs="宋体"/>
          <w:sz w:val="21"/>
          <w:szCs w:val="21"/>
        </w:rPr>
        <w:t>开</w:t>
      </w:r>
      <w:r>
        <w:rPr>
          <w:rFonts w:hint="eastAsia" w:ascii="宋体" w:hAnsi="宋体" w:cs="宋体"/>
          <w:sz w:val="21"/>
          <w:szCs w:val="21"/>
          <w:lang w:val="en-US" w:eastAsia="zh-CN"/>
        </w:rPr>
        <w:t xml:space="preserve"> </w:t>
      </w:r>
      <w:r>
        <w:rPr>
          <w:rFonts w:hint="eastAsia" w:ascii="宋体" w:hAnsi="宋体" w:eastAsia="宋体" w:cs="宋体"/>
          <w:sz w:val="21"/>
          <w:szCs w:val="21"/>
        </w:rPr>
        <w:t>户</w:t>
      </w:r>
      <w:r>
        <w:rPr>
          <w:rFonts w:hint="eastAsia" w:ascii="宋体" w:hAnsi="宋体" w:cs="宋体"/>
          <w:sz w:val="21"/>
          <w:szCs w:val="21"/>
          <w:lang w:val="en-US" w:eastAsia="zh-CN"/>
        </w:rPr>
        <w:t xml:space="preserve"> </w:t>
      </w:r>
      <w:r>
        <w:rPr>
          <w:rFonts w:hint="eastAsia" w:ascii="宋体" w:hAnsi="宋体" w:eastAsia="宋体" w:cs="宋体"/>
          <w:sz w:val="21"/>
          <w:szCs w:val="21"/>
        </w:rPr>
        <w:t>行：</w:t>
      </w:r>
      <w:r>
        <w:rPr>
          <w:rFonts w:hint="eastAsia" w:ascii="宋体" w:hAnsi="宋体" w:cs="宋体"/>
          <w:sz w:val="21"/>
          <w:szCs w:val="21"/>
          <w:u w:val="single"/>
          <w:lang w:val="en-US" w:eastAsia="zh-CN"/>
        </w:rPr>
        <w:t xml:space="preserve">                            </w:t>
      </w:r>
    </w:p>
    <w:p w14:paraId="6CFC756C">
      <w:pPr>
        <w:keepNext w:val="0"/>
        <w:keepLines w:val="0"/>
        <w:pageBreakBefore w:val="0"/>
        <w:widowControl w:val="0"/>
        <w:kinsoku/>
        <w:wordWrap/>
        <w:overflowPunct/>
        <w:topLinePunct w:val="0"/>
        <w:autoSpaceDE/>
        <w:autoSpaceDN/>
        <w:bidi w:val="0"/>
        <w:adjustRightInd/>
        <w:snapToGrid/>
        <w:spacing w:line="348" w:lineRule="auto"/>
        <w:ind w:firstLine="840" w:firstLineChars="400"/>
        <w:jc w:val="left"/>
        <w:textAlignment w:val="auto"/>
        <w:rPr>
          <w:rFonts w:hint="eastAsia" w:ascii="宋体" w:hAnsi="宋体" w:eastAsia="宋体" w:cs="宋体"/>
          <w:sz w:val="21"/>
          <w:szCs w:val="21"/>
        </w:rPr>
      </w:pPr>
      <w:r>
        <w:rPr>
          <w:rFonts w:hint="eastAsia" w:ascii="宋体" w:hAnsi="宋体" w:eastAsia="宋体" w:cs="宋体"/>
          <w:sz w:val="21"/>
          <w:szCs w:val="21"/>
        </w:rPr>
        <w:t>账户名称：</w:t>
      </w:r>
      <w:r>
        <w:rPr>
          <w:rFonts w:hint="eastAsia" w:ascii="宋体" w:hAnsi="宋体" w:eastAsia="宋体" w:cs="宋体"/>
          <w:sz w:val="21"/>
          <w:szCs w:val="21"/>
          <w:u w:val="single"/>
        </w:rPr>
        <w:t xml:space="preserve">                            </w:t>
      </w:r>
    </w:p>
    <w:p w14:paraId="76E41E8C">
      <w:pPr>
        <w:keepNext w:val="0"/>
        <w:keepLines w:val="0"/>
        <w:pageBreakBefore w:val="0"/>
        <w:widowControl w:val="0"/>
        <w:kinsoku/>
        <w:wordWrap/>
        <w:overflowPunct/>
        <w:topLinePunct w:val="0"/>
        <w:autoSpaceDE/>
        <w:autoSpaceDN/>
        <w:bidi w:val="0"/>
        <w:adjustRightInd/>
        <w:snapToGrid/>
        <w:spacing w:line="348" w:lineRule="auto"/>
        <w:ind w:left="0" w:firstLine="840" w:firstLineChars="400"/>
        <w:jc w:val="left"/>
        <w:textAlignment w:val="auto"/>
        <w:outlineLvl w:val="2"/>
        <w:rPr>
          <w:rFonts w:hint="eastAsia" w:ascii="宋体" w:hAnsi="宋体" w:eastAsia="宋体" w:cs="宋体"/>
          <w:b w:val="0"/>
          <w:bCs/>
          <w:sz w:val="21"/>
          <w:szCs w:val="21"/>
        </w:rPr>
      </w:pPr>
      <w:r>
        <w:rPr>
          <w:rFonts w:hint="eastAsia" w:ascii="宋体" w:hAnsi="宋体" w:eastAsia="宋体" w:cs="宋体"/>
          <w:sz w:val="21"/>
          <w:szCs w:val="21"/>
        </w:rPr>
        <w:t>账</w:t>
      </w:r>
      <w:r>
        <w:rPr>
          <w:rFonts w:hint="eastAsia" w:ascii="宋体" w:hAnsi="宋体" w:cs="宋体"/>
          <w:sz w:val="21"/>
          <w:szCs w:val="21"/>
          <w:lang w:val="en-US" w:eastAsia="zh-CN"/>
        </w:rPr>
        <w:t xml:space="preserve">    </w:t>
      </w:r>
      <w:r>
        <w:rPr>
          <w:rFonts w:hint="eastAsia" w:ascii="宋体" w:hAnsi="宋体" w:eastAsia="宋体" w:cs="宋体"/>
          <w:sz w:val="21"/>
          <w:szCs w:val="21"/>
        </w:rPr>
        <w:t>号：</w:t>
      </w:r>
      <w:r>
        <w:rPr>
          <w:rFonts w:hint="eastAsia" w:ascii="宋体" w:hAnsi="宋体" w:eastAsia="宋体" w:cs="宋体"/>
          <w:sz w:val="21"/>
          <w:szCs w:val="21"/>
          <w:u w:val="single"/>
        </w:rPr>
        <w:t xml:space="preserve">                            </w:t>
      </w:r>
    </w:p>
    <w:p w14:paraId="534B7C8C">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cs="宋体"/>
          <w:sz w:val="21"/>
          <w:szCs w:val="21"/>
          <w:lang w:val="en-US" w:eastAsia="zh-CN"/>
        </w:rPr>
        <w:t>4</w:t>
      </w:r>
      <w:r>
        <w:rPr>
          <w:rFonts w:hint="eastAsia" w:ascii="宋体" w:hAnsi="宋体" w:eastAsia="宋体" w:cs="宋体"/>
          <w:sz w:val="21"/>
          <w:szCs w:val="21"/>
        </w:rPr>
        <w:t xml:space="preserve"> 发票约定：乙方每次收款</w:t>
      </w:r>
      <w:r>
        <w:rPr>
          <w:rFonts w:hint="eastAsia" w:ascii="宋体" w:hAnsi="宋体" w:cs="宋体"/>
          <w:sz w:val="21"/>
          <w:szCs w:val="21"/>
          <w:lang w:eastAsia="zh-CN"/>
        </w:rPr>
        <w:t>前</w:t>
      </w:r>
      <w:r>
        <w:rPr>
          <w:rFonts w:hint="eastAsia" w:ascii="宋体" w:hAnsi="宋体" w:eastAsia="宋体" w:cs="宋体"/>
          <w:sz w:val="21"/>
          <w:szCs w:val="21"/>
        </w:rPr>
        <w:t>3个工作日内，向甲方提供符合规定的</w:t>
      </w:r>
      <w:r>
        <w:rPr>
          <w:rFonts w:hint="eastAsia" w:ascii="宋体" w:hAnsi="宋体" w:cs="宋体"/>
          <w:sz w:val="21"/>
          <w:szCs w:val="21"/>
          <w:lang w:eastAsia="zh-CN"/>
        </w:rPr>
        <w:t>□</w:t>
      </w:r>
      <w:r>
        <w:rPr>
          <w:rFonts w:hint="eastAsia" w:ascii="宋体" w:hAnsi="宋体" w:eastAsia="宋体" w:cs="宋体"/>
          <w:sz w:val="21"/>
          <w:szCs w:val="21"/>
        </w:rPr>
        <w:t>增值税专用发票</w:t>
      </w:r>
      <w:r>
        <w:rPr>
          <w:rFonts w:hint="eastAsia" w:ascii="宋体" w:hAnsi="宋体" w:cs="宋体"/>
          <w:sz w:val="21"/>
          <w:szCs w:val="21"/>
          <w:lang w:eastAsia="zh-CN"/>
        </w:rPr>
        <w:t>，</w:t>
      </w:r>
      <w:r>
        <w:rPr>
          <w:rFonts w:hint="eastAsia" w:ascii="宋体" w:hAnsi="宋体" w:eastAsia="宋体" w:cs="宋体"/>
          <w:sz w:val="21"/>
          <w:szCs w:val="21"/>
        </w:rPr>
        <w:t>□增值税普通发票，发票金额</w:t>
      </w:r>
      <w:r>
        <w:rPr>
          <w:rFonts w:hint="eastAsia" w:ascii="宋体" w:hAnsi="宋体" w:cs="宋体"/>
          <w:sz w:val="21"/>
          <w:szCs w:val="21"/>
          <w:lang w:eastAsia="zh-CN"/>
        </w:rPr>
        <w:t>应</w:t>
      </w:r>
      <w:r>
        <w:rPr>
          <w:rFonts w:hint="eastAsia" w:ascii="宋体" w:hAnsi="宋体" w:eastAsia="宋体" w:cs="宋体"/>
          <w:sz w:val="21"/>
          <w:szCs w:val="21"/>
        </w:rPr>
        <w:t>与实际支付金额一致。</w:t>
      </w:r>
    </w:p>
    <w:p w14:paraId="626CCA58">
      <w:pPr>
        <w:keepNext w:val="0"/>
        <w:keepLines w:val="0"/>
        <w:pageBreakBefore w:val="0"/>
        <w:widowControl w:val="0"/>
        <w:kinsoku/>
        <w:wordWrap/>
        <w:overflowPunct/>
        <w:topLinePunct w:val="0"/>
        <w:autoSpaceDE/>
        <w:autoSpaceDN/>
        <w:bidi w:val="0"/>
        <w:adjustRightInd/>
        <w:snapToGrid/>
        <w:spacing w:line="348" w:lineRule="auto"/>
        <w:ind w:left="0"/>
        <w:jc w:val="left"/>
        <w:textAlignment w:val="auto"/>
        <w:outlineLvl w:val="1"/>
        <w:rPr>
          <w:rFonts w:hint="eastAsia" w:ascii="宋体" w:hAnsi="宋体" w:eastAsia="宋体" w:cs="宋体"/>
          <w:sz w:val="21"/>
          <w:szCs w:val="21"/>
        </w:rPr>
      </w:pPr>
      <w:bookmarkStart w:id="2" w:name="heading_2"/>
      <w:r>
        <w:rPr>
          <w:rFonts w:hint="eastAsia" w:ascii="宋体" w:hAnsi="宋体" w:eastAsia="宋体" w:cs="宋体"/>
          <w:b/>
          <w:sz w:val="21"/>
          <w:szCs w:val="21"/>
        </w:rPr>
        <w:t>第三条 双方权利与义务</w:t>
      </w:r>
      <w:bookmarkEnd w:id="2"/>
    </w:p>
    <w:p w14:paraId="3C487651">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rPr>
          <w:rFonts w:hint="eastAsia" w:ascii="宋体" w:hAnsi="宋体" w:eastAsia="宋体" w:cs="宋体"/>
          <w:b w:val="0"/>
          <w:bCs/>
          <w:sz w:val="21"/>
          <w:szCs w:val="21"/>
        </w:rPr>
      </w:pPr>
      <w:bookmarkStart w:id="3" w:name="heading_3"/>
      <w:r>
        <w:rPr>
          <w:rFonts w:hint="eastAsia" w:ascii="宋体" w:hAnsi="宋体" w:eastAsia="宋体" w:cs="宋体"/>
          <w:b w:val="0"/>
          <w:bCs/>
          <w:sz w:val="21"/>
          <w:szCs w:val="21"/>
        </w:rPr>
        <w:t>3.1 甲方权利与义务</w:t>
      </w:r>
      <w:bookmarkEnd w:id="3"/>
    </w:p>
    <w:p w14:paraId="7AAFE530">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rPr>
          <w:rFonts w:hint="eastAsia" w:ascii="宋体" w:hAnsi="宋体" w:eastAsia="宋体" w:cs="宋体"/>
          <w:sz w:val="21"/>
          <w:szCs w:val="21"/>
        </w:rPr>
      </w:pPr>
      <w:r>
        <w:rPr>
          <w:rFonts w:hint="eastAsia" w:ascii="宋体" w:hAnsi="宋体" w:cs="宋体"/>
          <w:b w:val="0"/>
          <w:bCs/>
          <w:sz w:val="21"/>
          <w:szCs w:val="21"/>
          <w:lang w:eastAsia="zh-CN"/>
        </w:rPr>
        <w:t>（</w:t>
      </w:r>
      <w:r>
        <w:rPr>
          <w:rFonts w:hint="eastAsia" w:ascii="宋体" w:hAnsi="宋体" w:cs="宋体"/>
          <w:b w:val="0"/>
          <w:bCs/>
          <w:sz w:val="21"/>
          <w:szCs w:val="21"/>
          <w:lang w:val="en-US" w:eastAsia="zh-CN"/>
        </w:rPr>
        <w:t>1</w:t>
      </w:r>
      <w:r>
        <w:rPr>
          <w:rFonts w:hint="eastAsia" w:ascii="宋体" w:hAnsi="宋体" w:cs="宋体"/>
          <w:b w:val="0"/>
          <w:bCs/>
          <w:sz w:val="21"/>
          <w:szCs w:val="21"/>
          <w:lang w:eastAsia="zh-CN"/>
        </w:rPr>
        <w:t>）甲方应</w:t>
      </w:r>
      <w:r>
        <w:rPr>
          <w:rFonts w:hint="eastAsia" w:ascii="宋体" w:hAnsi="宋体" w:eastAsia="宋体" w:cs="宋体"/>
          <w:sz w:val="21"/>
          <w:szCs w:val="21"/>
        </w:rPr>
        <w:t>如实告知乙方建筑土方的种类、数量及分布情况，协助乙方办理相关清运手续（如需）；</w:t>
      </w:r>
    </w:p>
    <w:p w14:paraId="632910FC">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cs="宋体"/>
          <w:sz w:val="21"/>
          <w:szCs w:val="21"/>
          <w:lang w:val="en-US" w:eastAsia="zh-CN"/>
        </w:rPr>
        <w:t>2</w:t>
      </w:r>
      <w:r>
        <w:rPr>
          <w:rFonts w:hint="eastAsia" w:ascii="宋体" w:hAnsi="宋体" w:eastAsia="宋体" w:cs="宋体"/>
          <w:sz w:val="21"/>
          <w:szCs w:val="21"/>
        </w:rPr>
        <w:t>）按合同约定及时核对清运量（如过磅单、车次记录），并按时支付服务费用；</w:t>
      </w:r>
    </w:p>
    <w:p w14:paraId="21EDF85C">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cs="宋体"/>
          <w:sz w:val="21"/>
          <w:szCs w:val="21"/>
          <w:lang w:val="en-US" w:eastAsia="zh-CN"/>
        </w:rPr>
        <w:t>3</w:t>
      </w:r>
      <w:r>
        <w:rPr>
          <w:rFonts w:hint="eastAsia" w:ascii="宋体" w:hAnsi="宋体" w:eastAsia="宋体" w:cs="宋体"/>
          <w:sz w:val="21"/>
          <w:szCs w:val="21"/>
        </w:rPr>
        <w:t>）有权监督乙方的清运过程，发现乙方违规操作（如未密闭运输、遗撒、擅自变更</w:t>
      </w:r>
      <w:r>
        <w:rPr>
          <w:rFonts w:hint="eastAsia" w:ascii="宋体" w:hAnsi="宋体" w:eastAsia="宋体" w:cs="宋体"/>
          <w:spacing w:val="-6"/>
          <w:sz w:val="21"/>
          <w:szCs w:val="21"/>
        </w:rPr>
        <w:t>处置地点等），有权要求乙方立即整改，情节严重的，有权解除合同并追究乙方违约责</w:t>
      </w:r>
      <w:r>
        <w:rPr>
          <w:rFonts w:hint="eastAsia" w:ascii="宋体" w:hAnsi="宋体" w:cs="宋体"/>
          <w:spacing w:val="-6"/>
          <w:sz w:val="21"/>
          <w:szCs w:val="21"/>
          <w:lang w:eastAsia="zh-CN"/>
        </w:rPr>
        <w:t>任</w:t>
      </w:r>
      <w:r>
        <w:rPr>
          <w:rFonts w:hint="eastAsia" w:ascii="宋体" w:hAnsi="宋体" w:eastAsia="宋体" w:cs="宋体"/>
          <w:spacing w:val="-6"/>
          <w:sz w:val="21"/>
          <w:szCs w:val="21"/>
        </w:rPr>
        <w:t>；</w:t>
      </w:r>
    </w:p>
    <w:p w14:paraId="5B2F261A">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cs="宋体"/>
          <w:sz w:val="21"/>
          <w:szCs w:val="21"/>
          <w:lang w:val="en-US" w:eastAsia="zh-CN"/>
        </w:rPr>
        <w:t>4</w:t>
      </w:r>
      <w:r>
        <w:rPr>
          <w:rFonts w:hint="eastAsia" w:ascii="宋体" w:hAnsi="宋体" w:eastAsia="宋体" w:cs="宋体"/>
          <w:sz w:val="21"/>
          <w:szCs w:val="21"/>
        </w:rPr>
        <w:t>）若因甲方原因（如场地不通、垃圾混入禁止物品等）导致清运工作延误或无法进行，清运期限相应顺延。</w:t>
      </w:r>
    </w:p>
    <w:p w14:paraId="314222BC">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outlineLvl w:val="2"/>
        <w:rPr>
          <w:rFonts w:hint="eastAsia" w:ascii="宋体" w:hAnsi="宋体" w:eastAsia="宋体" w:cs="宋体"/>
          <w:b w:val="0"/>
          <w:bCs/>
          <w:sz w:val="21"/>
          <w:szCs w:val="21"/>
        </w:rPr>
      </w:pPr>
      <w:bookmarkStart w:id="4" w:name="heading_4"/>
      <w:r>
        <w:rPr>
          <w:rFonts w:hint="eastAsia" w:ascii="宋体" w:hAnsi="宋体" w:eastAsia="宋体" w:cs="宋体"/>
          <w:b w:val="0"/>
          <w:bCs/>
          <w:sz w:val="21"/>
          <w:szCs w:val="21"/>
        </w:rPr>
        <w:t>3.2 乙方权利与义务</w:t>
      </w:r>
      <w:bookmarkEnd w:id="4"/>
    </w:p>
    <w:p w14:paraId="313973BF">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（1）确保自身及所属车辆具备本合同约定的全部资质，资质文件真实有效，运输车辆符合环保及城管部门规定，随车携带《建筑垃圾运输车辆准运许可证》；</w:t>
      </w:r>
    </w:p>
    <w:p w14:paraId="3635D6E4">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（2）自行组织足够的合规运输车辆、装载设备及专业作业人员，确保作业人员具备相应从业资格，遵守施工现场安全规定；</w:t>
      </w:r>
    </w:p>
    <w:p w14:paraId="43E2C121">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rPr>
          <w:rFonts w:hint="eastAsia" w:ascii="宋体" w:hAnsi="宋体" w:eastAsia="宋体" w:cs="宋体"/>
          <w:sz w:val="21"/>
          <w:szCs w:val="21"/>
        </w:rPr>
      </w:pPr>
      <w:r>
        <w:rPr>
          <w:rFonts w:hint="eastAsia" w:ascii="宋体" w:hAnsi="宋体" w:cs="宋体"/>
          <w:sz w:val="21"/>
          <w:szCs w:val="21"/>
          <w:lang w:eastAsia="zh-CN"/>
        </w:rPr>
        <w:t>（</w:t>
      </w:r>
      <w:r>
        <w:rPr>
          <w:rFonts w:hint="eastAsia" w:ascii="宋体" w:hAnsi="宋体" w:cs="宋体"/>
          <w:sz w:val="21"/>
          <w:szCs w:val="21"/>
          <w:lang w:val="en-US" w:eastAsia="zh-CN"/>
        </w:rPr>
        <w:t>3</w:t>
      </w:r>
      <w:r>
        <w:rPr>
          <w:rFonts w:hint="eastAsia" w:ascii="宋体" w:hAnsi="宋体" w:cs="宋体"/>
          <w:sz w:val="21"/>
          <w:szCs w:val="21"/>
          <w:lang w:eastAsia="zh-CN"/>
        </w:rPr>
        <w:t>）</w:t>
      </w:r>
      <w:r>
        <w:rPr>
          <w:rFonts w:hint="eastAsia" w:ascii="宋体" w:hAnsi="宋体" w:eastAsia="宋体" w:cs="宋体"/>
          <w:sz w:val="21"/>
          <w:szCs w:val="21"/>
        </w:rPr>
        <w:t>严格按照合同约定的时间、路线、计量标准完成清运工作，采取密闭运输、喷淋降尘等措施，避免运输过程中产生遗撒、扬尘，符合环保要求；</w:t>
      </w:r>
    </w:p>
    <w:p w14:paraId="4C36393A">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cs="宋体"/>
          <w:sz w:val="21"/>
          <w:szCs w:val="21"/>
          <w:lang w:val="en-US" w:eastAsia="zh-CN"/>
        </w:rPr>
        <w:t>4</w:t>
      </w:r>
      <w:r>
        <w:rPr>
          <w:rFonts w:hint="eastAsia" w:ascii="宋体" w:hAnsi="宋体" w:eastAsia="宋体" w:cs="宋体"/>
          <w:sz w:val="21"/>
          <w:szCs w:val="21"/>
        </w:rPr>
        <w:t>）严格将建筑土方运输至本合同约定的合法处置场所，严禁偷倒、乱卸、擅自</w:t>
      </w:r>
      <w:r>
        <w:rPr>
          <w:rFonts w:hint="eastAsia" w:ascii="宋体" w:hAnsi="宋体" w:eastAsia="宋体" w:cs="宋体"/>
          <w:spacing w:val="-6"/>
          <w:sz w:val="21"/>
          <w:szCs w:val="21"/>
        </w:rPr>
        <w:t>变更处置地点，每次清运后记录车次、重量、运输路线、消纳场接收凭证等，供甲方核查；</w:t>
      </w:r>
    </w:p>
    <w:p w14:paraId="49FC0E76">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cs="宋体"/>
          <w:sz w:val="21"/>
          <w:szCs w:val="21"/>
          <w:lang w:val="en-US" w:eastAsia="zh-CN"/>
        </w:rPr>
        <w:t>5</w:t>
      </w:r>
      <w:r>
        <w:rPr>
          <w:rFonts w:hint="eastAsia" w:ascii="宋体" w:hAnsi="宋体" w:eastAsia="宋体" w:cs="宋体"/>
          <w:sz w:val="21"/>
          <w:szCs w:val="21"/>
        </w:rPr>
        <w:t>）负责清运过程中的安全生产，设置警示标志、开启警示灯，承担作业期间人员、车辆及第三方人身、财产安全责任；如因乙方原因发生安全事故、环境污染或道路损坏，由乙方承担全部赔偿责任及相关行政处罚责任；</w:t>
      </w:r>
    </w:p>
    <w:p w14:paraId="61202ABA">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（6）有权拒绝运输混入危险废物、生活垃圾及其他禁止清运物品的建筑土方，或在甲方将禁止物品拣出后再进行运输，由此产生的延误及损失由甲方承担；</w:t>
      </w:r>
    </w:p>
    <w:p w14:paraId="0F1ED622">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（7）按时向甲方提供合规的处置凭证及发票，配合甲方完成验收工作；</w:t>
      </w:r>
    </w:p>
    <w:p w14:paraId="4C85525A">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（8）不得将本合同项下的清运服务转包或分包给第三方，否则甲方有权解除合同，乙方承担违约责任。</w:t>
      </w:r>
    </w:p>
    <w:p w14:paraId="2EAA50FA">
      <w:pPr>
        <w:keepNext w:val="0"/>
        <w:keepLines w:val="0"/>
        <w:pageBreakBefore w:val="0"/>
        <w:widowControl w:val="0"/>
        <w:kinsoku/>
        <w:wordWrap/>
        <w:overflowPunct/>
        <w:topLinePunct w:val="0"/>
        <w:autoSpaceDE/>
        <w:autoSpaceDN/>
        <w:bidi w:val="0"/>
        <w:adjustRightInd/>
        <w:snapToGrid/>
        <w:spacing w:line="348" w:lineRule="auto"/>
        <w:ind w:left="0"/>
        <w:jc w:val="left"/>
        <w:textAlignment w:val="auto"/>
        <w:outlineLvl w:val="1"/>
        <w:rPr>
          <w:rFonts w:hint="eastAsia" w:ascii="宋体" w:hAnsi="宋体" w:eastAsia="宋体" w:cs="宋体"/>
          <w:sz w:val="21"/>
          <w:szCs w:val="21"/>
        </w:rPr>
      </w:pPr>
      <w:bookmarkStart w:id="5" w:name="heading_5"/>
      <w:r>
        <w:rPr>
          <w:rFonts w:hint="eastAsia" w:ascii="宋体" w:hAnsi="宋体" w:eastAsia="宋体" w:cs="宋体"/>
          <w:b/>
          <w:sz w:val="21"/>
          <w:szCs w:val="21"/>
        </w:rPr>
        <w:t>第四条 验收与凭证</w:t>
      </w:r>
      <w:bookmarkEnd w:id="5"/>
    </w:p>
    <w:p w14:paraId="1E3DE31D">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4.1 验收标准：装载地点</w:t>
      </w:r>
      <w:r>
        <w:rPr>
          <w:rFonts w:hint="eastAsia" w:ascii="宋体" w:hAnsi="宋体" w:cs="宋体"/>
          <w:sz w:val="21"/>
          <w:szCs w:val="21"/>
          <w:lang w:eastAsia="zh-CN"/>
        </w:rPr>
        <w:t>的</w:t>
      </w:r>
      <w:r>
        <w:rPr>
          <w:rFonts w:hint="eastAsia" w:ascii="宋体" w:hAnsi="宋体" w:eastAsia="宋体" w:cs="宋体"/>
          <w:sz w:val="21"/>
          <w:szCs w:val="21"/>
        </w:rPr>
        <w:t>建筑土方全部清运完毕，无残留、无扬尘污染；运输过程无违规记录；素土回填表面平整，标高、坡度符合</w:t>
      </w:r>
      <w:r>
        <w:rPr>
          <w:rFonts w:hint="eastAsia" w:ascii="宋体" w:hAnsi="宋体" w:cs="宋体"/>
          <w:sz w:val="21"/>
          <w:szCs w:val="21"/>
          <w:lang w:eastAsia="zh-CN"/>
        </w:rPr>
        <w:t>甲方</w:t>
      </w:r>
      <w:r>
        <w:rPr>
          <w:rFonts w:hint="eastAsia" w:ascii="宋体" w:hAnsi="宋体" w:eastAsia="宋体" w:cs="宋体"/>
          <w:sz w:val="21"/>
          <w:szCs w:val="21"/>
        </w:rPr>
        <w:t>要求</w:t>
      </w:r>
      <w:r>
        <w:rPr>
          <w:rFonts w:hint="eastAsia" w:ascii="宋体" w:hAnsi="宋体" w:cs="宋体"/>
          <w:sz w:val="21"/>
          <w:szCs w:val="21"/>
          <w:lang w:eastAsia="zh-CN"/>
        </w:rPr>
        <w:t>；</w:t>
      </w:r>
      <w:r>
        <w:rPr>
          <w:rFonts w:hint="eastAsia" w:ascii="宋体" w:hAnsi="宋体" w:eastAsia="宋体" w:cs="宋体"/>
          <w:sz w:val="21"/>
          <w:szCs w:val="21"/>
        </w:rPr>
        <w:t>乙方提交完整的合规处置凭证（消纳场接收单据、过磅单、运输记录等）。</w:t>
      </w:r>
    </w:p>
    <w:p w14:paraId="6562BD9F">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4.2 验收流程：双方定期（□每日 □每周 □每月）核对清运量，签署《建筑垃圾土方清运确认单》（附件</w:t>
      </w:r>
      <w:r>
        <w:rPr>
          <w:rFonts w:hint="eastAsia" w:ascii="宋体" w:hAnsi="宋体" w:cs="宋体"/>
          <w:sz w:val="21"/>
          <w:szCs w:val="21"/>
          <w:lang w:eastAsia="zh-CN"/>
        </w:rPr>
        <w:t>三</w:t>
      </w:r>
      <w:r>
        <w:rPr>
          <w:rFonts w:hint="eastAsia" w:ascii="宋体" w:hAnsi="宋体" w:eastAsia="宋体" w:cs="宋体"/>
          <w:sz w:val="21"/>
          <w:szCs w:val="21"/>
        </w:rPr>
        <w:t>），作为结算依据；全部清运</w:t>
      </w:r>
      <w:r>
        <w:rPr>
          <w:rFonts w:hint="eastAsia" w:ascii="宋体" w:hAnsi="宋体" w:cs="宋体"/>
          <w:sz w:val="21"/>
          <w:szCs w:val="21"/>
          <w:lang w:eastAsia="zh-CN"/>
        </w:rPr>
        <w:t>回填</w:t>
      </w:r>
      <w:r>
        <w:rPr>
          <w:rFonts w:hint="eastAsia" w:ascii="宋体" w:hAnsi="宋体" w:eastAsia="宋体" w:cs="宋体"/>
          <w:sz w:val="21"/>
          <w:szCs w:val="21"/>
        </w:rPr>
        <w:t>完成后，乙方书面通知甲方验收，甲方应在接到通知后</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个工作日内组织验收，逾期未验收的，视为默认验收合格。</w:t>
      </w:r>
    </w:p>
    <w:p w14:paraId="13A5447A">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4.3 凭证留存：乙方需在全部清运</w:t>
      </w:r>
      <w:r>
        <w:rPr>
          <w:rFonts w:hint="eastAsia" w:ascii="宋体" w:hAnsi="宋体" w:cs="宋体"/>
          <w:sz w:val="21"/>
          <w:szCs w:val="21"/>
          <w:lang w:eastAsia="zh-CN"/>
        </w:rPr>
        <w:t>回填</w:t>
      </w:r>
      <w:r>
        <w:rPr>
          <w:rFonts w:hint="eastAsia" w:ascii="宋体" w:hAnsi="宋体" w:eastAsia="宋体" w:cs="宋体"/>
          <w:sz w:val="21"/>
          <w:szCs w:val="21"/>
        </w:rPr>
        <w:t>完成后</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个工作日内，向甲方提交完整的处置凭证复印件，作为合同履行完毕的证明，甲方予以留存备查。</w:t>
      </w:r>
    </w:p>
    <w:p w14:paraId="64C287C8">
      <w:pPr>
        <w:keepNext w:val="0"/>
        <w:keepLines w:val="0"/>
        <w:pageBreakBefore w:val="0"/>
        <w:widowControl w:val="0"/>
        <w:kinsoku/>
        <w:wordWrap/>
        <w:overflowPunct/>
        <w:topLinePunct w:val="0"/>
        <w:autoSpaceDE/>
        <w:autoSpaceDN/>
        <w:bidi w:val="0"/>
        <w:adjustRightInd/>
        <w:snapToGrid/>
        <w:spacing w:line="348" w:lineRule="auto"/>
        <w:ind w:left="0"/>
        <w:jc w:val="left"/>
        <w:textAlignment w:val="auto"/>
        <w:outlineLvl w:val="1"/>
        <w:rPr>
          <w:rFonts w:hint="eastAsia" w:ascii="宋体" w:hAnsi="宋体" w:eastAsia="宋体" w:cs="宋体"/>
          <w:sz w:val="21"/>
          <w:szCs w:val="21"/>
        </w:rPr>
      </w:pPr>
      <w:bookmarkStart w:id="6" w:name="heading_6"/>
      <w:r>
        <w:rPr>
          <w:rFonts w:hint="eastAsia" w:ascii="宋体" w:hAnsi="宋体" w:eastAsia="宋体" w:cs="宋体"/>
          <w:b/>
          <w:sz w:val="21"/>
          <w:szCs w:val="21"/>
        </w:rPr>
        <w:t>第五条 违约责任</w:t>
      </w:r>
      <w:bookmarkEnd w:id="6"/>
    </w:p>
    <w:p w14:paraId="20634719">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rPr>
          <w:rFonts w:hint="eastAsia" w:ascii="宋体" w:hAnsi="宋体" w:eastAsia="宋体" w:cs="宋体"/>
          <w:sz w:val="21"/>
          <w:szCs w:val="21"/>
        </w:rPr>
      </w:pPr>
      <w:r>
        <w:rPr>
          <w:rFonts w:hint="eastAsia" w:ascii="宋体" w:hAnsi="宋体" w:cs="宋体"/>
          <w:sz w:val="21"/>
          <w:szCs w:val="21"/>
          <w:lang w:val="en-US" w:eastAsia="zh-CN"/>
        </w:rPr>
        <w:t>5.1</w:t>
      </w:r>
      <w:r>
        <w:rPr>
          <w:rFonts w:hint="eastAsia" w:ascii="宋体" w:hAnsi="宋体" w:eastAsia="宋体" w:cs="宋体"/>
          <w:sz w:val="21"/>
          <w:szCs w:val="21"/>
        </w:rPr>
        <w:t>未按合同约定的期限、标准完成清运</w:t>
      </w:r>
      <w:r>
        <w:rPr>
          <w:rFonts w:hint="eastAsia" w:ascii="宋体" w:hAnsi="宋体" w:cs="宋体"/>
          <w:sz w:val="21"/>
          <w:szCs w:val="21"/>
          <w:lang w:eastAsia="zh-CN"/>
        </w:rPr>
        <w:t>回填</w:t>
      </w:r>
      <w:r>
        <w:rPr>
          <w:rFonts w:hint="eastAsia" w:ascii="宋体" w:hAnsi="宋体" w:eastAsia="宋体" w:cs="宋体"/>
          <w:sz w:val="21"/>
          <w:szCs w:val="21"/>
        </w:rPr>
        <w:t>工作，每逾期一日，按合同总金额的3‰向甲方支付违约金；逾期超过15日的，甲方有权解除合同，乙方需返还甲方已支付的费用，并支付合同总金额20%的违约金，赔偿甲方因此造成的损失（包括但不限于</w:t>
      </w:r>
      <w:r>
        <w:rPr>
          <w:rFonts w:hint="eastAsia" w:ascii="宋体" w:hAnsi="宋体" w:cs="宋体"/>
          <w:sz w:val="21"/>
          <w:szCs w:val="21"/>
          <w:lang w:eastAsia="zh-CN"/>
        </w:rPr>
        <w:t>服务</w:t>
      </w:r>
      <w:r>
        <w:rPr>
          <w:rFonts w:hint="eastAsia" w:ascii="宋体" w:hAnsi="宋体" w:eastAsia="宋体" w:cs="宋体"/>
          <w:sz w:val="21"/>
          <w:szCs w:val="21"/>
        </w:rPr>
        <w:t>期延误损失）；</w:t>
      </w:r>
    </w:p>
    <w:p w14:paraId="2561B492">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rPr>
          <w:rFonts w:hint="eastAsia" w:ascii="宋体" w:hAnsi="宋体" w:eastAsia="宋体" w:cs="宋体"/>
          <w:sz w:val="21"/>
          <w:szCs w:val="21"/>
        </w:rPr>
      </w:pPr>
      <w:r>
        <w:rPr>
          <w:rFonts w:hint="eastAsia" w:ascii="宋体" w:hAnsi="宋体" w:cs="宋体"/>
          <w:sz w:val="21"/>
          <w:szCs w:val="21"/>
          <w:lang w:val="en-US" w:eastAsia="zh-CN"/>
        </w:rPr>
        <w:t>5.2</w:t>
      </w:r>
      <w:r>
        <w:rPr>
          <w:rFonts w:hint="eastAsia" w:ascii="宋体" w:hAnsi="宋体" w:eastAsia="宋体" w:cs="宋体"/>
          <w:sz w:val="21"/>
          <w:szCs w:val="21"/>
        </w:rPr>
        <w:t>运输过程中发生遗撒、扬尘，或擅自变更处置地点、偷倒乱卸的，甲方有权要求乙方支付合同总金额15%的违约金，若导致甲方被处罚或产生损失（如环保罚款、道路污染赔偿），全部由乙方承担，甲方有权从尾款中扣除；</w:t>
      </w:r>
    </w:p>
    <w:p w14:paraId="39691115">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rPr>
          <w:rFonts w:hint="eastAsia" w:ascii="宋体" w:hAnsi="宋体" w:eastAsia="宋体" w:cs="宋体"/>
          <w:sz w:val="21"/>
          <w:szCs w:val="21"/>
        </w:rPr>
      </w:pPr>
      <w:r>
        <w:rPr>
          <w:rFonts w:hint="eastAsia" w:ascii="宋体" w:hAnsi="宋体" w:cs="宋体"/>
          <w:sz w:val="21"/>
          <w:szCs w:val="21"/>
          <w:lang w:val="en-US" w:eastAsia="zh-CN"/>
        </w:rPr>
        <w:t>5.3</w:t>
      </w:r>
      <w:r>
        <w:rPr>
          <w:rFonts w:hint="eastAsia" w:ascii="宋体" w:hAnsi="宋体" w:eastAsia="宋体" w:cs="宋体"/>
          <w:sz w:val="21"/>
          <w:szCs w:val="21"/>
        </w:rPr>
        <w:t>未提供合法有效的资质文件、处置凭证或发票，甲方有权拒付尾款，直至乙方补齐相关文件；若无法补齐，甲方有权解除合同，乙方承担全部违约责任；</w:t>
      </w:r>
    </w:p>
    <w:p w14:paraId="36AD4BD8">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rPr>
          <w:rFonts w:hint="eastAsia" w:ascii="宋体" w:hAnsi="宋体" w:eastAsia="宋体" w:cs="宋体"/>
          <w:sz w:val="21"/>
          <w:szCs w:val="21"/>
        </w:rPr>
      </w:pPr>
      <w:r>
        <w:rPr>
          <w:rFonts w:hint="eastAsia" w:ascii="宋体" w:hAnsi="宋体" w:cs="宋体"/>
          <w:sz w:val="21"/>
          <w:szCs w:val="21"/>
          <w:lang w:val="en-US" w:eastAsia="zh-CN"/>
        </w:rPr>
        <w:t>5.4</w:t>
      </w:r>
      <w:r>
        <w:rPr>
          <w:rFonts w:hint="eastAsia" w:ascii="宋体" w:hAnsi="宋体" w:eastAsia="宋体" w:cs="宋体"/>
          <w:sz w:val="21"/>
          <w:szCs w:val="21"/>
        </w:rPr>
        <w:t>将清运服务转包、分包给第三方，或运输车辆不符合规定被有关部门处罚的，甲方有权解除合同，乙方支付合同总金额20%的违约金，赔偿甲方实际损失；</w:t>
      </w:r>
    </w:p>
    <w:p w14:paraId="7B9D79F0">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rPr>
          <w:rFonts w:hint="eastAsia" w:ascii="宋体" w:hAnsi="宋体" w:eastAsia="宋体" w:cs="宋体"/>
          <w:sz w:val="21"/>
          <w:szCs w:val="21"/>
        </w:rPr>
      </w:pPr>
      <w:r>
        <w:rPr>
          <w:rFonts w:hint="eastAsia" w:ascii="宋体" w:hAnsi="宋体" w:cs="宋体"/>
          <w:sz w:val="21"/>
          <w:szCs w:val="21"/>
          <w:lang w:val="en-US" w:eastAsia="zh-CN"/>
        </w:rPr>
        <w:t>5.5</w:t>
      </w:r>
      <w:r>
        <w:rPr>
          <w:rFonts w:hint="eastAsia" w:ascii="宋体" w:hAnsi="宋体" w:eastAsia="宋体" w:cs="宋体"/>
          <w:sz w:val="21"/>
          <w:szCs w:val="21"/>
        </w:rPr>
        <w:t>因乙方原因造成安全事故、环境污染或第三方损失的，由乙方承担全部赔偿责任，甲方有权解除合同并追究乙方违约责任。</w:t>
      </w:r>
    </w:p>
    <w:p w14:paraId="09948535">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5.</w:t>
      </w:r>
      <w:r>
        <w:rPr>
          <w:rFonts w:hint="eastAsia" w:ascii="宋体" w:hAnsi="宋体" w:cs="宋体"/>
          <w:sz w:val="21"/>
          <w:szCs w:val="21"/>
          <w:lang w:val="en-US" w:eastAsia="zh-CN"/>
        </w:rPr>
        <w:t>6</w:t>
      </w:r>
      <w:r>
        <w:rPr>
          <w:rFonts w:hint="eastAsia" w:ascii="宋体" w:hAnsi="宋体" w:eastAsia="宋体" w:cs="宋体"/>
          <w:sz w:val="21"/>
          <w:szCs w:val="21"/>
        </w:rPr>
        <w:t>违约金不足以弥补守约方实际损失的，违约方需另行补足差额。</w:t>
      </w:r>
    </w:p>
    <w:p w14:paraId="12A5B44C">
      <w:pPr>
        <w:keepNext w:val="0"/>
        <w:keepLines w:val="0"/>
        <w:pageBreakBefore w:val="0"/>
        <w:widowControl w:val="0"/>
        <w:kinsoku/>
        <w:wordWrap/>
        <w:overflowPunct/>
        <w:topLinePunct w:val="0"/>
        <w:autoSpaceDE/>
        <w:autoSpaceDN/>
        <w:bidi w:val="0"/>
        <w:adjustRightInd/>
        <w:snapToGrid/>
        <w:spacing w:line="348" w:lineRule="auto"/>
        <w:ind w:left="0"/>
        <w:jc w:val="left"/>
        <w:textAlignment w:val="auto"/>
        <w:outlineLvl w:val="1"/>
        <w:rPr>
          <w:rFonts w:hint="eastAsia" w:ascii="宋体" w:hAnsi="宋体" w:eastAsia="宋体" w:cs="宋体"/>
          <w:sz w:val="21"/>
          <w:szCs w:val="21"/>
        </w:rPr>
      </w:pPr>
      <w:bookmarkStart w:id="7" w:name="heading_7"/>
      <w:r>
        <w:rPr>
          <w:rFonts w:hint="eastAsia" w:ascii="宋体" w:hAnsi="宋体" w:eastAsia="宋体" w:cs="宋体"/>
          <w:b/>
          <w:sz w:val="21"/>
          <w:szCs w:val="21"/>
        </w:rPr>
        <w:t>第六条 转让限制与合同解除</w:t>
      </w:r>
      <w:bookmarkEnd w:id="7"/>
    </w:p>
    <w:p w14:paraId="19CC3F2F">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6.1 转让限制：甲乙双方均不得将基于本合同所产生的权利及义务的全部或部分转让给任何第三方，未经对方书面同意，转让行为无效。</w:t>
      </w:r>
    </w:p>
    <w:p w14:paraId="2064BACB">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6.2 合同解除：</w:t>
      </w:r>
    </w:p>
    <w:p w14:paraId="62C2DF65">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（1）一方严重违约，经守约方书面催告后7日内，仍未履行或履行仍不符合合同约定的，守约方有权通知违约方解除本合同，违约方应当赔偿给守约方造成的全部损失；</w:t>
      </w:r>
    </w:p>
    <w:p w14:paraId="75540DA3">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（2）因不可抗力（如地震、暴雨、台风等自然灾害，或政府交通管制、环保政策调整）导致合同无法履行的，双方应在24小时内通知对方，协商延期或解除合同，互不承担违约责任，已产生的费用据实结算；</w:t>
      </w:r>
    </w:p>
    <w:p w14:paraId="6A273D35">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（3）合同解除后，双方应按约定做好善后工作，乙方需完成已产生建筑土方的清运及处置，甲方需支付已完成工作对应的费用。</w:t>
      </w:r>
    </w:p>
    <w:p w14:paraId="3BCEBCB1">
      <w:pPr>
        <w:keepNext w:val="0"/>
        <w:keepLines w:val="0"/>
        <w:pageBreakBefore w:val="0"/>
        <w:widowControl w:val="0"/>
        <w:kinsoku/>
        <w:wordWrap/>
        <w:overflowPunct/>
        <w:topLinePunct w:val="0"/>
        <w:autoSpaceDE/>
        <w:autoSpaceDN/>
        <w:bidi w:val="0"/>
        <w:adjustRightInd/>
        <w:snapToGrid/>
        <w:spacing w:line="348" w:lineRule="auto"/>
        <w:ind w:left="0"/>
        <w:jc w:val="left"/>
        <w:textAlignment w:val="auto"/>
        <w:outlineLvl w:val="1"/>
        <w:rPr>
          <w:rFonts w:hint="eastAsia" w:ascii="宋体" w:hAnsi="宋体" w:eastAsia="宋体" w:cs="宋体"/>
          <w:sz w:val="21"/>
          <w:szCs w:val="21"/>
        </w:rPr>
      </w:pPr>
      <w:bookmarkStart w:id="8" w:name="heading_8"/>
      <w:r>
        <w:rPr>
          <w:rFonts w:hint="eastAsia" w:ascii="宋体" w:hAnsi="宋体" w:eastAsia="宋体" w:cs="宋体"/>
          <w:b/>
          <w:sz w:val="21"/>
          <w:szCs w:val="21"/>
        </w:rPr>
        <w:t>第七条 不可抗力与争议解决</w:t>
      </w:r>
      <w:bookmarkEnd w:id="8"/>
    </w:p>
    <w:p w14:paraId="3B195D3E">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7.1 不可抗力：本合同所称不可抗力，是指不能预见、不能避免并不能克服的客观情况，包括但不限于自然灾害、政府行为、战争等。因不可抗力导致合同无法履行的，双方互不承担违约责任，但应及时通知对方，并在不可抗力发生后7日内提供相关证明文件，协商后续事宜。</w:t>
      </w:r>
    </w:p>
    <w:p w14:paraId="64F96C57">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7.2 争议解决：本合同履行过程中发生的争议，双方应首先友好协商解决；协商不成的，任何一方均有权向□甲方所在地人民法院 □乙方所在地人民法院 □仲裁委员会提起诉讼</w:t>
      </w:r>
      <w:r>
        <w:rPr>
          <w:rFonts w:hint="eastAsia" w:ascii="宋体" w:hAnsi="宋体" w:cs="宋体"/>
          <w:sz w:val="21"/>
          <w:szCs w:val="21"/>
          <w:lang w:eastAsia="zh-CN"/>
        </w:rPr>
        <w:t>或</w:t>
      </w:r>
      <w:r>
        <w:rPr>
          <w:rFonts w:hint="eastAsia" w:ascii="宋体" w:hAnsi="宋体" w:eastAsia="宋体" w:cs="宋体"/>
          <w:sz w:val="21"/>
          <w:szCs w:val="21"/>
        </w:rPr>
        <w:t>申请仲裁，适用中华人民共和国法律。</w:t>
      </w:r>
    </w:p>
    <w:p w14:paraId="754EE2E9">
      <w:pPr>
        <w:keepNext w:val="0"/>
        <w:keepLines w:val="0"/>
        <w:pageBreakBefore w:val="0"/>
        <w:widowControl w:val="0"/>
        <w:kinsoku/>
        <w:wordWrap/>
        <w:overflowPunct/>
        <w:topLinePunct w:val="0"/>
        <w:autoSpaceDE/>
        <w:autoSpaceDN/>
        <w:bidi w:val="0"/>
        <w:adjustRightInd/>
        <w:snapToGrid/>
        <w:spacing w:line="348" w:lineRule="auto"/>
        <w:ind w:left="0"/>
        <w:jc w:val="left"/>
        <w:textAlignment w:val="auto"/>
        <w:outlineLvl w:val="1"/>
        <w:rPr>
          <w:rFonts w:hint="eastAsia" w:ascii="宋体" w:hAnsi="宋体" w:eastAsia="宋体" w:cs="宋体"/>
          <w:sz w:val="21"/>
          <w:szCs w:val="21"/>
        </w:rPr>
      </w:pPr>
      <w:bookmarkStart w:id="9" w:name="heading_9"/>
      <w:r>
        <w:rPr>
          <w:rFonts w:hint="eastAsia" w:ascii="宋体" w:hAnsi="宋体" w:eastAsia="宋体" w:cs="宋体"/>
          <w:b/>
          <w:sz w:val="21"/>
          <w:szCs w:val="21"/>
        </w:rPr>
        <w:t>第八条 其他条款</w:t>
      </w:r>
      <w:bookmarkEnd w:id="9"/>
    </w:p>
    <w:p w14:paraId="57BEDA11">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8.1 本合同自双方签字盖章之日起生效，至</w:t>
      </w:r>
      <w:r>
        <w:rPr>
          <w:rFonts w:hint="eastAsia" w:ascii="宋体" w:hAnsi="宋体" w:cs="宋体"/>
          <w:sz w:val="21"/>
          <w:szCs w:val="21"/>
          <w:lang w:eastAsia="zh-CN"/>
        </w:rPr>
        <w:t>建筑土方</w:t>
      </w:r>
      <w:r>
        <w:rPr>
          <w:rFonts w:hint="eastAsia" w:ascii="宋体" w:hAnsi="宋体" w:eastAsia="宋体" w:cs="宋体"/>
          <w:sz w:val="21"/>
          <w:szCs w:val="21"/>
        </w:rPr>
        <w:t>清运</w:t>
      </w:r>
      <w:r>
        <w:rPr>
          <w:rFonts w:hint="eastAsia" w:ascii="宋体" w:hAnsi="宋体" w:cs="宋体"/>
          <w:sz w:val="21"/>
          <w:szCs w:val="21"/>
          <w:lang w:eastAsia="zh-CN"/>
        </w:rPr>
        <w:t>回填</w:t>
      </w:r>
      <w:r>
        <w:rPr>
          <w:rFonts w:hint="eastAsia" w:ascii="宋体" w:hAnsi="宋体" w:eastAsia="宋体" w:cs="宋体"/>
          <w:sz w:val="21"/>
          <w:szCs w:val="21"/>
        </w:rPr>
        <w:t>完毕、费用结清、凭证交付后终止。</w:t>
      </w:r>
    </w:p>
    <w:p w14:paraId="2A43ADDD">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8.2 本合同一式</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份，甲方执</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份，乙方执</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份，具有同等法律效力，自双方签字盖章之日起生效。</w:t>
      </w:r>
    </w:p>
    <w:p w14:paraId="3DBCD1E2">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8.3 本合同附件为本合同不可分割的组成部分，与本合同具有同等法律效力。</w:t>
      </w:r>
    </w:p>
    <w:p w14:paraId="24285601">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8.4 本合同未尽事宜，双方可另行签订补充协议，补充协议与本合同不一致的，以补充协议为准。</w:t>
      </w:r>
    </w:p>
    <w:p w14:paraId="6FC8BA5C">
      <w:pPr>
        <w:keepNext w:val="0"/>
        <w:keepLines w:val="0"/>
        <w:pageBreakBefore w:val="0"/>
        <w:widowControl w:val="0"/>
        <w:kinsoku/>
        <w:wordWrap/>
        <w:overflowPunct/>
        <w:topLinePunct w:val="0"/>
        <w:autoSpaceDE/>
        <w:autoSpaceDN/>
        <w:bidi w:val="0"/>
        <w:adjustRightInd/>
        <w:snapToGrid/>
        <w:spacing w:line="348" w:lineRule="auto"/>
        <w:ind w:left="0"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8.5 双方确认，本合同载明的地址及联系方式为有效送达地址，任何书面通知按该地址寄送即视为送达。若一方变更联系方式，应提前7日书面通知对方，否则因此产生的送达不能、延误等后果由变更方承担。</w:t>
      </w:r>
    </w:p>
    <w:p w14:paraId="760260F3">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b/>
          <w:sz w:val="21"/>
          <w:szCs w:val="21"/>
        </w:rPr>
      </w:pPr>
      <w:bookmarkStart w:id="10" w:name="heading_11"/>
    </w:p>
    <w:p w14:paraId="062061BE">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b/>
          <w:sz w:val="21"/>
          <w:szCs w:val="21"/>
        </w:rPr>
      </w:pPr>
    </w:p>
    <w:p w14:paraId="34FE1F15">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1"/>
        <w:rPr>
          <w:rFonts w:hint="eastAsia" w:ascii="宋体" w:hAnsi="宋体" w:eastAsia="宋体" w:cs="宋体"/>
          <w:b w:val="0"/>
          <w:bCs/>
          <w:sz w:val="21"/>
          <w:szCs w:val="21"/>
        </w:rPr>
      </w:pPr>
      <w:r>
        <w:rPr>
          <w:rFonts w:hint="eastAsia" w:ascii="宋体" w:hAnsi="宋体" w:eastAsia="宋体" w:cs="宋体"/>
          <w:b w:val="0"/>
          <w:bCs/>
          <w:sz w:val="21"/>
          <w:szCs w:val="21"/>
        </w:rPr>
        <w:t>甲方（委托方）（盖章）：</w:t>
      </w:r>
      <w:bookmarkEnd w:id="10"/>
      <w:r>
        <w:rPr>
          <w:rFonts w:hint="eastAsia" w:ascii="宋体" w:hAnsi="宋体" w:cs="宋体"/>
          <w:b w:val="0"/>
          <w:bCs/>
          <w:sz w:val="21"/>
          <w:szCs w:val="21"/>
          <w:lang w:val="en-US" w:eastAsia="zh-CN"/>
        </w:rPr>
        <w:t xml:space="preserve">                       </w:t>
      </w:r>
      <w:r>
        <w:rPr>
          <w:rFonts w:hint="eastAsia" w:ascii="宋体" w:hAnsi="宋体" w:eastAsia="宋体" w:cs="宋体"/>
          <w:b w:val="0"/>
          <w:bCs/>
          <w:sz w:val="21"/>
          <w:szCs w:val="21"/>
        </w:rPr>
        <w:t>乙方（承运方）（盖章）：</w:t>
      </w:r>
    </w:p>
    <w:p w14:paraId="1522D328">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1"/>
          <w:szCs w:val="21"/>
        </w:rPr>
      </w:pPr>
    </w:p>
    <w:p w14:paraId="516B7131">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cs="宋体"/>
          <w:sz w:val="21"/>
          <w:szCs w:val="21"/>
          <w:lang w:eastAsia="zh-CN"/>
        </w:rPr>
      </w:pPr>
      <w:r>
        <w:rPr>
          <w:rFonts w:hint="eastAsia" w:ascii="宋体" w:hAnsi="宋体" w:eastAsia="宋体" w:cs="宋体"/>
          <w:sz w:val="21"/>
          <w:szCs w:val="21"/>
        </w:rPr>
        <w:t>法定代表人</w:t>
      </w:r>
      <w:r>
        <w:rPr>
          <w:rFonts w:hint="eastAsia" w:ascii="宋体" w:hAnsi="宋体" w:cs="宋体"/>
          <w:sz w:val="21"/>
          <w:szCs w:val="21"/>
          <w:lang w:eastAsia="zh-CN"/>
        </w:rPr>
        <w:t>或</w:t>
      </w:r>
      <w:r>
        <w:rPr>
          <w:rFonts w:hint="eastAsia" w:ascii="宋体" w:hAnsi="宋体" w:cs="宋体"/>
          <w:sz w:val="21"/>
          <w:szCs w:val="21"/>
          <w:lang w:val="en-US" w:eastAsia="zh-CN"/>
        </w:rPr>
        <w:t xml:space="preserve">                                   </w:t>
      </w:r>
      <w:r>
        <w:rPr>
          <w:rFonts w:hint="eastAsia" w:ascii="宋体" w:hAnsi="宋体" w:eastAsia="宋体" w:cs="宋体"/>
          <w:sz w:val="21"/>
          <w:szCs w:val="21"/>
        </w:rPr>
        <w:t>法定代表人</w:t>
      </w:r>
      <w:r>
        <w:rPr>
          <w:rFonts w:hint="eastAsia" w:ascii="宋体" w:hAnsi="宋体" w:cs="宋体"/>
          <w:sz w:val="21"/>
          <w:szCs w:val="21"/>
          <w:lang w:eastAsia="zh-CN"/>
        </w:rPr>
        <w:t>或</w:t>
      </w:r>
    </w:p>
    <w:p w14:paraId="5016A6DE">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cs="宋体"/>
          <w:sz w:val="21"/>
          <w:szCs w:val="21"/>
          <w:lang w:eastAsia="zh-CN"/>
        </w:rPr>
      </w:pPr>
      <w:r>
        <w:rPr>
          <w:rFonts w:hint="eastAsia" w:ascii="宋体" w:hAnsi="宋体" w:eastAsia="宋体" w:cs="宋体"/>
          <w:sz w:val="21"/>
          <w:szCs w:val="21"/>
        </w:rPr>
        <w:t>授权代表人（签字</w:t>
      </w:r>
      <w:r>
        <w:rPr>
          <w:rFonts w:hint="eastAsia" w:ascii="宋体" w:hAnsi="宋体" w:cs="宋体"/>
          <w:sz w:val="21"/>
          <w:szCs w:val="21"/>
          <w:lang w:eastAsia="zh-CN"/>
        </w:rPr>
        <w:t>或盖章</w:t>
      </w:r>
      <w:r>
        <w:rPr>
          <w:rFonts w:hint="eastAsia" w:ascii="宋体" w:hAnsi="宋体" w:eastAsia="宋体" w:cs="宋体"/>
          <w:sz w:val="21"/>
          <w:szCs w:val="21"/>
        </w:rPr>
        <w:t>）：</w:t>
      </w:r>
      <w:r>
        <w:rPr>
          <w:rFonts w:hint="eastAsia" w:ascii="宋体" w:hAnsi="宋体" w:cs="宋体"/>
          <w:sz w:val="21"/>
          <w:szCs w:val="21"/>
          <w:lang w:val="en-US" w:eastAsia="zh-CN"/>
        </w:rPr>
        <w:t xml:space="preserve">                     </w:t>
      </w:r>
      <w:r>
        <w:rPr>
          <w:rFonts w:hint="eastAsia" w:ascii="宋体" w:hAnsi="宋体" w:eastAsia="宋体" w:cs="宋体"/>
          <w:sz w:val="21"/>
          <w:szCs w:val="21"/>
        </w:rPr>
        <w:t>授权代表人（签字</w:t>
      </w:r>
      <w:r>
        <w:rPr>
          <w:rFonts w:hint="eastAsia" w:ascii="宋体" w:hAnsi="宋体" w:cs="宋体"/>
          <w:sz w:val="21"/>
          <w:szCs w:val="21"/>
          <w:lang w:eastAsia="zh-CN"/>
        </w:rPr>
        <w:t>或盖章</w:t>
      </w:r>
      <w:r>
        <w:rPr>
          <w:rFonts w:hint="eastAsia" w:ascii="宋体" w:hAnsi="宋体" w:eastAsia="宋体" w:cs="宋体"/>
          <w:sz w:val="21"/>
          <w:szCs w:val="21"/>
        </w:rPr>
        <w:t>）：</w:t>
      </w:r>
    </w:p>
    <w:p w14:paraId="32E25150">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1"/>
          <w:szCs w:val="21"/>
        </w:rPr>
      </w:pPr>
    </w:p>
    <w:p w14:paraId="11F665A5">
      <w:pPr>
        <w:keepNext w:val="0"/>
        <w:keepLines w:val="0"/>
        <w:pageBreakBefore w:val="0"/>
        <w:widowControl w:val="0"/>
        <w:tabs>
          <w:tab w:val="left" w:pos="5040"/>
        </w:tabs>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1"/>
          <w:szCs w:val="21"/>
        </w:rPr>
      </w:pPr>
      <w:r>
        <w:rPr>
          <w:rFonts w:hint="eastAsia" w:ascii="宋体" w:hAnsi="宋体" w:eastAsia="宋体" w:cs="宋体"/>
          <w:sz w:val="21"/>
          <w:szCs w:val="21"/>
        </w:rPr>
        <w:t>签署日期：</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r>
        <w:rPr>
          <w:rFonts w:hint="eastAsia" w:ascii="宋体" w:hAnsi="宋体" w:cs="宋体"/>
          <w:sz w:val="21"/>
          <w:szCs w:val="21"/>
          <w:lang w:val="en-US" w:eastAsia="zh-CN"/>
        </w:rPr>
        <w:t xml:space="preserve">                       </w:t>
      </w:r>
      <w:r>
        <w:rPr>
          <w:rFonts w:hint="eastAsia" w:ascii="宋体" w:hAnsi="宋体" w:eastAsia="宋体" w:cs="宋体"/>
          <w:sz w:val="21"/>
          <w:szCs w:val="21"/>
        </w:rPr>
        <w:t>签署日期：</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11A663BF">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2"/>
        <w:rPr>
          <w:rFonts w:hint="eastAsia" w:ascii="宋体" w:hAnsi="宋体" w:eastAsia="宋体" w:cs="宋体"/>
          <w:sz w:val="21"/>
          <w:szCs w:val="21"/>
        </w:rPr>
      </w:pPr>
      <w:bookmarkStart w:id="11" w:name="heading_13"/>
      <w:r>
        <w:rPr>
          <w:rFonts w:hint="eastAsia" w:ascii="宋体" w:hAnsi="宋体" w:eastAsia="宋体" w:cs="宋体"/>
          <w:b/>
          <w:sz w:val="21"/>
          <w:szCs w:val="21"/>
        </w:rPr>
        <w:br w:type="page"/>
      </w:r>
      <w:r>
        <w:rPr>
          <w:rFonts w:hint="eastAsia" w:ascii="宋体" w:hAnsi="宋体" w:eastAsia="宋体" w:cs="宋体"/>
          <w:b/>
          <w:sz w:val="21"/>
          <w:szCs w:val="21"/>
        </w:rPr>
        <w:t>附件一：</w:t>
      </w:r>
      <w:r>
        <w:rPr>
          <w:rFonts w:hint="eastAsia" w:ascii="宋体" w:hAnsi="宋体" w:cs="宋体"/>
          <w:b/>
          <w:sz w:val="21"/>
          <w:szCs w:val="21"/>
          <w:lang w:eastAsia="zh-CN"/>
        </w:rPr>
        <w:t>相关</w:t>
      </w:r>
      <w:r>
        <w:rPr>
          <w:rFonts w:hint="eastAsia" w:ascii="宋体" w:hAnsi="宋体" w:eastAsia="宋体" w:cs="宋体"/>
          <w:b/>
          <w:sz w:val="21"/>
          <w:szCs w:val="21"/>
        </w:rPr>
        <w:t>资质证明复印件（加盖乙方公章）</w:t>
      </w:r>
      <w:bookmarkEnd w:id="11"/>
    </w:p>
    <w:p w14:paraId="2ECB31F5">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1"/>
          <w:szCs w:val="21"/>
        </w:rPr>
      </w:pPr>
      <w:r>
        <w:rPr>
          <w:rFonts w:hint="eastAsia" w:ascii="宋体" w:hAnsi="宋体" w:eastAsia="宋体" w:cs="宋体"/>
          <w:sz w:val="21"/>
          <w:szCs w:val="21"/>
        </w:rPr>
        <w:t>1. 当地行政主管部门颁发的建筑垃圾处置（运输）证</w:t>
      </w:r>
    </w:p>
    <w:p w14:paraId="55ED3B4F">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2. 《道路运输经营许可证》</w:t>
      </w:r>
    </w:p>
    <w:p w14:paraId="57A685D0">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1"/>
          <w:szCs w:val="21"/>
        </w:rPr>
      </w:pPr>
      <w:r>
        <w:rPr>
          <w:rFonts w:hint="eastAsia" w:ascii="宋体" w:hAnsi="宋体" w:eastAsia="宋体" w:cs="宋体"/>
          <w:sz w:val="21"/>
          <w:szCs w:val="21"/>
        </w:rPr>
        <w:t>3. 《建筑垃圾运输车辆准运许可证》</w:t>
      </w:r>
    </w:p>
    <w:p w14:paraId="0CD8676C">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1"/>
          <w:szCs w:val="21"/>
        </w:rPr>
      </w:pPr>
    </w:p>
    <w:p w14:paraId="1A7EB9C6">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1"/>
          <w:szCs w:val="21"/>
        </w:rPr>
      </w:pPr>
    </w:p>
    <w:p w14:paraId="60AA9571">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1"/>
          <w:szCs w:val="21"/>
        </w:rPr>
      </w:pPr>
    </w:p>
    <w:p w14:paraId="7E708283">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2"/>
        <w:rPr>
          <w:rFonts w:hint="eastAsia" w:ascii="宋体" w:hAnsi="宋体" w:eastAsia="宋体" w:cs="宋体"/>
          <w:sz w:val="21"/>
          <w:szCs w:val="21"/>
        </w:rPr>
      </w:pPr>
      <w:bookmarkStart w:id="12" w:name="heading_14"/>
      <w:r>
        <w:rPr>
          <w:rFonts w:hint="eastAsia" w:ascii="宋体" w:hAnsi="宋体" w:eastAsia="宋体" w:cs="宋体"/>
          <w:b/>
          <w:sz w:val="21"/>
          <w:szCs w:val="21"/>
        </w:rPr>
        <w:br w:type="page"/>
      </w:r>
      <w:r>
        <w:rPr>
          <w:rFonts w:hint="eastAsia" w:ascii="宋体" w:hAnsi="宋体" w:eastAsia="宋体" w:cs="宋体"/>
          <w:b/>
          <w:sz w:val="21"/>
          <w:szCs w:val="21"/>
        </w:rPr>
        <w:t>附件二：</w:t>
      </w:r>
      <w:bookmarkEnd w:id="12"/>
      <w:bookmarkStart w:id="13" w:name="heading_15"/>
      <w:r>
        <w:rPr>
          <w:rFonts w:hint="eastAsia" w:ascii="宋体" w:hAnsi="宋体" w:eastAsia="宋体" w:cs="宋体"/>
          <w:b/>
          <w:sz w:val="21"/>
          <w:szCs w:val="21"/>
        </w:rPr>
        <w:t>消纳场资质证明复印件（加盖乙方公章）</w:t>
      </w:r>
      <w:bookmarkEnd w:id="13"/>
    </w:p>
    <w:p w14:paraId="55FDF328">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2"/>
        <w:rPr>
          <w:rFonts w:hint="eastAsia" w:ascii="宋体" w:hAnsi="宋体" w:eastAsia="宋体" w:cs="宋体"/>
          <w:b/>
          <w:sz w:val="21"/>
          <w:szCs w:val="21"/>
        </w:rPr>
      </w:pPr>
      <w:bookmarkStart w:id="14" w:name="heading_16"/>
    </w:p>
    <w:p w14:paraId="120596F8">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2"/>
        <w:rPr>
          <w:rFonts w:hint="eastAsia" w:ascii="宋体" w:hAnsi="宋体" w:eastAsia="宋体" w:cs="宋体"/>
          <w:b/>
          <w:sz w:val="21"/>
          <w:szCs w:val="21"/>
        </w:rPr>
      </w:pPr>
    </w:p>
    <w:p w14:paraId="3256D7F3">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2"/>
        <w:rPr>
          <w:rFonts w:hint="eastAsia" w:ascii="宋体" w:hAnsi="宋体" w:eastAsia="宋体" w:cs="宋体"/>
          <w:b/>
          <w:sz w:val="21"/>
          <w:szCs w:val="21"/>
        </w:rPr>
      </w:pPr>
    </w:p>
    <w:p w14:paraId="32F91177">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2"/>
        <w:rPr>
          <w:rFonts w:hint="eastAsia" w:ascii="宋体" w:hAnsi="宋体" w:eastAsia="宋体" w:cs="宋体"/>
          <w:sz w:val="21"/>
          <w:szCs w:val="21"/>
        </w:rPr>
      </w:pPr>
      <w:r>
        <w:rPr>
          <w:rFonts w:hint="eastAsia" w:ascii="宋体" w:hAnsi="宋体" w:eastAsia="宋体" w:cs="宋体"/>
          <w:b/>
          <w:sz w:val="21"/>
          <w:szCs w:val="21"/>
        </w:rPr>
        <w:br w:type="page"/>
      </w:r>
      <w:r>
        <w:rPr>
          <w:rFonts w:hint="eastAsia" w:ascii="宋体" w:hAnsi="宋体" w:eastAsia="宋体" w:cs="宋体"/>
          <w:b/>
          <w:sz w:val="21"/>
          <w:szCs w:val="21"/>
        </w:rPr>
        <w:t>附件</w:t>
      </w:r>
      <w:r>
        <w:rPr>
          <w:rFonts w:hint="eastAsia" w:ascii="宋体" w:hAnsi="宋体" w:cs="宋体"/>
          <w:b/>
          <w:sz w:val="21"/>
          <w:szCs w:val="21"/>
          <w:lang w:eastAsia="zh-CN"/>
        </w:rPr>
        <w:t>三</w:t>
      </w:r>
      <w:r>
        <w:rPr>
          <w:rFonts w:hint="eastAsia" w:ascii="宋体" w:hAnsi="宋体" w:eastAsia="宋体" w:cs="宋体"/>
          <w:b/>
          <w:sz w:val="21"/>
          <w:szCs w:val="21"/>
        </w:rPr>
        <w:t>：建筑</w:t>
      </w:r>
      <w:r>
        <w:rPr>
          <w:rFonts w:hint="eastAsia" w:ascii="宋体" w:hAnsi="宋体" w:cs="宋体"/>
          <w:b/>
          <w:sz w:val="21"/>
          <w:szCs w:val="21"/>
          <w:lang w:eastAsia="zh-CN"/>
        </w:rPr>
        <w:t>土方</w:t>
      </w:r>
      <w:r>
        <w:rPr>
          <w:rFonts w:hint="eastAsia" w:ascii="宋体" w:hAnsi="宋体" w:eastAsia="宋体" w:cs="宋体"/>
          <w:b/>
          <w:sz w:val="21"/>
          <w:szCs w:val="21"/>
        </w:rPr>
        <w:t>清运</w:t>
      </w:r>
      <w:r>
        <w:rPr>
          <w:rFonts w:hint="eastAsia" w:ascii="宋体" w:hAnsi="宋体" w:cs="宋体"/>
          <w:b/>
          <w:sz w:val="21"/>
          <w:szCs w:val="21"/>
          <w:lang w:eastAsia="zh-CN"/>
        </w:rPr>
        <w:t>及素土回填</w:t>
      </w:r>
      <w:r>
        <w:rPr>
          <w:rFonts w:hint="eastAsia" w:ascii="宋体" w:hAnsi="宋体" w:eastAsia="宋体" w:cs="宋体"/>
          <w:b/>
          <w:sz w:val="21"/>
          <w:szCs w:val="21"/>
        </w:rPr>
        <w:t>确认单</w:t>
      </w:r>
      <w:bookmarkEnd w:id="14"/>
    </w:p>
    <w:tbl>
      <w:tblPr>
        <w:tblStyle w:val="2"/>
        <w:tblW w:w="98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127"/>
        <w:gridCol w:w="1319"/>
        <w:gridCol w:w="1321"/>
        <w:gridCol w:w="1319"/>
        <w:gridCol w:w="1321"/>
        <w:gridCol w:w="1157"/>
        <w:gridCol w:w="1157"/>
        <w:gridCol w:w="1157"/>
      </w:tblGrid>
      <w:tr w14:paraId="08382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 w:hRule="atLeast"/>
          <w:jc w:val="center"/>
        </w:trPr>
        <w:tc>
          <w:tcPr>
            <w:tcW w:w="1127" w:type="dxa"/>
            <w:vMerge w:val="restart"/>
            <w:tcMar>
              <w:top w:w="60" w:type="dxa"/>
              <w:left w:w="120" w:type="dxa"/>
              <w:bottom w:w="30" w:type="dxa"/>
              <w:right w:w="120" w:type="dxa"/>
            </w:tcMar>
            <w:vAlign w:val="center"/>
          </w:tcPr>
          <w:p w14:paraId="2F9C9F7A">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18"/>
                <w:szCs w:val="18"/>
              </w:rPr>
            </w:pPr>
            <w:r>
              <w:rPr>
                <w:rFonts w:hint="eastAsia" w:ascii="宋体" w:hAnsi="宋体" w:eastAsia="宋体" w:cs="宋体"/>
                <w:b/>
                <w:bCs/>
                <w:sz w:val="18"/>
                <w:szCs w:val="18"/>
              </w:rPr>
              <w:t>日期</w:t>
            </w:r>
          </w:p>
        </w:tc>
        <w:tc>
          <w:tcPr>
            <w:tcW w:w="2640" w:type="dxa"/>
            <w:gridSpan w:val="2"/>
            <w:tcMar>
              <w:top w:w="60" w:type="dxa"/>
              <w:left w:w="120" w:type="dxa"/>
              <w:bottom w:w="30" w:type="dxa"/>
              <w:right w:w="120" w:type="dxa"/>
            </w:tcMar>
            <w:vAlign w:val="center"/>
          </w:tcPr>
          <w:p w14:paraId="6BD6BA2A">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18"/>
                <w:szCs w:val="18"/>
                <w:lang w:eastAsia="zh-CN"/>
              </w:rPr>
            </w:pPr>
            <w:r>
              <w:rPr>
                <w:rFonts w:hint="eastAsia" w:ascii="宋体" w:hAnsi="宋体" w:cs="宋体"/>
                <w:b/>
                <w:bCs/>
                <w:sz w:val="18"/>
                <w:szCs w:val="18"/>
                <w:lang w:eastAsia="zh-CN"/>
              </w:rPr>
              <w:t>建筑垃圾清运</w:t>
            </w:r>
          </w:p>
        </w:tc>
        <w:tc>
          <w:tcPr>
            <w:tcW w:w="2640" w:type="dxa"/>
            <w:gridSpan w:val="2"/>
            <w:tcMar>
              <w:top w:w="60" w:type="dxa"/>
              <w:left w:w="120" w:type="dxa"/>
              <w:bottom w:w="30" w:type="dxa"/>
              <w:right w:w="120" w:type="dxa"/>
            </w:tcMar>
            <w:vAlign w:val="center"/>
          </w:tcPr>
          <w:p w14:paraId="58349964">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18"/>
                <w:szCs w:val="18"/>
                <w:lang w:eastAsia="zh-CN"/>
              </w:rPr>
            </w:pPr>
            <w:r>
              <w:rPr>
                <w:rFonts w:hint="eastAsia" w:ascii="宋体" w:hAnsi="宋体" w:cs="宋体"/>
                <w:b/>
                <w:bCs/>
                <w:sz w:val="18"/>
                <w:szCs w:val="18"/>
                <w:lang w:eastAsia="zh-CN"/>
              </w:rPr>
              <w:t>素土回填</w:t>
            </w:r>
          </w:p>
        </w:tc>
        <w:tc>
          <w:tcPr>
            <w:tcW w:w="1157" w:type="dxa"/>
            <w:vMerge w:val="restart"/>
            <w:tcMar>
              <w:top w:w="60" w:type="dxa"/>
              <w:left w:w="120" w:type="dxa"/>
              <w:bottom w:w="30" w:type="dxa"/>
              <w:right w:w="120" w:type="dxa"/>
            </w:tcMar>
            <w:vAlign w:val="center"/>
          </w:tcPr>
          <w:p w14:paraId="09B2E7F9">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cs="宋体"/>
                <w:b/>
                <w:bCs/>
                <w:sz w:val="18"/>
                <w:szCs w:val="18"/>
                <w:lang w:val="en-US" w:eastAsia="zh-CN"/>
              </w:rPr>
            </w:pPr>
            <w:r>
              <w:rPr>
                <w:rFonts w:hint="eastAsia" w:ascii="宋体" w:hAnsi="宋体" w:eastAsia="宋体" w:cs="宋体"/>
                <w:b/>
                <w:bCs/>
                <w:sz w:val="18"/>
                <w:szCs w:val="18"/>
              </w:rPr>
              <w:t>消纳</w:t>
            </w:r>
            <w:r>
              <w:rPr>
                <w:rFonts w:hint="eastAsia" w:ascii="宋体" w:hAnsi="宋体" w:cs="宋体"/>
                <w:b/>
                <w:bCs/>
                <w:sz w:val="18"/>
                <w:szCs w:val="18"/>
                <w:lang w:val="en-US" w:eastAsia="zh-CN"/>
              </w:rPr>
              <w:t>/回填</w:t>
            </w:r>
          </w:p>
          <w:p w14:paraId="2D9912E8">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18"/>
                <w:szCs w:val="18"/>
              </w:rPr>
            </w:pPr>
            <w:r>
              <w:rPr>
                <w:rFonts w:hint="eastAsia" w:ascii="宋体" w:hAnsi="宋体" w:eastAsia="宋体" w:cs="宋体"/>
                <w:b/>
                <w:bCs/>
                <w:sz w:val="18"/>
                <w:szCs w:val="18"/>
              </w:rPr>
              <w:t>情况</w:t>
            </w:r>
          </w:p>
        </w:tc>
        <w:tc>
          <w:tcPr>
            <w:tcW w:w="1157" w:type="dxa"/>
            <w:vMerge w:val="restart"/>
            <w:tcMar>
              <w:top w:w="60" w:type="dxa"/>
              <w:left w:w="120" w:type="dxa"/>
              <w:bottom w:w="30" w:type="dxa"/>
              <w:right w:w="120" w:type="dxa"/>
            </w:tcMar>
            <w:vAlign w:val="center"/>
          </w:tcPr>
          <w:p w14:paraId="33BFAF71">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18"/>
                <w:szCs w:val="18"/>
              </w:rPr>
            </w:pPr>
            <w:r>
              <w:rPr>
                <w:rFonts w:hint="eastAsia" w:ascii="宋体" w:hAnsi="宋体" w:eastAsia="宋体" w:cs="宋体"/>
                <w:b/>
                <w:bCs/>
                <w:sz w:val="18"/>
                <w:szCs w:val="18"/>
              </w:rPr>
              <w:t>乙方确认</w:t>
            </w:r>
          </w:p>
          <w:p w14:paraId="5A5F2ABD">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18"/>
                <w:szCs w:val="18"/>
                <w:lang w:eastAsia="zh-CN"/>
              </w:rPr>
            </w:pPr>
            <w:r>
              <w:rPr>
                <w:rFonts w:hint="eastAsia" w:ascii="宋体" w:hAnsi="宋体" w:cs="宋体"/>
                <w:b/>
                <w:bCs/>
                <w:sz w:val="18"/>
                <w:szCs w:val="18"/>
                <w:lang w:eastAsia="zh-CN"/>
              </w:rPr>
              <w:t>（签字）</w:t>
            </w:r>
          </w:p>
        </w:tc>
        <w:tc>
          <w:tcPr>
            <w:tcW w:w="1157" w:type="dxa"/>
            <w:vMerge w:val="restart"/>
            <w:tcMar>
              <w:top w:w="60" w:type="dxa"/>
              <w:left w:w="120" w:type="dxa"/>
              <w:bottom w:w="30" w:type="dxa"/>
              <w:right w:w="120" w:type="dxa"/>
            </w:tcMar>
            <w:vAlign w:val="center"/>
          </w:tcPr>
          <w:p w14:paraId="02179EE5">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18"/>
                <w:szCs w:val="18"/>
              </w:rPr>
            </w:pPr>
            <w:r>
              <w:rPr>
                <w:rFonts w:hint="eastAsia" w:ascii="宋体" w:hAnsi="宋体" w:eastAsia="宋体" w:cs="宋体"/>
                <w:b/>
                <w:bCs/>
                <w:sz w:val="18"/>
                <w:szCs w:val="18"/>
              </w:rPr>
              <w:t>甲方确认</w:t>
            </w:r>
          </w:p>
          <w:p w14:paraId="6400C470">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18"/>
                <w:szCs w:val="18"/>
                <w:lang w:eastAsia="zh-CN"/>
              </w:rPr>
            </w:pPr>
            <w:r>
              <w:rPr>
                <w:rFonts w:hint="eastAsia" w:ascii="宋体" w:hAnsi="宋体" w:cs="宋体"/>
                <w:b/>
                <w:bCs/>
                <w:sz w:val="18"/>
                <w:szCs w:val="18"/>
                <w:lang w:eastAsia="zh-CN"/>
              </w:rPr>
              <w:t>（签字）</w:t>
            </w:r>
          </w:p>
        </w:tc>
      </w:tr>
      <w:tr w14:paraId="4211D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 w:hRule="atLeast"/>
          <w:jc w:val="center"/>
        </w:trPr>
        <w:tc>
          <w:tcPr>
            <w:tcW w:w="1127" w:type="dxa"/>
            <w:vMerge w:val="continue"/>
            <w:tcMar>
              <w:top w:w="60" w:type="dxa"/>
              <w:left w:w="120" w:type="dxa"/>
              <w:bottom w:w="30" w:type="dxa"/>
              <w:right w:w="120" w:type="dxa"/>
            </w:tcMar>
            <w:vAlign w:val="center"/>
          </w:tcPr>
          <w:p w14:paraId="11E5D250">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18"/>
                <w:szCs w:val="18"/>
              </w:rPr>
            </w:pPr>
          </w:p>
        </w:tc>
        <w:tc>
          <w:tcPr>
            <w:tcW w:w="1319" w:type="dxa"/>
            <w:shd w:val="clear" w:color="auto" w:fill="auto"/>
            <w:tcMar>
              <w:top w:w="60" w:type="dxa"/>
              <w:left w:w="120" w:type="dxa"/>
              <w:bottom w:w="30" w:type="dxa"/>
              <w:right w:w="120" w:type="dxa"/>
            </w:tcMar>
            <w:vAlign w:val="center"/>
          </w:tcPr>
          <w:p w14:paraId="245FF850">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cs="宋体"/>
                <w:b/>
                <w:bCs/>
                <w:sz w:val="18"/>
                <w:szCs w:val="18"/>
                <w:lang w:eastAsia="zh-CN"/>
              </w:rPr>
            </w:pPr>
            <w:r>
              <w:rPr>
                <w:rFonts w:hint="eastAsia" w:ascii="宋体" w:hAnsi="宋体" w:cs="宋体"/>
                <w:b/>
                <w:bCs/>
                <w:sz w:val="18"/>
                <w:szCs w:val="18"/>
                <w:lang w:eastAsia="zh-CN"/>
              </w:rPr>
              <w:t>清运量</w:t>
            </w:r>
          </w:p>
          <w:p w14:paraId="4D8F30DB">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eastAsia="宋体" w:cs="宋体"/>
                <w:b/>
                <w:bCs/>
                <w:sz w:val="18"/>
                <w:szCs w:val="18"/>
                <w:lang w:eastAsia="zh-CN"/>
              </w:rPr>
            </w:pPr>
            <w:r>
              <w:rPr>
                <w:rFonts w:hint="eastAsia" w:ascii="宋体" w:hAnsi="宋体" w:cs="宋体"/>
                <w:b/>
                <w:bCs/>
                <w:sz w:val="18"/>
                <w:szCs w:val="18"/>
                <w:lang w:eastAsia="zh-CN"/>
              </w:rPr>
              <w:t>（m³）</w:t>
            </w:r>
          </w:p>
        </w:tc>
        <w:tc>
          <w:tcPr>
            <w:tcW w:w="1321" w:type="dxa"/>
            <w:shd w:val="clear" w:color="auto" w:fill="auto"/>
            <w:tcMar>
              <w:top w:w="60" w:type="dxa"/>
              <w:left w:w="120" w:type="dxa"/>
              <w:bottom w:w="30" w:type="dxa"/>
              <w:right w:w="120" w:type="dxa"/>
            </w:tcMar>
            <w:vAlign w:val="center"/>
          </w:tcPr>
          <w:p w14:paraId="307FC141">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18"/>
                <w:szCs w:val="18"/>
              </w:rPr>
            </w:pPr>
            <w:r>
              <w:rPr>
                <w:rFonts w:hint="eastAsia" w:ascii="宋体" w:hAnsi="宋体" w:eastAsia="宋体" w:cs="宋体"/>
                <w:b/>
                <w:bCs/>
                <w:sz w:val="18"/>
                <w:szCs w:val="18"/>
              </w:rPr>
              <w:t>运输车辆</w:t>
            </w:r>
          </w:p>
          <w:p w14:paraId="0CF56F57">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eastAsia="宋体" w:cs="宋体"/>
                <w:b/>
                <w:bCs/>
                <w:sz w:val="18"/>
                <w:szCs w:val="18"/>
              </w:rPr>
            </w:pPr>
            <w:r>
              <w:rPr>
                <w:rFonts w:hint="eastAsia" w:ascii="宋体" w:hAnsi="宋体" w:eastAsia="宋体" w:cs="宋体"/>
                <w:b/>
                <w:bCs/>
                <w:sz w:val="18"/>
                <w:szCs w:val="18"/>
              </w:rPr>
              <w:t>车牌号</w:t>
            </w:r>
          </w:p>
        </w:tc>
        <w:tc>
          <w:tcPr>
            <w:tcW w:w="1319" w:type="dxa"/>
            <w:tcMar>
              <w:top w:w="60" w:type="dxa"/>
              <w:left w:w="120" w:type="dxa"/>
              <w:bottom w:w="30" w:type="dxa"/>
              <w:right w:w="120" w:type="dxa"/>
            </w:tcMar>
            <w:vAlign w:val="center"/>
          </w:tcPr>
          <w:p w14:paraId="6398C060">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cs="宋体"/>
                <w:b/>
                <w:bCs/>
                <w:sz w:val="18"/>
                <w:szCs w:val="18"/>
                <w:lang w:eastAsia="zh-CN"/>
              </w:rPr>
            </w:pPr>
            <w:r>
              <w:rPr>
                <w:rFonts w:hint="eastAsia" w:ascii="宋体" w:hAnsi="宋体" w:cs="宋体"/>
                <w:b/>
                <w:bCs/>
                <w:sz w:val="18"/>
                <w:szCs w:val="18"/>
                <w:lang w:eastAsia="zh-CN"/>
              </w:rPr>
              <w:t>回填量</w:t>
            </w:r>
          </w:p>
          <w:p w14:paraId="7869A59D">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宋体" w:hAnsi="宋体" w:cs="宋体"/>
                <w:b/>
                <w:bCs/>
                <w:sz w:val="18"/>
                <w:szCs w:val="18"/>
                <w:lang w:val="en-US" w:eastAsia="zh-CN"/>
              </w:rPr>
            </w:pPr>
            <w:r>
              <w:rPr>
                <w:rFonts w:hint="default" w:ascii="宋体" w:hAnsi="宋体" w:cs="宋体"/>
                <w:b/>
                <w:bCs/>
                <w:sz w:val="18"/>
                <w:szCs w:val="18"/>
                <w:lang w:val="en-US" w:eastAsia="zh-CN"/>
              </w:rPr>
              <w:t>（m³）</w:t>
            </w:r>
          </w:p>
        </w:tc>
        <w:tc>
          <w:tcPr>
            <w:tcW w:w="1321" w:type="dxa"/>
            <w:tcMar>
              <w:top w:w="60" w:type="dxa"/>
              <w:left w:w="120" w:type="dxa"/>
              <w:bottom w:w="30" w:type="dxa"/>
              <w:right w:w="120" w:type="dxa"/>
            </w:tcMar>
            <w:vAlign w:val="center"/>
          </w:tcPr>
          <w:p w14:paraId="6223C259">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18"/>
                <w:szCs w:val="18"/>
              </w:rPr>
            </w:pPr>
            <w:r>
              <w:rPr>
                <w:rFonts w:hint="eastAsia" w:ascii="宋体" w:hAnsi="宋体" w:eastAsia="宋体" w:cs="宋体"/>
                <w:b/>
                <w:bCs/>
                <w:sz w:val="18"/>
                <w:szCs w:val="18"/>
              </w:rPr>
              <w:t>运输车辆</w:t>
            </w:r>
          </w:p>
          <w:p w14:paraId="541BD007">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18"/>
                <w:szCs w:val="18"/>
              </w:rPr>
            </w:pPr>
            <w:r>
              <w:rPr>
                <w:rFonts w:hint="eastAsia" w:ascii="宋体" w:hAnsi="宋体" w:eastAsia="宋体" w:cs="宋体"/>
                <w:b/>
                <w:bCs/>
                <w:sz w:val="18"/>
                <w:szCs w:val="18"/>
              </w:rPr>
              <w:t>车牌号</w:t>
            </w:r>
          </w:p>
        </w:tc>
        <w:tc>
          <w:tcPr>
            <w:tcW w:w="1157" w:type="dxa"/>
            <w:vMerge w:val="continue"/>
            <w:tcMar>
              <w:top w:w="60" w:type="dxa"/>
              <w:left w:w="120" w:type="dxa"/>
              <w:bottom w:w="30" w:type="dxa"/>
              <w:right w:w="120" w:type="dxa"/>
            </w:tcMar>
            <w:vAlign w:val="center"/>
          </w:tcPr>
          <w:p w14:paraId="2E779E14">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18"/>
                <w:szCs w:val="18"/>
              </w:rPr>
            </w:pPr>
          </w:p>
        </w:tc>
        <w:tc>
          <w:tcPr>
            <w:tcW w:w="1157" w:type="dxa"/>
            <w:vMerge w:val="continue"/>
            <w:tcMar>
              <w:top w:w="60" w:type="dxa"/>
              <w:left w:w="120" w:type="dxa"/>
              <w:bottom w:w="30" w:type="dxa"/>
              <w:right w:w="120" w:type="dxa"/>
            </w:tcMar>
            <w:vAlign w:val="center"/>
          </w:tcPr>
          <w:p w14:paraId="1247DA99">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cs="宋体"/>
                <w:b/>
                <w:bCs/>
                <w:sz w:val="18"/>
                <w:szCs w:val="18"/>
                <w:lang w:eastAsia="zh-CN"/>
              </w:rPr>
            </w:pPr>
          </w:p>
        </w:tc>
        <w:tc>
          <w:tcPr>
            <w:tcW w:w="1157" w:type="dxa"/>
            <w:vMerge w:val="continue"/>
            <w:tcMar>
              <w:top w:w="60" w:type="dxa"/>
              <w:left w:w="120" w:type="dxa"/>
              <w:bottom w:w="30" w:type="dxa"/>
              <w:right w:w="120" w:type="dxa"/>
            </w:tcMar>
            <w:vAlign w:val="center"/>
          </w:tcPr>
          <w:p w14:paraId="497FC382">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cs="宋体"/>
                <w:b/>
                <w:bCs/>
                <w:sz w:val="18"/>
                <w:szCs w:val="18"/>
                <w:lang w:eastAsia="zh-CN"/>
              </w:rPr>
            </w:pPr>
          </w:p>
        </w:tc>
      </w:tr>
      <w:tr w14:paraId="7FF45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2" w:hRule="atLeast"/>
          <w:jc w:val="center"/>
        </w:trPr>
        <w:tc>
          <w:tcPr>
            <w:tcW w:w="1127" w:type="dxa"/>
            <w:tcMar>
              <w:top w:w="60" w:type="dxa"/>
              <w:left w:w="120" w:type="dxa"/>
              <w:bottom w:w="30" w:type="dxa"/>
              <w:right w:w="120" w:type="dxa"/>
            </w:tcMar>
            <w:vAlign w:val="center"/>
          </w:tcPr>
          <w:p w14:paraId="0BCB6D37">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319" w:type="dxa"/>
            <w:tcMar>
              <w:top w:w="60" w:type="dxa"/>
              <w:left w:w="120" w:type="dxa"/>
              <w:bottom w:w="30" w:type="dxa"/>
              <w:right w:w="120" w:type="dxa"/>
            </w:tcMar>
            <w:vAlign w:val="center"/>
          </w:tcPr>
          <w:p w14:paraId="6DE236C2">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321" w:type="dxa"/>
            <w:tcMar>
              <w:top w:w="60" w:type="dxa"/>
              <w:left w:w="120" w:type="dxa"/>
              <w:bottom w:w="30" w:type="dxa"/>
              <w:right w:w="120" w:type="dxa"/>
            </w:tcMar>
            <w:vAlign w:val="center"/>
          </w:tcPr>
          <w:p w14:paraId="04CBACB3">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319" w:type="dxa"/>
            <w:tcMar>
              <w:top w:w="60" w:type="dxa"/>
              <w:left w:w="120" w:type="dxa"/>
              <w:bottom w:w="30" w:type="dxa"/>
              <w:right w:w="120" w:type="dxa"/>
            </w:tcMar>
            <w:vAlign w:val="center"/>
          </w:tcPr>
          <w:p w14:paraId="2FB7B527">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321" w:type="dxa"/>
            <w:tcMar>
              <w:top w:w="60" w:type="dxa"/>
              <w:left w:w="120" w:type="dxa"/>
              <w:bottom w:w="30" w:type="dxa"/>
              <w:right w:w="120" w:type="dxa"/>
            </w:tcMar>
            <w:vAlign w:val="center"/>
          </w:tcPr>
          <w:p w14:paraId="1C1956C6">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157" w:type="dxa"/>
            <w:tcMar>
              <w:top w:w="60" w:type="dxa"/>
              <w:left w:w="120" w:type="dxa"/>
              <w:bottom w:w="30" w:type="dxa"/>
              <w:right w:w="120" w:type="dxa"/>
            </w:tcMar>
            <w:vAlign w:val="center"/>
          </w:tcPr>
          <w:p w14:paraId="0735DE82">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157" w:type="dxa"/>
            <w:tcMar>
              <w:top w:w="60" w:type="dxa"/>
              <w:left w:w="120" w:type="dxa"/>
              <w:bottom w:w="30" w:type="dxa"/>
              <w:right w:w="120" w:type="dxa"/>
            </w:tcMar>
            <w:vAlign w:val="center"/>
          </w:tcPr>
          <w:p w14:paraId="24FA5F4B">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157" w:type="dxa"/>
            <w:tcMar>
              <w:top w:w="60" w:type="dxa"/>
              <w:left w:w="120" w:type="dxa"/>
              <w:bottom w:w="30" w:type="dxa"/>
              <w:right w:w="120" w:type="dxa"/>
            </w:tcMar>
            <w:vAlign w:val="center"/>
          </w:tcPr>
          <w:p w14:paraId="0887BF5D">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r>
      <w:tr w14:paraId="7A4A1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2" w:hRule="atLeast"/>
          <w:jc w:val="center"/>
        </w:trPr>
        <w:tc>
          <w:tcPr>
            <w:tcW w:w="1127" w:type="dxa"/>
            <w:tcMar>
              <w:top w:w="60" w:type="dxa"/>
              <w:left w:w="120" w:type="dxa"/>
              <w:bottom w:w="30" w:type="dxa"/>
              <w:right w:w="120" w:type="dxa"/>
            </w:tcMar>
            <w:vAlign w:val="center"/>
          </w:tcPr>
          <w:p w14:paraId="4F6E4D15">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319" w:type="dxa"/>
            <w:tcMar>
              <w:top w:w="60" w:type="dxa"/>
              <w:left w:w="120" w:type="dxa"/>
              <w:bottom w:w="30" w:type="dxa"/>
              <w:right w:w="120" w:type="dxa"/>
            </w:tcMar>
            <w:vAlign w:val="center"/>
          </w:tcPr>
          <w:p w14:paraId="47A9F2A8">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321" w:type="dxa"/>
            <w:tcMar>
              <w:top w:w="60" w:type="dxa"/>
              <w:left w:w="120" w:type="dxa"/>
              <w:bottom w:w="30" w:type="dxa"/>
              <w:right w:w="120" w:type="dxa"/>
            </w:tcMar>
            <w:vAlign w:val="center"/>
          </w:tcPr>
          <w:p w14:paraId="21F13D2A">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319" w:type="dxa"/>
            <w:tcMar>
              <w:top w:w="60" w:type="dxa"/>
              <w:left w:w="120" w:type="dxa"/>
              <w:bottom w:w="30" w:type="dxa"/>
              <w:right w:w="120" w:type="dxa"/>
            </w:tcMar>
            <w:vAlign w:val="center"/>
          </w:tcPr>
          <w:p w14:paraId="5AF89CB6">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321" w:type="dxa"/>
            <w:tcMar>
              <w:top w:w="60" w:type="dxa"/>
              <w:left w:w="120" w:type="dxa"/>
              <w:bottom w:w="30" w:type="dxa"/>
              <w:right w:w="120" w:type="dxa"/>
            </w:tcMar>
            <w:vAlign w:val="center"/>
          </w:tcPr>
          <w:p w14:paraId="28502332">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157" w:type="dxa"/>
            <w:tcMar>
              <w:top w:w="60" w:type="dxa"/>
              <w:left w:w="120" w:type="dxa"/>
              <w:bottom w:w="30" w:type="dxa"/>
              <w:right w:w="120" w:type="dxa"/>
            </w:tcMar>
            <w:vAlign w:val="center"/>
          </w:tcPr>
          <w:p w14:paraId="44A327A8">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157" w:type="dxa"/>
            <w:tcMar>
              <w:top w:w="60" w:type="dxa"/>
              <w:left w:w="120" w:type="dxa"/>
              <w:bottom w:w="30" w:type="dxa"/>
              <w:right w:w="120" w:type="dxa"/>
            </w:tcMar>
            <w:vAlign w:val="center"/>
          </w:tcPr>
          <w:p w14:paraId="31D92D9B">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157" w:type="dxa"/>
            <w:tcMar>
              <w:top w:w="60" w:type="dxa"/>
              <w:left w:w="120" w:type="dxa"/>
              <w:bottom w:w="30" w:type="dxa"/>
              <w:right w:w="120" w:type="dxa"/>
            </w:tcMar>
            <w:vAlign w:val="center"/>
          </w:tcPr>
          <w:p w14:paraId="22BB9B8C">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r>
      <w:tr w14:paraId="7A565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2" w:hRule="atLeast"/>
          <w:jc w:val="center"/>
        </w:trPr>
        <w:tc>
          <w:tcPr>
            <w:tcW w:w="1127" w:type="dxa"/>
            <w:tcMar>
              <w:top w:w="60" w:type="dxa"/>
              <w:left w:w="120" w:type="dxa"/>
              <w:bottom w:w="30" w:type="dxa"/>
              <w:right w:w="120" w:type="dxa"/>
            </w:tcMar>
            <w:vAlign w:val="center"/>
          </w:tcPr>
          <w:p w14:paraId="30605521">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319" w:type="dxa"/>
            <w:tcMar>
              <w:top w:w="60" w:type="dxa"/>
              <w:left w:w="120" w:type="dxa"/>
              <w:bottom w:w="30" w:type="dxa"/>
              <w:right w:w="120" w:type="dxa"/>
            </w:tcMar>
            <w:vAlign w:val="center"/>
          </w:tcPr>
          <w:p w14:paraId="16688B32">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321" w:type="dxa"/>
            <w:tcMar>
              <w:top w:w="60" w:type="dxa"/>
              <w:left w:w="120" w:type="dxa"/>
              <w:bottom w:w="30" w:type="dxa"/>
              <w:right w:w="120" w:type="dxa"/>
            </w:tcMar>
            <w:vAlign w:val="center"/>
          </w:tcPr>
          <w:p w14:paraId="45748D3F">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319" w:type="dxa"/>
            <w:tcMar>
              <w:top w:w="60" w:type="dxa"/>
              <w:left w:w="120" w:type="dxa"/>
              <w:bottom w:w="30" w:type="dxa"/>
              <w:right w:w="120" w:type="dxa"/>
            </w:tcMar>
            <w:vAlign w:val="center"/>
          </w:tcPr>
          <w:p w14:paraId="29BA5EDE">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321" w:type="dxa"/>
            <w:tcMar>
              <w:top w:w="60" w:type="dxa"/>
              <w:left w:w="120" w:type="dxa"/>
              <w:bottom w:w="30" w:type="dxa"/>
              <w:right w:w="120" w:type="dxa"/>
            </w:tcMar>
            <w:vAlign w:val="center"/>
          </w:tcPr>
          <w:p w14:paraId="0032FF08">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157" w:type="dxa"/>
            <w:tcMar>
              <w:top w:w="60" w:type="dxa"/>
              <w:left w:w="120" w:type="dxa"/>
              <w:bottom w:w="30" w:type="dxa"/>
              <w:right w:w="120" w:type="dxa"/>
            </w:tcMar>
            <w:vAlign w:val="center"/>
          </w:tcPr>
          <w:p w14:paraId="25E2393B">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157" w:type="dxa"/>
            <w:tcMar>
              <w:top w:w="60" w:type="dxa"/>
              <w:left w:w="120" w:type="dxa"/>
              <w:bottom w:w="30" w:type="dxa"/>
              <w:right w:w="120" w:type="dxa"/>
            </w:tcMar>
            <w:vAlign w:val="center"/>
          </w:tcPr>
          <w:p w14:paraId="0189671A">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157" w:type="dxa"/>
            <w:tcMar>
              <w:top w:w="60" w:type="dxa"/>
              <w:left w:w="120" w:type="dxa"/>
              <w:bottom w:w="30" w:type="dxa"/>
              <w:right w:w="120" w:type="dxa"/>
            </w:tcMar>
            <w:vAlign w:val="center"/>
          </w:tcPr>
          <w:p w14:paraId="29F11B02">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r>
      <w:tr w14:paraId="13CCA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2" w:hRule="atLeast"/>
          <w:jc w:val="center"/>
        </w:trPr>
        <w:tc>
          <w:tcPr>
            <w:tcW w:w="1127" w:type="dxa"/>
            <w:tcMar>
              <w:top w:w="60" w:type="dxa"/>
              <w:left w:w="120" w:type="dxa"/>
              <w:bottom w:w="30" w:type="dxa"/>
              <w:right w:w="120" w:type="dxa"/>
            </w:tcMar>
            <w:vAlign w:val="center"/>
          </w:tcPr>
          <w:p w14:paraId="26C8D2B9">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319" w:type="dxa"/>
            <w:tcMar>
              <w:top w:w="60" w:type="dxa"/>
              <w:left w:w="120" w:type="dxa"/>
              <w:bottom w:w="30" w:type="dxa"/>
              <w:right w:w="120" w:type="dxa"/>
            </w:tcMar>
            <w:vAlign w:val="center"/>
          </w:tcPr>
          <w:p w14:paraId="51188438">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321" w:type="dxa"/>
            <w:tcMar>
              <w:top w:w="60" w:type="dxa"/>
              <w:left w:w="120" w:type="dxa"/>
              <w:bottom w:w="30" w:type="dxa"/>
              <w:right w:w="120" w:type="dxa"/>
            </w:tcMar>
            <w:vAlign w:val="center"/>
          </w:tcPr>
          <w:p w14:paraId="1AE905F1">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319" w:type="dxa"/>
            <w:tcMar>
              <w:top w:w="60" w:type="dxa"/>
              <w:left w:w="120" w:type="dxa"/>
              <w:bottom w:w="30" w:type="dxa"/>
              <w:right w:w="120" w:type="dxa"/>
            </w:tcMar>
            <w:vAlign w:val="center"/>
          </w:tcPr>
          <w:p w14:paraId="0563BF8D">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321" w:type="dxa"/>
            <w:tcMar>
              <w:top w:w="60" w:type="dxa"/>
              <w:left w:w="120" w:type="dxa"/>
              <w:bottom w:w="30" w:type="dxa"/>
              <w:right w:w="120" w:type="dxa"/>
            </w:tcMar>
            <w:vAlign w:val="center"/>
          </w:tcPr>
          <w:p w14:paraId="116B333A">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157" w:type="dxa"/>
            <w:tcMar>
              <w:top w:w="60" w:type="dxa"/>
              <w:left w:w="120" w:type="dxa"/>
              <w:bottom w:w="30" w:type="dxa"/>
              <w:right w:w="120" w:type="dxa"/>
            </w:tcMar>
            <w:vAlign w:val="center"/>
          </w:tcPr>
          <w:p w14:paraId="40DB7BF3">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157" w:type="dxa"/>
            <w:tcMar>
              <w:top w:w="60" w:type="dxa"/>
              <w:left w:w="120" w:type="dxa"/>
              <w:bottom w:w="30" w:type="dxa"/>
              <w:right w:w="120" w:type="dxa"/>
            </w:tcMar>
            <w:vAlign w:val="center"/>
          </w:tcPr>
          <w:p w14:paraId="7C27D8CA">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157" w:type="dxa"/>
            <w:tcMar>
              <w:top w:w="60" w:type="dxa"/>
              <w:left w:w="120" w:type="dxa"/>
              <w:bottom w:w="30" w:type="dxa"/>
              <w:right w:w="120" w:type="dxa"/>
            </w:tcMar>
            <w:vAlign w:val="center"/>
          </w:tcPr>
          <w:p w14:paraId="1B9DE8D3">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r>
      <w:tr w14:paraId="1FC90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2" w:hRule="atLeast"/>
          <w:jc w:val="center"/>
        </w:trPr>
        <w:tc>
          <w:tcPr>
            <w:tcW w:w="1127" w:type="dxa"/>
            <w:tcMar>
              <w:top w:w="60" w:type="dxa"/>
              <w:left w:w="120" w:type="dxa"/>
              <w:bottom w:w="30" w:type="dxa"/>
              <w:right w:w="120" w:type="dxa"/>
            </w:tcMar>
            <w:vAlign w:val="center"/>
          </w:tcPr>
          <w:p w14:paraId="7DE5B9CF">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319" w:type="dxa"/>
            <w:tcMar>
              <w:top w:w="60" w:type="dxa"/>
              <w:left w:w="120" w:type="dxa"/>
              <w:bottom w:w="30" w:type="dxa"/>
              <w:right w:w="120" w:type="dxa"/>
            </w:tcMar>
            <w:vAlign w:val="center"/>
          </w:tcPr>
          <w:p w14:paraId="229F73F5">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321" w:type="dxa"/>
            <w:tcMar>
              <w:top w:w="60" w:type="dxa"/>
              <w:left w:w="120" w:type="dxa"/>
              <w:bottom w:w="30" w:type="dxa"/>
              <w:right w:w="120" w:type="dxa"/>
            </w:tcMar>
            <w:vAlign w:val="center"/>
          </w:tcPr>
          <w:p w14:paraId="2737F6BC">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319" w:type="dxa"/>
            <w:tcMar>
              <w:top w:w="60" w:type="dxa"/>
              <w:left w:w="120" w:type="dxa"/>
              <w:bottom w:w="30" w:type="dxa"/>
              <w:right w:w="120" w:type="dxa"/>
            </w:tcMar>
            <w:vAlign w:val="center"/>
          </w:tcPr>
          <w:p w14:paraId="5E51DA9D">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321" w:type="dxa"/>
            <w:tcMar>
              <w:top w:w="60" w:type="dxa"/>
              <w:left w:w="120" w:type="dxa"/>
              <w:bottom w:w="30" w:type="dxa"/>
              <w:right w:w="120" w:type="dxa"/>
            </w:tcMar>
            <w:vAlign w:val="center"/>
          </w:tcPr>
          <w:p w14:paraId="70E57585">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157" w:type="dxa"/>
            <w:tcMar>
              <w:top w:w="60" w:type="dxa"/>
              <w:left w:w="120" w:type="dxa"/>
              <w:bottom w:w="30" w:type="dxa"/>
              <w:right w:w="120" w:type="dxa"/>
            </w:tcMar>
            <w:vAlign w:val="center"/>
          </w:tcPr>
          <w:p w14:paraId="6066C8F9">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157" w:type="dxa"/>
            <w:tcMar>
              <w:top w:w="60" w:type="dxa"/>
              <w:left w:w="120" w:type="dxa"/>
              <w:bottom w:w="30" w:type="dxa"/>
              <w:right w:w="120" w:type="dxa"/>
            </w:tcMar>
            <w:vAlign w:val="center"/>
          </w:tcPr>
          <w:p w14:paraId="0C825CF4">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157" w:type="dxa"/>
            <w:tcMar>
              <w:top w:w="60" w:type="dxa"/>
              <w:left w:w="120" w:type="dxa"/>
              <w:bottom w:w="30" w:type="dxa"/>
              <w:right w:w="120" w:type="dxa"/>
            </w:tcMar>
            <w:vAlign w:val="center"/>
          </w:tcPr>
          <w:p w14:paraId="0FAA5CD7">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r>
      <w:tr w14:paraId="1EE45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2" w:hRule="atLeast"/>
          <w:jc w:val="center"/>
        </w:trPr>
        <w:tc>
          <w:tcPr>
            <w:tcW w:w="1127" w:type="dxa"/>
            <w:tcMar>
              <w:top w:w="60" w:type="dxa"/>
              <w:left w:w="120" w:type="dxa"/>
              <w:bottom w:w="30" w:type="dxa"/>
              <w:right w:w="120" w:type="dxa"/>
            </w:tcMar>
            <w:vAlign w:val="center"/>
          </w:tcPr>
          <w:p w14:paraId="4246B9BD">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319" w:type="dxa"/>
            <w:tcMar>
              <w:top w:w="60" w:type="dxa"/>
              <w:left w:w="120" w:type="dxa"/>
              <w:bottom w:w="30" w:type="dxa"/>
              <w:right w:w="120" w:type="dxa"/>
            </w:tcMar>
            <w:vAlign w:val="center"/>
          </w:tcPr>
          <w:p w14:paraId="1768EAFE">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321" w:type="dxa"/>
            <w:tcMar>
              <w:top w:w="60" w:type="dxa"/>
              <w:left w:w="120" w:type="dxa"/>
              <w:bottom w:w="30" w:type="dxa"/>
              <w:right w:w="120" w:type="dxa"/>
            </w:tcMar>
            <w:vAlign w:val="center"/>
          </w:tcPr>
          <w:p w14:paraId="47643139">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319" w:type="dxa"/>
            <w:tcMar>
              <w:top w:w="60" w:type="dxa"/>
              <w:left w:w="120" w:type="dxa"/>
              <w:bottom w:w="30" w:type="dxa"/>
              <w:right w:w="120" w:type="dxa"/>
            </w:tcMar>
            <w:vAlign w:val="center"/>
          </w:tcPr>
          <w:p w14:paraId="5AABA8A4">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321" w:type="dxa"/>
            <w:tcMar>
              <w:top w:w="60" w:type="dxa"/>
              <w:left w:w="120" w:type="dxa"/>
              <w:bottom w:w="30" w:type="dxa"/>
              <w:right w:w="120" w:type="dxa"/>
            </w:tcMar>
            <w:vAlign w:val="center"/>
          </w:tcPr>
          <w:p w14:paraId="6DDA0423">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157" w:type="dxa"/>
            <w:tcMar>
              <w:top w:w="60" w:type="dxa"/>
              <w:left w:w="120" w:type="dxa"/>
              <w:bottom w:w="30" w:type="dxa"/>
              <w:right w:w="120" w:type="dxa"/>
            </w:tcMar>
            <w:vAlign w:val="center"/>
          </w:tcPr>
          <w:p w14:paraId="60A86D7F">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157" w:type="dxa"/>
            <w:tcMar>
              <w:top w:w="60" w:type="dxa"/>
              <w:left w:w="120" w:type="dxa"/>
              <w:bottom w:w="30" w:type="dxa"/>
              <w:right w:w="120" w:type="dxa"/>
            </w:tcMar>
            <w:vAlign w:val="center"/>
          </w:tcPr>
          <w:p w14:paraId="4026912F">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157" w:type="dxa"/>
            <w:tcMar>
              <w:top w:w="60" w:type="dxa"/>
              <w:left w:w="120" w:type="dxa"/>
              <w:bottom w:w="30" w:type="dxa"/>
              <w:right w:w="120" w:type="dxa"/>
            </w:tcMar>
            <w:vAlign w:val="center"/>
          </w:tcPr>
          <w:p w14:paraId="22D069C2">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r>
      <w:tr w14:paraId="3F721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2" w:hRule="atLeast"/>
          <w:jc w:val="center"/>
        </w:trPr>
        <w:tc>
          <w:tcPr>
            <w:tcW w:w="1127" w:type="dxa"/>
            <w:tcMar>
              <w:top w:w="60" w:type="dxa"/>
              <w:left w:w="120" w:type="dxa"/>
              <w:bottom w:w="30" w:type="dxa"/>
              <w:right w:w="120" w:type="dxa"/>
            </w:tcMar>
            <w:vAlign w:val="center"/>
          </w:tcPr>
          <w:p w14:paraId="11C73240">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319" w:type="dxa"/>
            <w:tcMar>
              <w:top w:w="60" w:type="dxa"/>
              <w:left w:w="120" w:type="dxa"/>
              <w:bottom w:w="30" w:type="dxa"/>
              <w:right w:w="120" w:type="dxa"/>
            </w:tcMar>
            <w:vAlign w:val="center"/>
          </w:tcPr>
          <w:p w14:paraId="1AE35DA2">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321" w:type="dxa"/>
            <w:tcMar>
              <w:top w:w="60" w:type="dxa"/>
              <w:left w:w="120" w:type="dxa"/>
              <w:bottom w:w="30" w:type="dxa"/>
              <w:right w:w="120" w:type="dxa"/>
            </w:tcMar>
            <w:vAlign w:val="center"/>
          </w:tcPr>
          <w:p w14:paraId="22172020">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319" w:type="dxa"/>
            <w:tcMar>
              <w:top w:w="60" w:type="dxa"/>
              <w:left w:w="120" w:type="dxa"/>
              <w:bottom w:w="30" w:type="dxa"/>
              <w:right w:w="120" w:type="dxa"/>
            </w:tcMar>
            <w:vAlign w:val="center"/>
          </w:tcPr>
          <w:p w14:paraId="2B97887A">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321" w:type="dxa"/>
            <w:tcMar>
              <w:top w:w="60" w:type="dxa"/>
              <w:left w:w="120" w:type="dxa"/>
              <w:bottom w:w="30" w:type="dxa"/>
              <w:right w:w="120" w:type="dxa"/>
            </w:tcMar>
            <w:vAlign w:val="center"/>
          </w:tcPr>
          <w:p w14:paraId="4EF0AE26">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157" w:type="dxa"/>
            <w:tcMar>
              <w:top w:w="60" w:type="dxa"/>
              <w:left w:w="120" w:type="dxa"/>
              <w:bottom w:w="30" w:type="dxa"/>
              <w:right w:w="120" w:type="dxa"/>
            </w:tcMar>
            <w:vAlign w:val="center"/>
          </w:tcPr>
          <w:p w14:paraId="25B6D975">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157" w:type="dxa"/>
            <w:tcMar>
              <w:top w:w="60" w:type="dxa"/>
              <w:left w:w="120" w:type="dxa"/>
              <w:bottom w:w="30" w:type="dxa"/>
              <w:right w:w="120" w:type="dxa"/>
            </w:tcMar>
            <w:vAlign w:val="center"/>
          </w:tcPr>
          <w:p w14:paraId="33B0DBF5">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157" w:type="dxa"/>
            <w:tcMar>
              <w:top w:w="60" w:type="dxa"/>
              <w:left w:w="120" w:type="dxa"/>
              <w:bottom w:w="30" w:type="dxa"/>
              <w:right w:w="120" w:type="dxa"/>
            </w:tcMar>
            <w:vAlign w:val="center"/>
          </w:tcPr>
          <w:p w14:paraId="53F801CD">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r>
      <w:tr w14:paraId="2A67E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2" w:hRule="atLeast"/>
          <w:jc w:val="center"/>
        </w:trPr>
        <w:tc>
          <w:tcPr>
            <w:tcW w:w="1127" w:type="dxa"/>
            <w:tcMar>
              <w:top w:w="60" w:type="dxa"/>
              <w:left w:w="120" w:type="dxa"/>
              <w:bottom w:w="30" w:type="dxa"/>
              <w:right w:w="120" w:type="dxa"/>
            </w:tcMar>
            <w:vAlign w:val="center"/>
          </w:tcPr>
          <w:p w14:paraId="266F6F75">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319" w:type="dxa"/>
            <w:tcMar>
              <w:top w:w="60" w:type="dxa"/>
              <w:left w:w="120" w:type="dxa"/>
              <w:bottom w:w="30" w:type="dxa"/>
              <w:right w:w="120" w:type="dxa"/>
            </w:tcMar>
            <w:vAlign w:val="center"/>
          </w:tcPr>
          <w:p w14:paraId="441A7FB0">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321" w:type="dxa"/>
            <w:tcMar>
              <w:top w:w="60" w:type="dxa"/>
              <w:left w:w="120" w:type="dxa"/>
              <w:bottom w:w="30" w:type="dxa"/>
              <w:right w:w="120" w:type="dxa"/>
            </w:tcMar>
            <w:vAlign w:val="center"/>
          </w:tcPr>
          <w:p w14:paraId="0AE59DAF">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319" w:type="dxa"/>
            <w:tcMar>
              <w:top w:w="60" w:type="dxa"/>
              <w:left w:w="120" w:type="dxa"/>
              <w:bottom w:w="30" w:type="dxa"/>
              <w:right w:w="120" w:type="dxa"/>
            </w:tcMar>
            <w:vAlign w:val="center"/>
          </w:tcPr>
          <w:p w14:paraId="05B67C19">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321" w:type="dxa"/>
            <w:tcMar>
              <w:top w:w="60" w:type="dxa"/>
              <w:left w:w="120" w:type="dxa"/>
              <w:bottom w:w="30" w:type="dxa"/>
              <w:right w:w="120" w:type="dxa"/>
            </w:tcMar>
            <w:vAlign w:val="center"/>
          </w:tcPr>
          <w:p w14:paraId="3E90DDD8">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157" w:type="dxa"/>
            <w:tcMar>
              <w:top w:w="60" w:type="dxa"/>
              <w:left w:w="120" w:type="dxa"/>
              <w:bottom w:w="30" w:type="dxa"/>
              <w:right w:w="120" w:type="dxa"/>
            </w:tcMar>
            <w:vAlign w:val="center"/>
          </w:tcPr>
          <w:p w14:paraId="1021FDE6">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157" w:type="dxa"/>
            <w:tcMar>
              <w:top w:w="60" w:type="dxa"/>
              <w:left w:w="120" w:type="dxa"/>
              <w:bottom w:w="30" w:type="dxa"/>
              <w:right w:w="120" w:type="dxa"/>
            </w:tcMar>
            <w:vAlign w:val="center"/>
          </w:tcPr>
          <w:p w14:paraId="36FFB295">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157" w:type="dxa"/>
            <w:tcMar>
              <w:top w:w="60" w:type="dxa"/>
              <w:left w:w="120" w:type="dxa"/>
              <w:bottom w:w="30" w:type="dxa"/>
              <w:right w:w="120" w:type="dxa"/>
            </w:tcMar>
            <w:vAlign w:val="center"/>
          </w:tcPr>
          <w:p w14:paraId="24799C43">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r>
      <w:tr w14:paraId="5D869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2" w:hRule="atLeast"/>
          <w:jc w:val="center"/>
        </w:trPr>
        <w:tc>
          <w:tcPr>
            <w:tcW w:w="1127" w:type="dxa"/>
            <w:tcMar>
              <w:top w:w="60" w:type="dxa"/>
              <w:left w:w="120" w:type="dxa"/>
              <w:bottom w:w="30" w:type="dxa"/>
              <w:right w:w="120" w:type="dxa"/>
            </w:tcMar>
            <w:vAlign w:val="center"/>
          </w:tcPr>
          <w:p w14:paraId="5BB6B81F">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319" w:type="dxa"/>
            <w:tcMar>
              <w:top w:w="60" w:type="dxa"/>
              <w:left w:w="120" w:type="dxa"/>
              <w:bottom w:w="30" w:type="dxa"/>
              <w:right w:w="120" w:type="dxa"/>
            </w:tcMar>
            <w:vAlign w:val="center"/>
          </w:tcPr>
          <w:p w14:paraId="7EC6CEEA">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321" w:type="dxa"/>
            <w:tcMar>
              <w:top w:w="60" w:type="dxa"/>
              <w:left w:w="120" w:type="dxa"/>
              <w:bottom w:w="30" w:type="dxa"/>
              <w:right w:w="120" w:type="dxa"/>
            </w:tcMar>
            <w:vAlign w:val="center"/>
          </w:tcPr>
          <w:p w14:paraId="596DB006">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319" w:type="dxa"/>
            <w:tcMar>
              <w:top w:w="60" w:type="dxa"/>
              <w:left w:w="120" w:type="dxa"/>
              <w:bottom w:w="30" w:type="dxa"/>
              <w:right w:w="120" w:type="dxa"/>
            </w:tcMar>
            <w:vAlign w:val="center"/>
          </w:tcPr>
          <w:p w14:paraId="33E7AA5F">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321" w:type="dxa"/>
            <w:tcMar>
              <w:top w:w="60" w:type="dxa"/>
              <w:left w:w="120" w:type="dxa"/>
              <w:bottom w:w="30" w:type="dxa"/>
              <w:right w:w="120" w:type="dxa"/>
            </w:tcMar>
            <w:vAlign w:val="center"/>
          </w:tcPr>
          <w:p w14:paraId="17D468E3">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157" w:type="dxa"/>
            <w:tcMar>
              <w:top w:w="60" w:type="dxa"/>
              <w:left w:w="120" w:type="dxa"/>
              <w:bottom w:w="30" w:type="dxa"/>
              <w:right w:w="120" w:type="dxa"/>
            </w:tcMar>
            <w:vAlign w:val="center"/>
          </w:tcPr>
          <w:p w14:paraId="72196F7D">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157" w:type="dxa"/>
            <w:tcMar>
              <w:top w:w="60" w:type="dxa"/>
              <w:left w:w="120" w:type="dxa"/>
              <w:bottom w:w="30" w:type="dxa"/>
              <w:right w:w="120" w:type="dxa"/>
            </w:tcMar>
            <w:vAlign w:val="center"/>
          </w:tcPr>
          <w:p w14:paraId="2693A5B1">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157" w:type="dxa"/>
            <w:tcMar>
              <w:top w:w="60" w:type="dxa"/>
              <w:left w:w="120" w:type="dxa"/>
              <w:bottom w:w="30" w:type="dxa"/>
              <w:right w:w="120" w:type="dxa"/>
            </w:tcMar>
            <w:vAlign w:val="center"/>
          </w:tcPr>
          <w:p w14:paraId="2D103BCD">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r>
      <w:tr w14:paraId="5891B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2" w:hRule="atLeast"/>
          <w:jc w:val="center"/>
        </w:trPr>
        <w:tc>
          <w:tcPr>
            <w:tcW w:w="1127" w:type="dxa"/>
            <w:tcMar>
              <w:top w:w="60" w:type="dxa"/>
              <w:left w:w="120" w:type="dxa"/>
              <w:bottom w:w="30" w:type="dxa"/>
              <w:right w:w="120" w:type="dxa"/>
            </w:tcMar>
            <w:vAlign w:val="center"/>
          </w:tcPr>
          <w:p w14:paraId="5294125E">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319" w:type="dxa"/>
            <w:tcMar>
              <w:top w:w="60" w:type="dxa"/>
              <w:left w:w="120" w:type="dxa"/>
              <w:bottom w:w="30" w:type="dxa"/>
              <w:right w:w="120" w:type="dxa"/>
            </w:tcMar>
            <w:vAlign w:val="center"/>
          </w:tcPr>
          <w:p w14:paraId="230098EA">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321" w:type="dxa"/>
            <w:tcMar>
              <w:top w:w="60" w:type="dxa"/>
              <w:left w:w="120" w:type="dxa"/>
              <w:bottom w:w="30" w:type="dxa"/>
              <w:right w:w="120" w:type="dxa"/>
            </w:tcMar>
            <w:vAlign w:val="center"/>
          </w:tcPr>
          <w:p w14:paraId="424A296B">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319" w:type="dxa"/>
            <w:tcMar>
              <w:top w:w="60" w:type="dxa"/>
              <w:left w:w="120" w:type="dxa"/>
              <w:bottom w:w="30" w:type="dxa"/>
              <w:right w:w="120" w:type="dxa"/>
            </w:tcMar>
            <w:vAlign w:val="center"/>
          </w:tcPr>
          <w:p w14:paraId="72A6C1A5">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321" w:type="dxa"/>
            <w:tcMar>
              <w:top w:w="60" w:type="dxa"/>
              <w:left w:w="120" w:type="dxa"/>
              <w:bottom w:w="30" w:type="dxa"/>
              <w:right w:w="120" w:type="dxa"/>
            </w:tcMar>
            <w:vAlign w:val="center"/>
          </w:tcPr>
          <w:p w14:paraId="2FB292DA">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157" w:type="dxa"/>
            <w:tcMar>
              <w:top w:w="60" w:type="dxa"/>
              <w:left w:w="120" w:type="dxa"/>
              <w:bottom w:w="30" w:type="dxa"/>
              <w:right w:w="120" w:type="dxa"/>
            </w:tcMar>
            <w:vAlign w:val="center"/>
          </w:tcPr>
          <w:p w14:paraId="5B6B948F">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157" w:type="dxa"/>
            <w:tcMar>
              <w:top w:w="60" w:type="dxa"/>
              <w:left w:w="120" w:type="dxa"/>
              <w:bottom w:w="30" w:type="dxa"/>
              <w:right w:w="120" w:type="dxa"/>
            </w:tcMar>
            <w:vAlign w:val="center"/>
          </w:tcPr>
          <w:p w14:paraId="322FEA84">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157" w:type="dxa"/>
            <w:tcMar>
              <w:top w:w="60" w:type="dxa"/>
              <w:left w:w="120" w:type="dxa"/>
              <w:bottom w:w="30" w:type="dxa"/>
              <w:right w:w="120" w:type="dxa"/>
            </w:tcMar>
            <w:vAlign w:val="center"/>
          </w:tcPr>
          <w:p w14:paraId="00C1DBF4">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r>
      <w:tr w14:paraId="30F49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92" w:hRule="atLeast"/>
          <w:jc w:val="center"/>
        </w:trPr>
        <w:tc>
          <w:tcPr>
            <w:tcW w:w="1127" w:type="dxa"/>
            <w:tcMar>
              <w:top w:w="60" w:type="dxa"/>
              <w:left w:w="120" w:type="dxa"/>
              <w:bottom w:w="30" w:type="dxa"/>
              <w:right w:w="120" w:type="dxa"/>
            </w:tcMar>
            <w:vAlign w:val="center"/>
          </w:tcPr>
          <w:p w14:paraId="4194165D">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319" w:type="dxa"/>
            <w:tcMar>
              <w:top w:w="60" w:type="dxa"/>
              <w:left w:w="120" w:type="dxa"/>
              <w:bottom w:w="30" w:type="dxa"/>
              <w:right w:w="120" w:type="dxa"/>
            </w:tcMar>
            <w:vAlign w:val="center"/>
          </w:tcPr>
          <w:p w14:paraId="02FC22E7">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321" w:type="dxa"/>
            <w:tcMar>
              <w:top w:w="60" w:type="dxa"/>
              <w:left w:w="120" w:type="dxa"/>
              <w:bottom w:w="30" w:type="dxa"/>
              <w:right w:w="120" w:type="dxa"/>
            </w:tcMar>
            <w:vAlign w:val="center"/>
          </w:tcPr>
          <w:p w14:paraId="1C85B770">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319" w:type="dxa"/>
            <w:tcMar>
              <w:top w:w="60" w:type="dxa"/>
              <w:left w:w="120" w:type="dxa"/>
              <w:bottom w:w="30" w:type="dxa"/>
              <w:right w:w="120" w:type="dxa"/>
            </w:tcMar>
            <w:vAlign w:val="center"/>
          </w:tcPr>
          <w:p w14:paraId="7636D673">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321" w:type="dxa"/>
            <w:tcMar>
              <w:top w:w="60" w:type="dxa"/>
              <w:left w:w="120" w:type="dxa"/>
              <w:bottom w:w="30" w:type="dxa"/>
              <w:right w:w="120" w:type="dxa"/>
            </w:tcMar>
            <w:vAlign w:val="center"/>
          </w:tcPr>
          <w:p w14:paraId="751CEA3D">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157" w:type="dxa"/>
            <w:tcMar>
              <w:top w:w="60" w:type="dxa"/>
              <w:left w:w="120" w:type="dxa"/>
              <w:bottom w:w="30" w:type="dxa"/>
              <w:right w:w="120" w:type="dxa"/>
            </w:tcMar>
            <w:vAlign w:val="center"/>
          </w:tcPr>
          <w:p w14:paraId="77358FCA">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157" w:type="dxa"/>
            <w:tcMar>
              <w:top w:w="60" w:type="dxa"/>
              <w:left w:w="120" w:type="dxa"/>
              <w:bottom w:w="30" w:type="dxa"/>
              <w:right w:w="120" w:type="dxa"/>
            </w:tcMar>
            <w:vAlign w:val="center"/>
          </w:tcPr>
          <w:p w14:paraId="53BE4DDA">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157" w:type="dxa"/>
            <w:tcMar>
              <w:top w:w="60" w:type="dxa"/>
              <w:left w:w="120" w:type="dxa"/>
              <w:bottom w:w="30" w:type="dxa"/>
              <w:right w:w="120" w:type="dxa"/>
            </w:tcMar>
            <w:vAlign w:val="center"/>
          </w:tcPr>
          <w:p w14:paraId="25D6C5A7">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r>
      <w:tr w14:paraId="32BA2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18" w:hRule="atLeast"/>
          <w:jc w:val="center"/>
        </w:trPr>
        <w:tc>
          <w:tcPr>
            <w:tcW w:w="1127" w:type="dxa"/>
            <w:tcMar>
              <w:top w:w="60" w:type="dxa"/>
              <w:left w:w="120" w:type="dxa"/>
              <w:bottom w:w="30" w:type="dxa"/>
              <w:right w:w="120" w:type="dxa"/>
            </w:tcMar>
            <w:vAlign w:val="center"/>
          </w:tcPr>
          <w:p w14:paraId="57DE681F">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319" w:type="dxa"/>
            <w:tcMar>
              <w:top w:w="60" w:type="dxa"/>
              <w:left w:w="120" w:type="dxa"/>
              <w:bottom w:w="30" w:type="dxa"/>
              <w:right w:w="120" w:type="dxa"/>
            </w:tcMar>
            <w:vAlign w:val="center"/>
          </w:tcPr>
          <w:p w14:paraId="2BFCCD40">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321" w:type="dxa"/>
            <w:tcMar>
              <w:top w:w="60" w:type="dxa"/>
              <w:left w:w="120" w:type="dxa"/>
              <w:bottom w:w="30" w:type="dxa"/>
              <w:right w:w="120" w:type="dxa"/>
            </w:tcMar>
            <w:vAlign w:val="center"/>
          </w:tcPr>
          <w:p w14:paraId="16114000">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319" w:type="dxa"/>
            <w:tcMar>
              <w:top w:w="60" w:type="dxa"/>
              <w:left w:w="120" w:type="dxa"/>
              <w:bottom w:w="30" w:type="dxa"/>
              <w:right w:w="120" w:type="dxa"/>
            </w:tcMar>
            <w:vAlign w:val="center"/>
          </w:tcPr>
          <w:p w14:paraId="1147F222">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321" w:type="dxa"/>
            <w:tcMar>
              <w:top w:w="60" w:type="dxa"/>
              <w:left w:w="120" w:type="dxa"/>
              <w:bottom w:w="30" w:type="dxa"/>
              <w:right w:w="120" w:type="dxa"/>
            </w:tcMar>
            <w:vAlign w:val="center"/>
          </w:tcPr>
          <w:p w14:paraId="0472846D">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157" w:type="dxa"/>
            <w:tcMar>
              <w:top w:w="60" w:type="dxa"/>
              <w:left w:w="120" w:type="dxa"/>
              <w:bottom w:w="30" w:type="dxa"/>
              <w:right w:w="120" w:type="dxa"/>
            </w:tcMar>
            <w:vAlign w:val="center"/>
          </w:tcPr>
          <w:p w14:paraId="53FF72BF">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157" w:type="dxa"/>
            <w:tcMar>
              <w:top w:w="60" w:type="dxa"/>
              <w:left w:w="120" w:type="dxa"/>
              <w:bottom w:w="30" w:type="dxa"/>
              <w:right w:w="120" w:type="dxa"/>
            </w:tcMar>
            <w:vAlign w:val="center"/>
          </w:tcPr>
          <w:p w14:paraId="5C6B67C0">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c>
          <w:tcPr>
            <w:tcW w:w="1157" w:type="dxa"/>
            <w:tcMar>
              <w:top w:w="60" w:type="dxa"/>
              <w:left w:w="120" w:type="dxa"/>
              <w:bottom w:w="30" w:type="dxa"/>
              <w:right w:w="120" w:type="dxa"/>
            </w:tcMar>
            <w:vAlign w:val="center"/>
          </w:tcPr>
          <w:p w14:paraId="09CEC6F9">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18"/>
                <w:szCs w:val="18"/>
              </w:rPr>
            </w:pPr>
          </w:p>
        </w:tc>
      </w:tr>
    </w:tbl>
    <w:p w14:paraId="4201D501">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rPr>
          <w:rFonts w:hint="eastAsia" w:ascii="宋体" w:hAnsi="宋体" w:eastAsia="宋体" w:cs="宋体"/>
          <w:sz w:val="21"/>
          <w:szCs w:val="21"/>
        </w:rPr>
      </w:pPr>
    </w:p>
    <w:sectPr>
      <w:headerReference r:id="rId3" w:type="default"/>
      <w:footerReference r:id="rId4" w:type="default"/>
      <w:pgSz w:w="11905" w:h="1684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A2298"/>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90851B"/>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isplayHorizontalDrawingGridEvery w:val="1"/>
  <w:displayVerticalDrawingGridEvery w:val="1"/>
  <w:noPunctuationKerning w:val="1"/>
  <w:compat>
    <w:ulTrailSpace/>
    <w:doNotExpandShiftReturn/>
    <w:doNotWrapTextWithPunct/>
    <w:doNotUseEastAsianBreakRules/>
    <w:useFELayout/>
    <w:doNotUseIndentAsNumberingTabStop/>
    <w:splitPgBreakAndParaMark/>
    <w:compatSetting w:name="compatibilityMode" w:uri="http://schemas.microsoft.com/office/word" w:val="12"/>
  </w:compat>
  <w:rsids>
    <w:rsidRoot w:val="00000000"/>
    <w:rsid w:val="1E511145"/>
    <w:rsid w:val="2B8D6FCE"/>
    <w:rsid w:val="2BBB7BE2"/>
    <w:rsid w:val="321D6FE5"/>
    <w:rsid w:val="36E31F4C"/>
    <w:rsid w:val="435104CA"/>
    <w:rsid w:val="59F2083B"/>
    <w:rsid w:val="736163E7"/>
    <w:rsid w:val="750D1BC6"/>
    <w:rsid w:val="77AB1577"/>
    <w:rsid w:val="7C8140D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3637</Words>
  <Characters>3730</Characters>
  <TotalTime>45</TotalTime>
  <ScaleCrop>false</ScaleCrop>
  <LinksUpToDate>false</LinksUpToDate>
  <CharactersWithSpaces>4203</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2026-03-09T01:35:00Z</dcterms:created>
  <dc:creator>Apache POI</dc:creator>
  <cp:lastModifiedBy>a张媛</cp:lastModifiedBy>
  <dcterms:modified xsi:type="dcterms:W3CDTF">2026-05-07T08:42:33Z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eyJoZGlkIjoiMmRiN2Q0OTNkZDhmZDNkNTEzNGY0OTQxMDA4MmMyMzIiLCJ1c2VySWQiOiI4MDI0NDcxNDgifQ==</vt:lpwstr>
  </property>
  <property fmtid="{D5CDD505-2E9C-101B-9397-08002B2CF9AE}" pid="3" name="KSOProductBuildVer">
    <vt:lpwstr>2052-12.1.0.25865</vt:lpwstr>
  </property>
  <property fmtid="{D5CDD505-2E9C-101B-9397-08002B2CF9AE}" pid="4" name="ICV">
    <vt:lpwstr>F77F4A75570F4D85995FFEF140FBC78D_12</vt:lpwstr>
  </property>
</Properties>
</file>