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BDE9C0">
      <w:pPr>
        <w:keepNext w:val="0"/>
        <w:keepLines w:val="0"/>
        <w:pageBreakBefore w:val="0"/>
        <w:widowControl w:val="0"/>
        <w:kinsoku/>
        <w:wordWrap/>
        <w:overflowPunct/>
        <w:topLinePunct w:val="0"/>
        <w:autoSpaceDE/>
        <w:autoSpaceDN/>
        <w:bidi w:val="0"/>
        <w:adjustRightInd/>
        <w:snapToGrid/>
        <w:spacing w:after="157" w:afterLines="50" w:line="440" w:lineRule="exact"/>
        <w:jc w:val="center"/>
        <w:textAlignment w:val="auto"/>
        <w:rPr>
          <w:rFonts w:hint="eastAsia" w:ascii="宋体" w:hAnsi="宋体" w:eastAsia="宋体" w:cs="宋体"/>
          <w:b/>
          <w:bCs/>
          <w:color w:val="auto"/>
          <w:spacing w:val="-11"/>
          <w:sz w:val="32"/>
          <w:szCs w:val="32"/>
          <w:lang w:eastAsia="zh-CN"/>
        </w:rPr>
      </w:pPr>
      <w:r>
        <w:rPr>
          <w:rFonts w:hint="eastAsia" w:ascii="宋体" w:hAnsi="宋体" w:eastAsia="宋体" w:cs="宋体"/>
          <w:b/>
          <w:bCs/>
          <w:color w:val="auto"/>
          <w:spacing w:val="-11"/>
          <w:sz w:val="32"/>
          <w:szCs w:val="32"/>
          <w:lang w:eastAsia="zh-CN"/>
        </w:rPr>
        <w:t>白水县2026-2027学年度校园餐大宗食材政府采购项目（</w:t>
      </w:r>
      <w:r>
        <w:rPr>
          <w:rFonts w:hint="eastAsia" w:ascii="宋体" w:hAnsi="宋体" w:eastAsia="宋体" w:cs="宋体"/>
          <w:b/>
          <w:bCs/>
          <w:color w:val="auto"/>
          <w:spacing w:val="-11"/>
          <w:sz w:val="32"/>
          <w:szCs w:val="32"/>
          <w:lang w:val="en-US" w:eastAsia="zh-CN"/>
        </w:rPr>
        <w:t>二次</w:t>
      </w:r>
      <w:r>
        <w:rPr>
          <w:rFonts w:hint="eastAsia" w:ascii="宋体" w:hAnsi="宋体" w:eastAsia="宋体" w:cs="宋体"/>
          <w:b/>
          <w:bCs/>
          <w:color w:val="auto"/>
          <w:spacing w:val="-11"/>
          <w:sz w:val="32"/>
          <w:szCs w:val="32"/>
          <w:lang w:eastAsia="zh-CN"/>
        </w:rPr>
        <w:t>）</w:t>
      </w:r>
    </w:p>
    <w:p w14:paraId="1843A83E">
      <w:pPr>
        <w:keepNext w:val="0"/>
        <w:keepLines w:val="0"/>
        <w:pageBreakBefore w:val="0"/>
        <w:widowControl w:val="0"/>
        <w:kinsoku/>
        <w:wordWrap/>
        <w:overflowPunct/>
        <w:topLinePunct w:val="0"/>
        <w:autoSpaceDE/>
        <w:autoSpaceDN/>
        <w:bidi w:val="0"/>
        <w:adjustRightInd/>
        <w:snapToGrid/>
        <w:spacing w:after="157" w:afterLines="50" w:line="440" w:lineRule="exact"/>
        <w:jc w:val="center"/>
        <w:textAlignment w:val="auto"/>
        <w:rPr>
          <w:rFonts w:hint="eastAsia" w:ascii="宋体" w:hAnsi="宋体" w:eastAsia="宋体" w:cs="宋体"/>
          <w:b/>
          <w:bCs/>
          <w:color w:val="auto"/>
          <w:spacing w:val="-11"/>
          <w:sz w:val="32"/>
          <w:szCs w:val="32"/>
          <w:lang w:eastAsia="zh-CN"/>
        </w:rPr>
      </w:pPr>
      <w:r>
        <w:rPr>
          <w:rFonts w:hint="eastAsia" w:ascii="宋体" w:hAnsi="宋体" w:eastAsia="宋体" w:cs="宋体"/>
          <w:b/>
          <w:bCs/>
          <w:color w:val="auto"/>
          <w:spacing w:val="-11"/>
          <w:sz w:val="32"/>
          <w:szCs w:val="32"/>
          <w:lang w:eastAsia="zh-CN"/>
        </w:rPr>
        <w:t>采购需求</w:t>
      </w:r>
    </w:p>
    <w:p w14:paraId="789B4707">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一、项目概况及预算情况：</w:t>
      </w:r>
    </w:p>
    <w:p w14:paraId="27C8FAF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1.项目名称：白水县2026-2027学年度校园餐大宗食材政府采购项目（二次）</w:t>
      </w:r>
    </w:p>
    <w:p w14:paraId="6A57882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2.项目内容：</w:t>
      </w:r>
      <w:r>
        <w:rPr>
          <w:rFonts w:ascii="宋体" w:hAnsi="宋体" w:eastAsia="宋体" w:cs="宋体"/>
          <w:color w:val="auto"/>
          <w:kern w:val="0"/>
          <w:sz w:val="24"/>
          <w:szCs w:val="24"/>
          <w:lang w:val="en-US" w:eastAsia="zh-CN" w:bidi="ar"/>
        </w:rPr>
        <w:t>为白水县各中小学、幼儿园提供校园餐大宗食材供应服务，采购品类主要包含大米、小麦粉、食用菜籽油、鲜鸡蛋、各类生鲜肉类、纯牛奶，覆盖2026-2027全学年度日常供餐食材需求，保障师生膳食安全与营养供给。</w:t>
      </w:r>
    </w:p>
    <w:p w14:paraId="3DFF585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3.分包情况：采购项目共划分9个包，本次采购为其中的7个包。</w:t>
      </w:r>
    </w:p>
    <w:p w14:paraId="09A4053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4.预算资金：项目总预</w:t>
      </w:r>
      <w:bookmarkStart w:id="0" w:name="_GoBack"/>
      <w:bookmarkEnd w:id="0"/>
      <w:r>
        <w:rPr>
          <w:rFonts w:hint="eastAsia" w:ascii="宋体" w:hAnsi="宋体" w:eastAsia="宋体" w:cs="宋体"/>
          <w:color w:val="auto"/>
          <w:sz w:val="24"/>
          <w:szCs w:val="24"/>
          <w:lang w:val="en-US" w:eastAsia="zh-CN"/>
        </w:rPr>
        <w:t>算资金21000000.00元，二次采购总预算资金18500000.00元。二次采购的合同包1预算资金为1500000.00元，合同包2预算资金为3000000.00元，合同包3预算资金为3000000.00元，合同包4预算资金为3000000.00元，合同包5预算资金为6000000.00元，合同包6预算资金为1000000.00元，合同包7预算资金为1000000.00元。</w:t>
      </w:r>
    </w:p>
    <w:p w14:paraId="7CF6B02E">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二、采购标的具体情况：</w:t>
      </w:r>
    </w:p>
    <w:p w14:paraId="7D61779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1.采购方式：公开招标</w:t>
      </w:r>
    </w:p>
    <w:p w14:paraId="4AA7062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2.采购内容、数量：</w:t>
      </w:r>
    </w:p>
    <w:tbl>
      <w:tblPr>
        <w:tblStyle w:val="8"/>
        <w:tblW w:w="48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865"/>
        <w:gridCol w:w="807"/>
        <w:gridCol w:w="4690"/>
        <w:gridCol w:w="1923"/>
      </w:tblGrid>
      <w:tr w14:paraId="2CFA5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03" w:type="pct"/>
            <w:noWrap w:val="0"/>
            <w:vAlign w:val="center"/>
          </w:tcPr>
          <w:p w14:paraId="0DCAF68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mallCaps w:val="0"/>
                <w:color w:val="auto"/>
                <w:spacing w:val="0"/>
                <w:sz w:val="21"/>
                <w:szCs w:val="21"/>
              </w:rPr>
            </w:pPr>
            <w:r>
              <w:rPr>
                <w:rFonts w:hint="eastAsia" w:ascii="宋体" w:hAnsi="宋体" w:eastAsia="宋体" w:cs="宋体"/>
                <w:b/>
                <w:bCs/>
                <w:smallCaps w:val="0"/>
                <w:color w:val="auto"/>
                <w:spacing w:val="0"/>
                <w:sz w:val="21"/>
                <w:szCs w:val="21"/>
                <w:lang w:eastAsia="zh-CN"/>
              </w:rPr>
              <w:t>包</w:t>
            </w:r>
            <w:r>
              <w:rPr>
                <w:rFonts w:hint="eastAsia" w:ascii="宋体" w:hAnsi="宋体" w:eastAsia="宋体" w:cs="宋体"/>
                <w:b/>
                <w:bCs/>
                <w:smallCaps w:val="0"/>
                <w:color w:val="auto"/>
                <w:spacing w:val="0"/>
                <w:sz w:val="21"/>
                <w:szCs w:val="21"/>
              </w:rPr>
              <w:t>号</w:t>
            </w:r>
          </w:p>
        </w:tc>
        <w:tc>
          <w:tcPr>
            <w:tcW w:w="490" w:type="pct"/>
            <w:noWrap w:val="0"/>
            <w:vAlign w:val="center"/>
          </w:tcPr>
          <w:p w14:paraId="4556D0E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mallCaps w:val="0"/>
                <w:color w:val="auto"/>
                <w:spacing w:val="0"/>
                <w:sz w:val="21"/>
                <w:szCs w:val="21"/>
              </w:rPr>
            </w:pPr>
            <w:r>
              <w:rPr>
                <w:rFonts w:hint="eastAsia" w:ascii="宋体" w:hAnsi="宋体" w:eastAsia="宋体" w:cs="宋体"/>
                <w:b/>
                <w:bCs/>
                <w:smallCaps w:val="0"/>
                <w:color w:val="auto"/>
                <w:spacing w:val="0"/>
                <w:sz w:val="21"/>
                <w:szCs w:val="21"/>
              </w:rPr>
              <w:t>名称</w:t>
            </w:r>
          </w:p>
        </w:tc>
        <w:tc>
          <w:tcPr>
            <w:tcW w:w="3116" w:type="pct"/>
            <w:gridSpan w:val="2"/>
            <w:noWrap w:val="0"/>
            <w:vAlign w:val="center"/>
          </w:tcPr>
          <w:p w14:paraId="64224EE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mallCaps w:val="0"/>
                <w:color w:val="auto"/>
                <w:spacing w:val="0"/>
                <w:sz w:val="21"/>
                <w:szCs w:val="21"/>
              </w:rPr>
            </w:pPr>
            <w:r>
              <w:rPr>
                <w:rFonts w:hint="eastAsia" w:ascii="宋体" w:hAnsi="宋体" w:eastAsia="宋体" w:cs="宋体"/>
                <w:b/>
                <w:bCs/>
                <w:smallCaps w:val="0"/>
                <w:color w:val="auto"/>
                <w:spacing w:val="0"/>
                <w:sz w:val="21"/>
                <w:szCs w:val="21"/>
              </w:rPr>
              <w:t>规格参数要求</w:t>
            </w:r>
          </w:p>
        </w:tc>
        <w:tc>
          <w:tcPr>
            <w:tcW w:w="1090" w:type="pct"/>
            <w:noWrap w:val="0"/>
            <w:vAlign w:val="center"/>
          </w:tcPr>
          <w:p w14:paraId="2F04FFD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mallCaps w:val="0"/>
                <w:color w:val="auto"/>
                <w:spacing w:val="0"/>
                <w:sz w:val="21"/>
                <w:szCs w:val="21"/>
              </w:rPr>
            </w:pPr>
            <w:r>
              <w:rPr>
                <w:rFonts w:hint="eastAsia" w:ascii="宋体" w:hAnsi="宋体" w:eastAsia="宋体" w:cs="宋体"/>
                <w:b/>
                <w:bCs/>
                <w:smallCaps w:val="0"/>
                <w:color w:val="auto"/>
                <w:spacing w:val="0"/>
                <w:sz w:val="21"/>
                <w:szCs w:val="21"/>
              </w:rPr>
              <w:t>采购预算单价</w:t>
            </w:r>
          </w:p>
        </w:tc>
      </w:tr>
      <w:tr w14:paraId="6983C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303" w:type="pct"/>
            <w:vMerge w:val="restart"/>
            <w:noWrap w:val="0"/>
            <w:vAlign w:val="center"/>
          </w:tcPr>
          <w:p w14:paraId="4142D5F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eastAsia="zh-CN"/>
              </w:rPr>
              <w:t>合同包</w:t>
            </w:r>
            <w:r>
              <w:rPr>
                <w:rFonts w:hint="eastAsia" w:ascii="宋体" w:hAnsi="宋体" w:eastAsia="宋体" w:cs="宋体"/>
                <w:b w:val="0"/>
                <w:bCs w:val="0"/>
                <w:smallCaps w:val="0"/>
                <w:color w:val="auto"/>
                <w:spacing w:val="0"/>
                <w:sz w:val="21"/>
                <w:szCs w:val="21"/>
                <w:lang w:val="en-US" w:eastAsia="zh-CN"/>
              </w:rPr>
              <w:t>1</w:t>
            </w:r>
          </w:p>
        </w:tc>
        <w:tc>
          <w:tcPr>
            <w:tcW w:w="490" w:type="pct"/>
            <w:vMerge w:val="restart"/>
            <w:noWrap w:val="0"/>
            <w:vAlign w:val="center"/>
          </w:tcPr>
          <w:p w14:paraId="20DF3BB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r>
              <w:rPr>
                <w:rFonts w:hint="eastAsia" w:ascii="宋体" w:hAnsi="宋体" w:eastAsia="宋体" w:cs="宋体"/>
                <w:b w:val="0"/>
                <w:bCs w:val="0"/>
                <w:smallCaps w:val="0"/>
                <w:color w:val="auto"/>
                <w:spacing w:val="0"/>
                <w:sz w:val="21"/>
                <w:szCs w:val="21"/>
              </w:rPr>
              <w:t>米、面、油</w:t>
            </w:r>
            <w:r>
              <w:rPr>
                <w:rFonts w:hint="eastAsia" w:ascii="宋体" w:hAnsi="宋体" w:eastAsia="宋体" w:cs="宋体"/>
                <w:b w:val="0"/>
                <w:bCs w:val="0"/>
                <w:smallCaps w:val="0"/>
                <w:color w:val="auto"/>
                <w:spacing w:val="0"/>
                <w:sz w:val="21"/>
                <w:szCs w:val="21"/>
                <w:lang w:eastAsia="zh-CN"/>
              </w:rPr>
              <w:t>（B区）</w:t>
            </w:r>
          </w:p>
        </w:tc>
        <w:tc>
          <w:tcPr>
            <w:tcW w:w="457" w:type="pct"/>
            <w:noWrap w:val="0"/>
            <w:vAlign w:val="center"/>
          </w:tcPr>
          <w:p w14:paraId="1387552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kern w:val="2"/>
                <w:sz w:val="21"/>
                <w:szCs w:val="21"/>
                <w:lang w:val="en-US" w:eastAsia="zh-CN" w:bidi="ar-SA"/>
              </w:rPr>
            </w:pPr>
            <w:r>
              <w:rPr>
                <w:rFonts w:hint="eastAsia" w:ascii="宋体" w:hAnsi="宋体" w:eastAsia="宋体" w:cs="宋体"/>
                <w:b w:val="0"/>
                <w:bCs w:val="0"/>
                <w:smallCaps w:val="0"/>
                <w:color w:val="auto"/>
                <w:spacing w:val="0"/>
                <w:sz w:val="21"/>
                <w:szCs w:val="21"/>
              </w:rPr>
              <w:t>大米</w:t>
            </w:r>
          </w:p>
        </w:tc>
        <w:tc>
          <w:tcPr>
            <w:tcW w:w="2658" w:type="pct"/>
            <w:noWrap w:val="0"/>
            <w:vAlign w:val="center"/>
          </w:tcPr>
          <w:p w14:paraId="1FB1DF7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执行GB/T 1354-2018《大米》，一级粳米。承诺不使用转基因原料。符合GB 2715-2016《食品安全国家标准 粮食》。颗粒均匀，无霉变、无虫蛀、无异味，杜绝陈化粮。杂质、脂肪酸值等各项理化指标符合新粮质量要求。供货时须提供该批次原粮的《产地证明》或《新粮入库检化验单》，明确标注收获年份。生产企业持有有效期内SC食品生产许可证，许可范围包含大米生产。投标时提供生产企业投标截止日前12个月内具备CMA资质第三方机构出具的产品型式检验报告；供货时随货提供对应批次出厂检验合格报告。单袋净含量≥25kg，包装完好无破损、无泄漏。产品标签标识清晰齐全，符合GB 7718-2011《食品安全国家标准 预包装食品标签通则》及后续有效修订版。</w:t>
            </w:r>
          </w:p>
        </w:tc>
        <w:tc>
          <w:tcPr>
            <w:tcW w:w="1090" w:type="pct"/>
            <w:noWrap w:val="0"/>
            <w:vAlign w:val="center"/>
          </w:tcPr>
          <w:p w14:paraId="4FC8C4E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136.75</w:t>
            </w:r>
            <w:r>
              <w:rPr>
                <w:rFonts w:hint="eastAsia" w:ascii="宋体" w:hAnsi="宋体" w:eastAsia="宋体" w:cs="宋体"/>
                <w:b w:val="0"/>
                <w:bCs w:val="0"/>
                <w:smallCaps w:val="0"/>
                <w:color w:val="auto"/>
                <w:spacing w:val="0"/>
                <w:sz w:val="21"/>
                <w:szCs w:val="21"/>
              </w:rPr>
              <w:t>元/袋</w:t>
            </w:r>
          </w:p>
        </w:tc>
      </w:tr>
      <w:tr w14:paraId="50E9A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303" w:type="pct"/>
            <w:vMerge w:val="continue"/>
            <w:noWrap w:val="0"/>
            <w:vAlign w:val="center"/>
          </w:tcPr>
          <w:p w14:paraId="48C7600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rPr>
            </w:pPr>
          </w:p>
        </w:tc>
        <w:tc>
          <w:tcPr>
            <w:tcW w:w="490" w:type="pct"/>
            <w:vMerge w:val="continue"/>
            <w:noWrap w:val="0"/>
            <w:vAlign w:val="center"/>
          </w:tcPr>
          <w:p w14:paraId="59F49CB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rPr>
            </w:pPr>
          </w:p>
        </w:tc>
        <w:tc>
          <w:tcPr>
            <w:tcW w:w="457" w:type="pct"/>
            <w:noWrap w:val="0"/>
            <w:vAlign w:val="center"/>
          </w:tcPr>
          <w:p w14:paraId="18D179E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kern w:val="2"/>
                <w:sz w:val="21"/>
                <w:szCs w:val="22"/>
                <w:lang w:val="en-US" w:eastAsia="zh-CN" w:bidi="ar-SA"/>
              </w:rPr>
            </w:pPr>
            <w:r>
              <w:rPr>
                <w:rFonts w:hint="eastAsia" w:ascii="宋体" w:hAnsi="宋体" w:eastAsia="宋体" w:cs="宋体"/>
                <w:b w:val="0"/>
                <w:bCs w:val="0"/>
                <w:smallCaps w:val="0"/>
                <w:color w:val="auto"/>
                <w:spacing w:val="0"/>
                <w:sz w:val="21"/>
                <w:szCs w:val="21"/>
              </w:rPr>
              <w:t>小麦粉</w:t>
            </w:r>
          </w:p>
        </w:tc>
        <w:tc>
          <w:tcPr>
            <w:tcW w:w="2658" w:type="pct"/>
            <w:noWrap w:val="0"/>
            <w:vAlign w:val="center"/>
          </w:tcPr>
          <w:p w14:paraId="6FFAC55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执行GB/T 1355-2021《小麦粉》，特制一等小麦粉。承诺不使用转基因原料。符合GB 2715-2016《食品安全国家标准 粮食》。粉质均匀松散，无结块、无霉变、无异味，感官、理化指标全部满足国标要求。严禁添加任何增白剂（如过氧化苯甲酰等）。若使用其他食品添加剂（如偶氮甲酰胺等），须在标签中明示添加成分及含量，符合GB 2760-2024《食品安全国家标准 食品添加剂使用标准》限量规定。生产企业持有有效期内SC食品生产许可证，许可范围包含小麦粉生产。投标时提供生产企业投标截止日前12个月内具备CMA资质第三方机构出具的产品型式检验报告；供货时随货提供对应批次出厂检验合格报告。单袋净含量≥25kg，外包装完好。产品标签标识规范清晰，符合GB 7718-2011《食品安全国家标准 预包装食品标签通则》及后续有效修订版。</w:t>
            </w:r>
          </w:p>
        </w:tc>
        <w:tc>
          <w:tcPr>
            <w:tcW w:w="1090" w:type="pct"/>
            <w:noWrap w:val="0"/>
            <w:vAlign w:val="center"/>
          </w:tcPr>
          <w:p w14:paraId="4513B14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91.40</w:t>
            </w:r>
            <w:r>
              <w:rPr>
                <w:rFonts w:hint="eastAsia" w:ascii="宋体" w:hAnsi="宋体" w:eastAsia="宋体" w:cs="宋体"/>
                <w:b w:val="0"/>
                <w:bCs w:val="0"/>
                <w:smallCaps w:val="0"/>
                <w:color w:val="auto"/>
                <w:spacing w:val="0"/>
                <w:sz w:val="21"/>
                <w:szCs w:val="21"/>
              </w:rPr>
              <w:t>元/袋</w:t>
            </w:r>
          </w:p>
        </w:tc>
      </w:tr>
      <w:tr w14:paraId="028A9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303" w:type="pct"/>
            <w:vMerge w:val="continue"/>
            <w:noWrap w:val="0"/>
            <w:vAlign w:val="center"/>
          </w:tcPr>
          <w:p w14:paraId="75DE052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490" w:type="pct"/>
            <w:vMerge w:val="continue"/>
            <w:noWrap w:val="0"/>
            <w:vAlign w:val="center"/>
          </w:tcPr>
          <w:p w14:paraId="040BABB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457" w:type="pct"/>
            <w:noWrap w:val="0"/>
            <w:vAlign w:val="center"/>
          </w:tcPr>
          <w:p w14:paraId="6924BA0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kern w:val="2"/>
                <w:sz w:val="21"/>
                <w:szCs w:val="22"/>
                <w:lang w:val="en-US" w:eastAsia="zh-CN" w:bidi="ar-SA"/>
              </w:rPr>
            </w:pPr>
            <w:r>
              <w:rPr>
                <w:rFonts w:hint="eastAsia" w:ascii="宋体" w:hAnsi="宋体" w:eastAsia="宋体" w:cs="宋体"/>
                <w:b w:val="0"/>
                <w:bCs w:val="0"/>
                <w:smallCaps w:val="0"/>
                <w:color w:val="auto"/>
                <w:spacing w:val="0"/>
                <w:sz w:val="21"/>
                <w:szCs w:val="21"/>
              </w:rPr>
              <w:t>菜籽油</w:t>
            </w:r>
          </w:p>
        </w:tc>
        <w:tc>
          <w:tcPr>
            <w:tcW w:w="2658" w:type="pct"/>
            <w:noWrap w:val="0"/>
            <w:vAlign w:val="center"/>
          </w:tcPr>
          <w:p w14:paraId="5ADB60AC">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执行GB/T 1536-2021《菜籽油》，非转基因一级压榨菜籽油。符合GB 2716-2018《食品安全国家标准 植物油》。油品澄清透明、无异味，质量与卫生指标满足国标。供货时须随货提供该批次油品的“脂肪酸组成”检验数据（棕榈酸、亚油酸、α-亚麻酸等特征指标），需符合GB/T 1536-2021附录A中纯菜籽油的固有范围，以此作为判定纯压榨菜籽油的重要依据，严禁以任何形式掺混其他植物油或使用调和油冒充。生产企业持有有效期内SC食品生产许可证，许可范围包含食用植物油生产。投标时提供生产企业投标截止日前12个月内具备CMA资质第三方机构出具的产品型式检验报告；供货时随货提供对应批次出厂检验合格报告（须包含脂肪酸组成项目）。单桶净含量≥5L，容器密封完好、无渗漏、无浑浊沉淀。交货产品剩余保质期不低于产品总保质期的2/3。外包装及产品标签信息完整规范，符合GB 7718-2011《食品安全国家标准 预包装食品标签通则》及后续有效修订版。</w:t>
            </w:r>
          </w:p>
        </w:tc>
        <w:tc>
          <w:tcPr>
            <w:tcW w:w="1090" w:type="pct"/>
            <w:noWrap w:val="0"/>
            <w:vAlign w:val="center"/>
          </w:tcPr>
          <w:p w14:paraId="44AC13D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76.50</w:t>
            </w:r>
            <w:r>
              <w:rPr>
                <w:rFonts w:hint="eastAsia" w:ascii="宋体" w:hAnsi="宋体" w:eastAsia="宋体" w:cs="宋体"/>
                <w:b w:val="0"/>
                <w:bCs w:val="0"/>
                <w:smallCaps w:val="0"/>
                <w:color w:val="auto"/>
                <w:spacing w:val="0"/>
                <w:sz w:val="21"/>
                <w:szCs w:val="21"/>
              </w:rPr>
              <w:t>元/桶</w:t>
            </w:r>
          </w:p>
        </w:tc>
      </w:tr>
      <w:tr w14:paraId="42D31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303" w:type="pct"/>
            <w:vMerge w:val="restart"/>
            <w:noWrap w:val="0"/>
            <w:vAlign w:val="center"/>
          </w:tcPr>
          <w:p w14:paraId="3362E08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kern w:val="2"/>
                <w:sz w:val="21"/>
                <w:szCs w:val="21"/>
                <w:lang w:val="en-US" w:eastAsia="zh-CN" w:bidi="ar-SA"/>
              </w:rPr>
            </w:pPr>
            <w:r>
              <w:rPr>
                <w:rFonts w:hint="eastAsia" w:ascii="宋体" w:hAnsi="宋体" w:eastAsia="宋体" w:cs="宋体"/>
                <w:b w:val="0"/>
                <w:bCs w:val="0"/>
                <w:smallCaps w:val="0"/>
                <w:color w:val="auto"/>
                <w:spacing w:val="0"/>
                <w:sz w:val="21"/>
                <w:szCs w:val="21"/>
                <w:lang w:eastAsia="zh-CN"/>
              </w:rPr>
              <w:t>合同包</w:t>
            </w:r>
            <w:r>
              <w:rPr>
                <w:rFonts w:hint="eastAsia" w:ascii="宋体" w:hAnsi="宋体" w:eastAsia="宋体" w:cs="宋体"/>
                <w:b w:val="0"/>
                <w:bCs w:val="0"/>
                <w:smallCaps w:val="0"/>
                <w:color w:val="auto"/>
                <w:spacing w:val="0"/>
                <w:sz w:val="21"/>
                <w:szCs w:val="21"/>
                <w:lang w:val="en-US" w:eastAsia="zh-CN"/>
              </w:rPr>
              <w:t>2</w:t>
            </w:r>
          </w:p>
        </w:tc>
        <w:tc>
          <w:tcPr>
            <w:tcW w:w="490" w:type="pct"/>
            <w:vMerge w:val="restart"/>
            <w:noWrap w:val="0"/>
            <w:vAlign w:val="center"/>
          </w:tcPr>
          <w:p w14:paraId="088A0CD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kern w:val="2"/>
                <w:sz w:val="21"/>
                <w:szCs w:val="21"/>
                <w:lang w:val="en-US" w:eastAsia="zh-CN" w:bidi="ar-SA"/>
              </w:rPr>
            </w:pPr>
            <w:r>
              <w:rPr>
                <w:rFonts w:hint="eastAsia" w:ascii="宋体" w:hAnsi="宋体" w:eastAsia="宋体" w:cs="宋体"/>
                <w:b w:val="0"/>
                <w:bCs w:val="0"/>
                <w:smallCaps w:val="0"/>
                <w:color w:val="auto"/>
                <w:spacing w:val="0"/>
                <w:sz w:val="21"/>
                <w:szCs w:val="21"/>
              </w:rPr>
              <w:t>米、面、油</w:t>
            </w:r>
            <w:r>
              <w:rPr>
                <w:rFonts w:hint="eastAsia" w:ascii="宋体" w:hAnsi="宋体" w:eastAsia="宋体" w:cs="宋体"/>
                <w:b w:val="0"/>
                <w:bCs w:val="0"/>
                <w:smallCaps w:val="0"/>
                <w:color w:val="auto"/>
                <w:spacing w:val="0"/>
                <w:sz w:val="21"/>
                <w:szCs w:val="21"/>
                <w:lang w:eastAsia="zh-CN"/>
              </w:rPr>
              <w:t>（C区）</w:t>
            </w:r>
          </w:p>
        </w:tc>
        <w:tc>
          <w:tcPr>
            <w:tcW w:w="457" w:type="pct"/>
            <w:noWrap w:val="0"/>
            <w:vAlign w:val="center"/>
          </w:tcPr>
          <w:p w14:paraId="5503B6F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kern w:val="2"/>
                <w:sz w:val="21"/>
                <w:szCs w:val="21"/>
                <w:lang w:val="en-US" w:eastAsia="zh-CN" w:bidi="ar-SA"/>
              </w:rPr>
            </w:pPr>
            <w:r>
              <w:rPr>
                <w:rFonts w:hint="eastAsia" w:ascii="宋体" w:hAnsi="宋体" w:eastAsia="宋体" w:cs="宋体"/>
                <w:b w:val="0"/>
                <w:bCs w:val="0"/>
                <w:smallCaps w:val="0"/>
                <w:color w:val="auto"/>
                <w:spacing w:val="0"/>
                <w:sz w:val="21"/>
                <w:szCs w:val="21"/>
              </w:rPr>
              <w:t>大米</w:t>
            </w:r>
          </w:p>
        </w:tc>
        <w:tc>
          <w:tcPr>
            <w:tcW w:w="2658" w:type="pct"/>
            <w:noWrap w:val="0"/>
            <w:vAlign w:val="center"/>
          </w:tcPr>
          <w:p w14:paraId="11673C79">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宋体" w:hAnsi="宋体" w:eastAsia="宋体" w:cs="宋体"/>
                <w:b w:val="0"/>
                <w:bCs w:val="0"/>
                <w:smallCaps w:val="0"/>
                <w:color w:val="auto"/>
                <w:spacing w:val="0"/>
                <w:kern w:val="2"/>
                <w:sz w:val="21"/>
                <w:szCs w:val="21"/>
                <w:lang w:val="en-US" w:eastAsia="zh-CN" w:bidi="ar-SA"/>
              </w:rPr>
            </w:pPr>
            <w:r>
              <w:rPr>
                <w:rFonts w:hint="eastAsia" w:ascii="宋体" w:hAnsi="宋体" w:eastAsia="宋体" w:cs="宋体"/>
                <w:b w:val="0"/>
                <w:bCs w:val="0"/>
                <w:smallCaps w:val="0"/>
                <w:color w:val="auto"/>
                <w:spacing w:val="0"/>
                <w:sz w:val="21"/>
                <w:szCs w:val="21"/>
                <w:lang w:val="en-US" w:eastAsia="zh-CN"/>
              </w:rPr>
              <w:t>执行GB/T 1354-2018《大米》，一级粳米。承诺不使用转基因原料。符合GB 2715-2016《食品安全国家标准 粮食》。颗粒均匀，无霉变、无虫蛀、无异味，杜绝陈化粮。杂质、脂肪酸值等各项理化指标符合新粮质量要求。供货时须提供该批次原粮的《产地证明》或《新粮入库检化验单》，明确标注收获年份。生产企业持有有效期内SC食品生产许可证，许可范围包含大米生产。投标时提供生产企业投标截止日前12个月内具备CMA资质第三方机构出具的产品型式检验报告；供货时随货提供对应批次出厂检验合格报告。单袋净含量≥25kg，包装完好无破损、无泄漏。产品标签标识清晰齐全，符合GB 7718-2011《食品安全国家标准 预包装食品标签通则》及后续有效修订版。</w:t>
            </w:r>
          </w:p>
        </w:tc>
        <w:tc>
          <w:tcPr>
            <w:tcW w:w="1090" w:type="pct"/>
            <w:noWrap w:val="0"/>
            <w:vAlign w:val="center"/>
          </w:tcPr>
          <w:p w14:paraId="380ED55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kern w:val="2"/>
                <w:sz w:val="21"/>
                <w:szCs w:val="21"/>
                <w:lang w:val="en-US" w:eastAsia="zh-CN" w:bidi="ar-SA"/>
              </w:rPr>
            </w:pPr>
            <w:r>
              <w:rPr>
                <w:rFonts w:hint="eastAsia" w:ascii="宋体" w:hAnsi="宋体" w:eastAsia="宋体" w:cs="宋体"/>
                <w:b w:val="0"/>
                <w:bCs w:val="0"/>
                <w:smallCaps w:val="0"/>
                <w:color w:val="auto"/>
                <w:spacing w:val="0"/>
                <w:sz w:val="21"/>
                <w:szCs w:val="21"/>
                <w:lang w:val="en-US" w:eastAsia="zh-CN"/>
              </w:rPr>
              <w:t>136.75</w:t>
            </w:r>
            <w:r>
              <w:rPr>
                <w:rFonts w:hint="eastAsia" w:ascii="宋体" w:hAnsi="宋体" w:eastAsia="宋体" w:cs="宋体"/>
                <w:b w:val="0"/>
                <w:bCs w:val="0"/>
                <w:smallCaps w:val="0"/>
                <w:color w:val="auto"/>
                <w:spacing w:val="0"/>
                <w:sz w:val="21"/>
                <w:szCs w:val="21"/>
              </w:rPr>
              <w:t>元/袋</w:t>
            </w:r>
          </w:p>
        </w:tc>
      </w:tr>
      <w:tr w14:paraId="03BCD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303" w:type="pct"/>
            <w:vMerge w:val="continue"/>
            <w:noWrap w:val="0"/>
            <w:vAlign w:val="center"/>
          </w:tcPr>
          <w:p w14:paraId="2CDB1E8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490" w:type="pct"/>
            <w:vMerge w:val="continue"/>
            <w:noWrap w:val="0"/>
            <w:vAlign w:val="center"/>
          </w:tcPr>
          <w:p w14:paraId="30773F6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457" w:type="pct"/>
            <w:noWrap w:val="0"/>
            <w:vAlign w:val="center"/>
          </w:tcPr>
          <w:p w14:paraId="44FF08F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kern w:val="2"/>
                <w:sz w:val="21"/>
                <w:szCs w:val="22"/>
                <w:lang w:val="en-US" w:eastAsia="zh-CN" w:bidi="ar-SA"/>
              </w:rPr>
            </w:pPr>
            <w:r>
              <w:rPr>
                <w:rFonts w:hint="eastAsia" w:ascii="宋体" w:hAnsi="宋体" w:eastAsia="宋体" w:cs="宋体"/>
                <w:b w:val="0"/>
                <w:bCs w:val="0"/>
                <w:smallCaps w:val="0"/>
                <w:color w:val="auto"/>
                <w:spacing w:val="0"/>
                <w:sz w:val="21"/>
                <w:szCs w:val="21"/>
              </w:rPr>
              <w:t>小麦粉</w:t>
            </w:r>
          </w:p>
        </w:tc>
        <w:tc>
          <w:tcPr>
            <w:tcW w:w="2658" w:type="pct"/>
            <w:noWrap w:val="0"/>
            <w:vAlign w:val="center"/>
          </w:tcPr>
          <w:p w14:paraId="0A29CDF3">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宋体" w:hAnsi="宋体" w:eastAsia="宋体" w:cs="宋体"/>
                <w:b w:val="0"/>
                <w:bCs w:val="0"/>
                <w:color w:val="auto"/>
                <w:kern w:val="2"/>
                <w:sz w:val="21"/>
                <w:szCs w:val="22"/>
                <w:lang w:val="en-US" w:eastAsia="zh-CN" w:bidi="ar-SA"/>
              </w:rPr>
            </w:pPr>
            <w:r>
              <w:rPr>
                <w:rFonts w:hint="eastAsia" w:ascii="宋体" w:hAnsi="宋体" w:eastAsia="宋体" w:cs="宋体"/>
                <w:b w:val="0"/>
                <w:bCs w:val="0"/>
                <w:smallCaps w:val="0"/>
                <w:color w:val="auto"/>
                <w:spacing w:val="0"/>
                <w:sz w:val="21"/>
                <w:szCs w:val="21"/>
                <w:lang w:val="en-US" w:eastAsia="zh-CN"/>
              </w:rPr>
              <w:t>执行GB/T 1355-2021《小麦粉》，特制一等小麦粉。承诺不使用转基因原料。符合GB 2715-2016《食品安全国家标准 粮食》。粉质均匀松散，无结块、无霉变、无异味，感官、理化指标全部满足国标要求。严禁添加任何增白剂（如过氧化苯甲酰等）。若使用其他食品添加剂（如偶氮甲酰胺等），须在标签中明示添加成分及含量，符合GB 2760-2024《食品安全国家标准 食品添加剂使用标准》限量规定。生产企业持有有效期内SC食品生产许可证，许可范围包含小麦粉生产。投标时提供生产企业投标截止日前12个月内具备CMA资质第三方机构出具的产品型式检验报告；供货时随货提供对应批次出厂检验合格报告。单袋净含量≥25kg，外包装完好。产品标签标识规范清晰，符合GB 7718-2011《食品安全国家标准 预包装食品标签通则》及后续有效修订版。</w:t>
            </w:r>
          </w:p>
        </w:tc>
        <w:tc>
          <w:tcPr>
            <w:tcW w:w="1090" w:type="pct"/>
            <w:noWrap w:val="0"/>
            <w:vAlign w:val="center"/>
          </w:tcPr>
          <w:p w14:paraId="556AF3B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kern w:val="2"/>
                <w:sz w:val="21"/>
                <w:szCs w:val="21"/>
                <w:lang w:val="en-US" w:eastAsia="zh-CN" w:bidi="ar-SA"/>
              </w:rPr>
            </w:pPr>
            <w:r>
              <w:rPr>
                <w:rFonts w:hint="eastAsia" w:ascii="宋体" w:hAnsi="宋体" w:eastAsia="宋体" w:cs="宋体"/>
                <w:b w:val="0"/>
                <w:bCs w:val="0"/>
                <w:smallCaps w:val="0"/>
                <w:color w:val="auto"/>
                <w:spacing w:val="0"/>
                <w:sz w:val="21"/>
                <w:szCs w:val="21"/>
                <w:lang w:val="en-US" w:eastAsia="zh-CN"/>
              </w:rPr>
              <w:t>91.40</w:t>
            </w:r>
            <w:r>
              <w:rPr>
                <w:rFonts w:hint="eastAsia" w:ascii="宋体" w:hAnsi="宋体" w:eastAsia="宋体" w:cs="宋体"/>
                <w:b w:val="0"/>
                <w:bCs w:val="0"/>
                <w:smallCaps w:val="0"/>
                <w:color w:val="auto"/>
                <w:spacing w:val="0"/>
                <w:sz w:val="21"/>
                <w:szCs w:val="21"/>
              </w:rPr>
              <w:t>元/袋</w:t>
            </w:r>
          </w:p>
        </w:tc>
      </w:tr>
      <w:tr w14:paraId="1E6E1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303" w:type="pct"/>
            <w:vMerge w:val="continue"/>
            <w:noWrap w:val="0"/>
            <w:vAlign w:val="center"/>
          </w:tcPr>
          <w:p w14:paraId="2704E97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490" w:type="pct"/>
            <w:vMerge w:val="continue"/>
            <w:noWrap w:val="0"/>
            <w:vAlign w:val="center"/>
          </w:tcPr>
          <w:p w14:paraId="63B74A4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457" w:type="pct"/>
            <w:noWrap w:val="0"/>
            <w:vAlign w:val="center"/>
          </w:tcPr>
          <w:p w14:paraId="5AAFCC1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kern w:val="2"/>
                <w:sz w:val="21"/>
                <w:szCs w:val="22"/>
                <w:lang w:val="en-US" w:eastAsia="zh-CN" w:bidi="ar-SA"/>
              </w:rPr>
            </w:pPr>
            <w:r>
              <w:rPr>
                <w:rFonts w:hint="eastAsia" w:ascii="宋体" w:hAnsi="宋体" w:eastAsia="宋体" w:cs="宋体"/>
                <w:b w:val="0"/>
                <w:bCs w:val="0"/>
                <w:smallCaps w:val="0"/>
                <w:color w:val="auto"/>
                <w:spacing w:val="0"/>
                <w:sz w:val="21"/>
                <w:szCs w:val="21"/>
              </w:rPr>
              <w:t>菜籽油</w:t>
            </w:r>
          </w:p>
        </w:tc>
        <w:tc>
          <w:tcPr>
            <w:tcW w:w="2658" w:type="pct"/>
            <w:noWrap w:val="0"/>
            <w:vAlign w:val="center"/>
          </w:tcPr>
          <w:p w14:paraId="1E36E4E2">
            <w:pPr>
              <w:keepNext w:val="0"/>
              <w:keepLines w:val="0"/>
              <w:pageBreakBefore w:val="0"/>
              <w:widowControl w:val="0"/>
              <w:kinsoku/>
              <w:wordWrap/>
              <w:overflowPunct/>
              <w:topLinePunct w:val="0"/>
              <w:autoSpaceDE/>
              <w:autoSpaceDN/>
              <w:bidi w:val="0"/>
              <w:adjustRightInd/>
              <w:snapToGrid/>
              <w:spacing w:line="290" w:lineRule="exact"/>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执行GB/T 1536-2021《菜籽油》，非转基因一级压榨菜籽油。符合GB 2716-2018《食品安全国家标准 植物油》。油品澄清透明、无异味，质量与卫生指标满足国标。供货时须随货提供该批次油品的“脂肪酸组成”检验数据（棕榈酸、亚油酸、α-亚麻酸等特征指标），需符合GB/T 1536-2021附录A中纯菜籽油的固有范围，以此作为判定纯压榨菜籽油的重要依据，严禁以任何形式掺混其他植物油或使用调和油冒充。生产企业持有有效期内SC食品生产许可证，许可范围包含食用植物油生产。投标时提供生产企业投标截止日前12个月内具备CMA资质第三方机构出具的产品型式检验报告；供货时随货提供对应批次出厂检验合格报告（须包含脂肪酸组成项目）。单桶净含量≥5L，容器密封完好、无渗漏、无浑浊沉淀。交货产品剩余保质期不低于产品总保质期的2/3。外包装及产品标签信息完整规范，符合GB 7718-2011《食品安全国家标准 预包装食品标签通则》及后续有效修订版。</w:t>
            </w:r>
          </w:p>
        </w:tc>
        <w:tc>
          <w:tcPr>
            <w:tcW w:w="1090" w:type="pct"/>
            <w:noWrap w:val="0"/>
            <w:vAlign w:val="center"/>
          </w:tcPr>
          <w:p w14:paraId="10D171A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kern w:val="2"/>
                <w:sz w:val="21"/>
                <w:szCs w:val="21"/>
                <w:lang w:val="en-US" w:eastAsia="zh-CN" w:bidi="ar-SA"/>
              </w:rPr>
            </w:pPr>
            <w:r>
              <w:rPr>
                <w:rFonts w:hint="eastAsia" w:ascii="宋体" w:hAnsi="宋体" w:eastAsia="宋体" w:cs="宋体"/>
                <w:b w:val="0"/>
                <w:bCs w:val="0"/>
                <w:smallCaps w:val="0"/>
                <w:color w:val="auto"/>
                <w:spacing w:val="0"/>
                <w:sz w:val="21"/>
                <w:szCs w:val="21"/>
                <w:lang w:val="en-US" w:eastAsia="zh-CN"/>
              </w:rPr>
              <w:t>76.50</w:t>
            </w:r>
            <w:r>
              <w:rPr>
                <w:rFonts w:hint="eastAsia" w:ascii="宋体" w:hAnsi="宋体" w:eastAsia="宋体" w:cs="宋体"/>
                <w:b w:val="0"/>
                <w:bCs w:val="0"/>
                <w:smallCaps w:val="0"/>
                <w:color w:val="auto"/>
                <w:spacing w:val="0"/>
                <w:sz w:val="21"/>
                <w:szCs w:val="21"/>
              </w:rPr>
              <w:t>元/桶</w:t>
            </w:r>
          </w:p>
        </w:tc>
      </w:tr>
      <w:tr w14:paraId="5F77A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7" w:hRule="atLeast"/>
          <w:jc w:val="center"/>
        </w:trPr>
        <w:tc>
          <w:tcPr>
            <w:tcW w:w="303" w:type="pct"/>
            <w:vMerge w:val="restart"/>
            <w:noWrap w:val="0"/>
            <w:vAlign w:val="center"/>
          </w:tcPr>
          <w:p w14:paraId="569CD18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eastAsia="zh-CN"/>
              </w:rPr>
              <w:t>合同包</w:t>
            </w:r>
            <w:r>
              <w:rPr>
                <w:rFonts w:hint="eastAsia" w:ascii="宋体" w:hAnsi="宋体" w:eastAsia="宋体" w:cs="宋体"/>
                <w:b w:val="0"/>
                <w:bCs w:val="0"/>
                <w:smallCaps w:val="0"/>
                <w:color w:val="auto"/>
                <w:spacing w:val="0"/>
                <w:sz w:val="21"/>
                <w:szCs w:val="21"/>
                <w:lang w:val="en-US" w:eastAsia="zh-CN"/>
              </w:rPr>
              <w:t>3</w:t>
            </w:r>
          </w:p>
        </w:tc>
        <w:tc>
          <w:tcPr>
            <w:tcW w:w="490" w:type="pct"/>
            <w:vMerge w:val="restart"/>
            <w:noWrap w:val="0"/>
            <w:vAlign w:val="center"/>
          </w:tcPr>
          <w:p w14:paraId="636CD50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rPr>
            </w:pPr>
            <w:r>
              <w:rPr>
                <w:rFonts w:hint="eastAsia" w:ascii="宋体" w:hAnsi="宋体" w:eastAsia="宋体" w:cs="宋体"/>
                <w:b w:val="0"/>
                <w:bCs w:val="0"/>
                <w:smallCaps w:val="0"/>
                <w:color w:val="auto"/>
                <w:spacing w:val="0"/>
                <w:sz w:val="21"/>
                <w:szCs w:val="21"/>
              </w:rPr>
              <w:t>鸡蛋、肉</w:t>
            </w:r>
            <w:r>
              <w:rPr>
                <w:rFonts w:hint="eastAsia" w:ascii="宋体" w:hAnsi="宋体" w:eastAsia="宋体" w:cs="宋体"/>
                <w:b w:val="0"/>
                <w:bCs w:val="0"/>
                <w:smallCaps w:val="0"/>
                <w:color w:val="auto"/>
                <w:spacing w:val="0"/>
                <w:sz w:val="21"/>
                <w:szCs w:val="21"/>
                <w:lang w:eastAsia="zh-CN"/>
              </w:rPr>
              <w:t>（A区）</w:t>
            </w:r>
          </w:p>
        </w:tc>
        <w:tc>
          <w:tcPr>
            <w:tcW w:w="457" w:type="pct"/>
            <w:noWrap w:val="0"/>
            <w:vAlign w:val="center"/>
          </w:tcPr>
          <w:p w14:paraId="6745D02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r>
              <w:rPr>
                <w:rFonts w:hint="eastAsia" w:ascii="宋体" w:hAnsi="宋体" w:eastAsia="宋体" w:cs="宋体"/>
                <w:b w:val="0"/>
                <w:bCs w:val="0"/>
                <w:smallCaps w:val="0"/>
                <w:color w:val="auto"/>
                <w:spacing w:val="0"/>
                <w:sz w:val="21"/>
                <w:szCs w:val="21"/>
                <w:lang w:val="en-US" w:eastAsia="zh-CN"/>
              </w:rPr>
              <w:t>鲜鸡蛋</w:t>
            </w:r>
          </w:p>
        </w:tc>
        <w:tc>
          <w:tcPr>
            <w:tcW w:w="2658" w:type="pct"/>
            <w:noWrap w:val="0"/>
            <w:vAlign w:val="center"/>
          </w:tcPr>
          <w:p w14:paraId="1757F444">
            <w:pPr>
              <w:keepNext w:val="0"/>
              <w:keepLines w:val="0"/>
              <w:pageBreakBefore w:val="0"/>
              <w:widowControl w:val="0"/>
              <w:kinsoku/>
              <w:wordWrap/>
              <w:overflowPunct/>
              <w:topLinePunct w:val="0"/>
              <w:autoSpaceDE/>
              <w:autoSpaceDN/>
              <w:bidi w:val="0"/>
              <w:adjustRightInd/>
              <w:snapToGrid/>
              <w:spacing w:line="290" w:lineRule="exact"/>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符合GB 2749-2015《食品安全国家标准 蛋与蛋制品》；推荐参考GB/T 39222-2020《鲜鸡蛋》。单枚重量≥55g（大号蛋）。蛋壳完整洁净，污渍少，无散黄、无变质、无异味，到货破损率≤1%。投标时提供投标截止日前12个月内具备CMA资质第三方机构出具的鲜鸡蛋型式检验报告。货源来自非疫区规模化蛋鸡养殖场，投标时须提供养殖场动物防疫条件合格证或备案相关材料。供应商具备稳定供货能力与全程冷链配送条件。运输及贮存温度须全程控制在0℃～10℃之间（参考鲜鸡蛋储运规范），配送车辆配备实时温度监测及记录功能，物流信息可追溯。</w:t>
            </w:r>
          </w:p>
        </w:tc>
        <w:tc>
          <w:tcPr>
            <w:tcW w:w="1090" w:type="pct"/>
            <w:noWrap w:val="0"/>
            <w:vAlign w:val="center"/>
          </w:tcPr>
          <w:p w14:paraId="4B2F7BF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r>
              <w:rPr>
                <w:rFonts w:hint="eastAsia" w:ascii="宋体" w:hAnsi="宋体" w:eastAsia="宋体" w:cs="宋体"/>
                <w:b w:val="0"/>
                <w:bCs w:val="0"/>
                <w:smallCaps w:val="0"/>
                <w:color w:val="auto"/>
                <w:spacing w:val="0"/>
                <w:sz w:val="21"/>
                <w:szCs w:val="21"/>
                <w:lang w:val="en-US" w:eastAsia="zh-CN"/>
              </w:rPr>
              <w:t>5.61</w:t>
            </w:r>
            <w:r>
              <w:rPr>
                <w:rFonts w:hint="eastAsia" w:ascii="宋体" w:hAnsi="宋体" w:eastAsia="宋体" w:cs="宋体"/>
                <w:b w:val="0"/>
                <w:bCs w:val="0"/>
                <w:smallCaps w:val="0"/>
                <w:color w:val="auto"/>
                <w:spacing w:val="0"/>
                <w:sz w:val="21"/>
                <w:szCs w:val="21"/>
              </w:rPr>
              <w:t>元/斤</w:t>
            </w:r>
          </w:p>
        </w:tc>
      </w:tr>
      <w:tr w14:paraId="29E06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303" w:type="pct"/>
            <w:vMerge w:val="continue"/>
            <w:noWrap w:val="0"/>
            <w:vAlign w:val="center"/>
          </w:tcPr>
          <w:p w14:paraId="1BDFD9F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rPr>
            </w:pPr>
          </w:p>
        </w:tc>
        <w:tc>
          <w:tcPr>
            <w:tcW w:w="490" w:type="pct"/>
            <w:vMerge w:val="continue"/>
            <w:noWrap w:val="0"/>
            <w:vAlign w:val="center"/>
          </w:tcPr>
          <w:p w14:paraId="161DB30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rPr>
            </w:pPr>
          </w:p>
        </w:tc>
        <w:tc>
          <w:tcPr>
            <w:tcW w:w="457" w:type="pct"/>
            <w:vMerge w:val="restart"/>
            <w:noWrap w:val="0"/>
            <w:vAlign w:val="center"/>
          </w:tcPr>
          <w:p w14:paraId="5259666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eastAsia="zh-CN"/>
              </w:rPr>
            </w:pPr>
            <w:r>
              <w:rPr>
                <w:rFonts w:hint="eastAsia" w:ascii="宋体" w:hAnsi="宋体" w:eastAsia="宋体" w:cs="宋体"/>
                <w:b w:val="0"/>
                <w:bCs w:val="0"/>
                <w:smallCaps w:val="0"/>
                <w:color w:val="auto"/>
                <w:spacing w:val="0"/>
                <w:sz w:val="21"/>
                <w:szCs w:val="21"/>
                <w:lang w:val="en-US" w:eastAsia="zh-CN"/>
              </w:rPr>
              <w:t>各类生鲜肉类</w:t>
            </w:r>
          </w:p>
        </w:tc>
        <w:tc>
          <w:tcPr>
            <w:tcW w:w="2658" w:type="pct"/>
            <w:vMerge w:val="restart"/>
            <w:noWrap w:val="0"/>
            <w:vAlign w:val="center"/>
          </w:tcPr>
          <w:p w14:paraId="6673F98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符合GB 2707-2016《食品安全国家标准 鲜（冻）畜、禽产品》。肉质新鲜，有正常光泽，无变质、酸败异味，无大面积淤血、病变组织，严禁注水肉、病死畜禽肉。每批次供货随货提供《动物检疫合格证明》、《肉品品质检验合格证》。投标时提供投标截止日前12个月内具备CMA资质第三方机构出具的型式检验报告。采购人有权不定期抽样送检。牛羊肉屠宰后采用0℃～4℃低温成熟（排酸）工艺处理，供应商提供加工工艺承诺。鲜肉屠宰后全程0℃～4℃冷链配送。冷藏运输车辆配备实时温度监控及GPS定位，温度记录留存可溯源。到货时肉品中心温度须≤4℃（牛羊肉中心温度≤3℃），验收时采购人采用探针或红外温度计随机抽检，不合格批次直接拒收。供应商须具备配套冷藏仓储设施，保障食材新鲜。</w:t>
            </w:r>
          </w:p>
        </w:tc>
        <w:tc>
          <w:tcPr>
            <w:tcW w:w="1090" w:type="pct"/>
            <w:noWrap w:val="0"/>
            <w:vAlign w:val="center"/>
          </w:tcPr>
          <w:p w14:paraId="1FA2947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精瘦肉12.9元/斤</w:t>
            </w:r>
          </w:p>
        </w:tc>
      </w:tr>
      <w:tr w14:paraId="2E5D4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303" w:type="pct"/>
            <w:vMerge w:val="continue"/>
            <w:noWrap w:val="0"/>
            <w:vAlign w:val="center"/>
          </w:tcPr>
          <w:p w14:paraId="3EB1A76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rPr>
            </w:pPr>
          </w:p>
        </w:tc>
        <w:tc>
          <w:tcPr>
            <w:tcW w:w="490" w:type="pct"/>
            <w:vMerge w:val="continue"/>
            <w:noWrap w:val="0"/>
            <w:vAlign w:val="center"/>
          </w:tcPr>
          <w:p w14:paraId="791B714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rPr>
            </w:pPr>
          </w:p>
        </w:tc>
        <w:tc>
          <w:tcPr>
            <w:tcW w:w="457" w:type="pct"/>
            <w:vMerge w:val="continue"/>
            <w:noWrap w:val="0"/>
            <w:vAlign w:val="center"/>
          </w:tcPr>
          <w:p w14:paraId="1478C9C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2658" w:type="pct"/>
            <w:vMerge w:val="continue"/>
            <w:noWrap w:val="0"/>
            <w:vAlign w:val="center"/>
          </w:tcPr>
          <w:p w14:paraId="4433DF17">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宋体" w:hAnsi="宋体" w:eastAsia="宋体" w:cs="宋体"/>
                <w:b w:val="0"/>
                <w:bCs w:val="0"/>
                <w:smallCaps w:val="0"/>
                <w:color w:val="auto"/>
                <w:spacing w:val="0"/>
                <w:sz w:val="21"/>
                <w:szCs w:val="21"/>
              </w:rPr>
            </w:pPr>
          </w:p>
        </w:tc>
        <w:tc>
          <w:tcPr>
            <w:tcW w:w="1090" w:type="pct"/>
            <w:noWrap w:val="0"/>
            <w:vAlign w:val="center"/>
          </w:tcPr>
          <w:p w14:paraId="5B8153B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kern w:val="2"/>
                <w:sz w:val="21"/>
                <w:szCs w:val="21"/>
                <w:lang w:val="en-US" w:eastAsia="zh-CN" w:bidi="ar-SA"/>
              </w:rPr>
            </w:pPr>
            <w:r>
              <w:rPr>
                <w:rFonts w:hint="eastAsia" w:ascii="宋体" w:hAnsi="宋体" w:eastAsia="宋体" w:cs="宋体"/>
                <w:b w:val="0"/>
                <w:bCs w:val="0"/>
                <w:smallCaps w:val="0"/>
                <w:color w:val="auto"/>
                <w:spacing w:val="0"/>
                <w:sz w:val="21"/>
                <w:szCs w:val="21"/>
                <w:lang w:val="en-US" w:eastAsia="zh-CN"/>
              </w:rPr>
              <w:t>五花肉8.92元/斤</w:t>
            </w:r>
          </w:p>
        </w:tc>
      </w:tr>
      <w:tr w14:paraId="27318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303" w:type="pct"/>
            <w:vMerge w:val="continue"/>
            <w:noWrap w:val="0"/>
            <w:vAlign w:val="center"/>
          </w:tcPr>
          <w:p w14:paraId="119F4CF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rPr>
            </w:pPr>
          </w:p>
        </w:tc>
        <w:tc>
          <w:tcPr>
            <w:tcW w:w="490" w:type="pct"/>
            <w:vMerge w:val="continue"/>
            <w:noWrap w:val="0"/>
            <w:vAlign w:val="center"/>
          </w:tcPr>
          <w:p w14:paraId="2196628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rPr>
            </w:pPr>
          </w:p>
        </w:tc>
        <w:tc>
          <w:tcPr>
            <w:tcW w:w="457" w:type="pct"/>
            <w:vMerge w:val="continue"/>
            <w:noWrap w:val="0"/>
            <w:vAlign w:val="center"/>
          </w:tcPr>
          <w:p w14:paraId="061D099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rPr>
            </w:pPr>
          </w:p>
        </w:tc>
        <w:tc>
          <w:tcPr>
            <w:tcW w:w="2658" w:type="pct"/>
            <w:vMerge w:val="continue"/>
            <w:noWrap w:val="0"/>
            <w:vAlign w:val="center"/>
          </w:tcPr>
          <w:p w14:paraId="2C738CCB">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宋体" w:hAnsi="宋体" w:eastAsia="宋体" w:cs="宋体"/>
                <w:b w:val="0"/>
                <w:bCs w:val="0"/>
                <w:smallCaps w:val="0"/>
                <w:color w:val="auto"/>
                <w:spacing w:val="0"/>
                <w:sz w:val="21"/>
                <w:szCs w:val="21"/>
              </w:rPr>
            </w:pPr>
          </w:p>
        </w:tc>
        <w:tc>
          <w:tcPr>
            <w:tcW w:w="1090" w:type="pct"/>
            <w:noWrap w:val="0"/>
            <w:vAlign w:val="center"/>
          </w:tcPr>
          <w:p w14:paraId="75651F2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kern w:val="2"/>
                <w:sz w:val="21"/>
                <w:szCs w:val="21"/>
                <w:lang w:val="en-US" w:eastAsia="zh-CN" w:bidi="ar-SA"/>
              </w:rPr>
            </w:pPr>
            <w:r>
              <w:rPr>
                <w:rFonts w:hint="eastAsia" w:ascii="宋体" w:hAnsi="宋体" w:eastAsia="宋体" w:cs="宋体"/>
                <w:b w:val="0"/>
                <w:bCs w:val="0"/>
                <w:smallCaps w:val="0"/>
                <w:color w:val="auto"/>
                <w:spacing w:val="0"/>
                <w:sz w:val="21"/>
                <w:szCs w:val="21"/>
                <w:lang w:val="en-US" w:eastAsia="zh-CN"/>
              </w:rPr>
              <w:t>后腿肉8.72元/斤</w:t>
            </w:r>
          </w:p>
        </w:tc>
      </w:tr>
      <w:tr w14:paraId="54DF5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03" w:type="pct"/>
            <w:vMerge w:val="continue"/>
            <w:noWrap w:val="0"/>
            <w:vAlign w:val="center"/>
          </w:tcPr>
          <w:p w14:paraId="6ED145E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rPr>
            </w:pPr>
          </w:p>
        </w:tc>
        <w:tc>
          <w:tcPr>
            <w:tcW w:w="490" w:type="pct"/>
            <w:vMerge w:val="continue"/>
            <w:noWrap w:val="0"/>
            <w:vAlign w:val="center"/>
          </w:tcPr>
          <w:p w14:paraId="1038EB9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rPr>
            </w:pPr>
          </w:p>
        </w:tc>
        <w:tc>
          <w:tcPr>
            <w:tcW w:w="457" w:type="pct"/>
            <w:vMerge w:val="continue"/>
            <w:noWrap w:val="0"/>
            <w:vAlign w:val="center"/>
          </w:tcPr>
          <w:p w14:paraId="7BA1920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rPr>
            </w:pPr>
          </w:p>
        </w:tc>
        <w:tc>
          <w:tcPr>
            <w:tcW w:w="2658" w:type="pct"/>
            <w:vMerge w:val="continue"/>
            <w:noWrap w:val="0"/>
            <w:vAlign w:val="center"/>
          </w:tcPr>
          <w:p w14:paraId="56D352A2">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宋体" w:hAnsi="宋体" w:eastAsia="宋体" w:cs="宋体"/>
                <w:b w:val="0"/>
                <w:bCs w:val="0"/>
                <w:smallCaps w:val="0"/>
                <w:color w:val="auto"/>
                <w:spacing w:val="0"/>
                <w:sz w:val="21"/>
                <w:szCs w:val="21"/>
              </w:rPr>
            </w:pPr>
          </w:p>
        </w:tc>
        <w:tc>
          <w:tcPr>
            <w:tcW w:w="1090" w:type="pct"/>
            <w:noWrap w:val="0"/>
            <w:vAlign w:val="center"/>
          </w:tcPr>
          <w:p w14:paraId="1019D56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排骨14.70元/斤（精）</w:t>
            </w:r>
          </w:p>
        </w:tc>
      </w:tr>
      <w:tr w14:paraId="4C554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303" w:type="pct"/>
            <w:vMerge w:val="continue"/>
            <w:noWrap w:val="0"/>
            <w:vAlign w:val="center"/>
          </w:tcPr>
          <w:p w14:paraId="5E3059F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rPr>
            </w:pPr>
          </w:p>
        </w:tc>
        <w:tc>
          <w:tcPr>
            <w:tcW w:w="490" w:type="pct"/>
            <w:vMerge w:val="continue"/>
            <w:noWrap w:val="0"/>
            <w:vAlign w:val="center"/>
          </w:tcPr>
          <w:p w14:paraId="75AA810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rPr>
            </w:pPr>
          </w:p>
        </w:tc>
        <w:tc>
          <w:tcPr>
            <w:tcW w:w="457" w:type="pct"/>
            <w:vMerge w:val="continue"/>
            <w:noWrap w:val="0"/>
            <w:vAlign w:val="center"/>
          </w:tcPr>
          <w:p w14:paraId="48D1913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rPr>
            </w:pPr>
          </w:p>
        </w:tc>
        <w:tc>
          <w:tcPr>
            <w:tcW w:w="2658" w:type="pct"/>
            <w:vMerge w:val="continue"/>
            <w:noWrap w:val="0"/>
            <w:vAlign w:val="center"/>
          </w:tcPr>
          <w:p w14:paraId="51600779">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宋体" w:hAnsi="宋体" w:eastAsia="宋体" w:cs="宋体"/>
                <w:b w:val="0"/>
                <w:bCs w:val="0"/>
                <w:smallCaps w:val="0"/>
                <w:color w:val="auto"/>
                <w:spacing w:val="0"/>
                <w:sz w:val="21"/>
                <w:szCs w:val="21"/>
              </w:rPr>
            </w:pPr>
          </w:p>
        </w:tc>
        <w:tc>
          <w:tcPr>
            <w:tcW w:w="1090" w:type="pct"/>
            <w:noWrap w:val="0"/>
            <w:vAlign w:val="center"/>
          </w:tcPr>
          <w:p w14:paraId="739DFD6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kern w:val="2"/>
                <w:sz w:val="21"/>
                <w:szCs w:val="21"/>
                <w:lang w:val="en-US" w:eastAsia="zh-CN" w:bidi="ar-SA"/>
              </w:rPr>
            </w:pPr>
            <w:r>
              <w:rPr>
                <w:rFonts w:hint="eastAsia" w:ascii="宋体" w:hAnsi="宋体" w:eastAsia="宋体" w:cs="宋体"/>
                <w:b w:val="0"/>
                <w:bCs w:val="0"/>
                <w:smallCaps w:val="0"/>
                <w:color w:val="auto"/>
                <w:spacing w:val="0"/>
                <w:sz w:val="21"/>
                <w:szCs w:val="21"/>
                <w:lang w:val="en-US" w:eastAsia="zh-CN"/>
              </w:rPr>
              <w:t>鸡脯肉8.5元/斤</w:t>
            </w:r>
          </w:p>
        </w:tc>
      </w:tr>
      <w:tr w14:paraId="08241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303" w:type="pct"/>
            <w:vMerge w:val="continue"/>
            <w:noWrap w:val="0"/>
            <w:vAlign w:val="center"/>
          </w:tcPr>
          <w:p w14:paraId="026C1DE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rPr>
            </w:pPr>
          </w:p>
        </w:tc>
        <w:tc>
          <w:tcPr>
            <w:tcW w:w="490" w:type="pct"/>
            <w:vMerge w:val="continue"/>
            <w:noWrap w:val="0"/>
            <w:vAlign w:val="center"/>
          </w:tcPr>
          <w:p w14:paraId="5B7E863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rPr>
            </w:pPr>
          </w:p>
        </w:tc>
        <w:tc>
          <w:tcPr>
            <w:tcW w:w="457" w:type="pct"/>
            <w:vMerge w:val="continue"/>
            <w:noWrap w:val="0"/>
            <w:vAlign w:val="center"/>
          </w:tcPr>
          <w:p w14:paraId="01546B1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rPr>
            </w:pPr>
          </w:p>
        </w:tc>
        <w:tc>
          <w:tcPr>
            <w:tcW w:w="2658" w:type="pct"/>
            <w:vMerge w:val="continue"/>
            <w:noWrap w:val="0"/>
            <w:vAlign w:val="center"/>
          </w:tcPr>
          <w:p w14:paraId="27C92216">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宋体" w:hAnsi="宋体" w:eastAsia="宋体" w:cs="宋体"/>
                <w:b w:val="0"/>
                <w:bCs w:val="0"/>
                <w:smallCaps w:val="0"/>
                <w:color w:val="auto"/>
                <w:spacing w:val="0"/>
                <w:sz w:val="21"/>
                <w:szCs w:val="21"/>
              </w:rPr>
            </w:pPr>
          </w:p>
        </w:tc>
        <w:tc>
          <w:tcPr>
            <w:tcW w:w="1090" w:type="pct"/>
            <w:noWrap w:val="0"/>
            <w:vAlign w:val="center"/>
          </w:tcPr>
          <w:p w14:paraId="647B4E0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鸡腿7.56元/斤</w:t>
            </w:r>
          </w:p>
        </w:tc>
      </w:tr>
      <w:tr w14:paraId="04EDA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03" w:type="pct"/>
            <w:vMerge w:val="continue"/>
            <w:noWrap w:val="0"/>
            <w:vAlign w:val="center"/>
          </w:tcPr>
          <w:p w14:paraId="6C8DE6B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rPr>
            </w:pPr>
          </w:p>
        </w:tc>
        <w:tc>
          <w:tcPr>
            <w:tcW w:w="490" w:type="pct"/>
            <w:vMerge w:val="continue"/>
            <w:noWrap w:val="0"/>
            <w:vAlign w:val="center"/>
          </w:tcPr>
          <w:p w14:paraId="48625AA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rPr>
            </w:pPr>
          </w:p>
        </w:tc>
        <w:tc>
          <w:tcPr>
            <w:tcW w:w="457" w:type="pct"/>
            <w:vMerge w:val="continue"/>
            <w:noWrap w:val="0"/>
            <w:vAlign w:val="center"/>
          </w:tcPr>
          <w:p w14:paraId="4803E93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rPr>
            </w:pPr>
          </w:p>
        </w:tc>
        <w:tc>
          <w:tcPr>
            <w:tcW w:w="2658" w:type="pct"/>
            <w:vMerge w:val="continue"/>
            <w:noWrap w:val="0"/>
            <w:vAlign w:val="center"/>
          </w:tcPr>
          <w:p w14:paraId="4226760D">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宋体" w:hAnsi="宋体" w:eastAsia="宋体" w:cs="宋体"/>
                <w:b w:val="0"/>
                <w:bCs w:val="0"/>
                <w:smallCaps w:val="0"/>
                <w:color w:val="auto"/>
                <w:spacing w:val="0"/>
                <w:sz w:val="21"/>
                <w:szCs w:val="21"/>
              </w:rPr>
            </w:pPr>
          </w:p>
        </w:tc>
        <w:tc>
          <w:tcPr>
            <w:tcW w:w="1090" w:type="pct"/>
            <w:noWrap w:val="0"/>
            <w:vAlign w:val="center"/>
          </w:tcPr>
          <w:p w14:paraId="27FD9A5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i/>
                <w:iCs/>
                <w:smallCaps w:val="0"/>
                <w:color w:val="auto"/>
                <w:spacing w:val="0"/>
                <w:sz w:val="21"/>
                <w:szCs w:val="21"/>
                <w:lang w:val="en-US" w:eastAsia="zh-CN"/>
              </w:rPr>
            </w:pPr>
            <w:r>
              <w:rPr>
                <w:rFonts w:hint="eastAsia" w:ascii="宋体" w:hAnsi="宋体" w:eastAsia="宋体" w:cs="宋体"/>
                <w:b w:val="0"/>
                <w:bCs w:val="0"/>
                <w:i w:val="0"/>
                <w:iCs w:val="0"/>
                <w:smallCaps w:val="0"/>
                <w:color w:val="auto"/>
                <w:spacing w:val="0"/>
                <w:sz w:val="21"/>
                <w:szCs w:val="21"/>
                <w:lang w:val="en-US" w:eastAsia="zh-CN"/>
              </w:rPr>
              <w:t>生牛肉38.33元/斤（去骨）</w:t>
            </w:r>
          </w:p>
        </w:tc>
      </w:tr>
      <w:tr w14:paraId="6E627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6" w:hRule="atLeast"/>
          <w:jc w:val="center"/>
        </w:trPr>
        <w:tc>
          <w:tcPr>
            <w:tcW w:w="303" w:type="pct"/>
            <w:vMerge w:val="continue"/>
            <w:noWrap w:val="0"/>
            <w:vAlign w:val="center"/>
          </w:tcPr>
          <w:p w14:paraId="5482DDA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rPr>
            </w:pPr>
          </w:p>
        </w:tc>
        <w:tc>
          <w:tcPr>
            <w:tcW w:w="490" w:type="pct"/>
            <w:vMerge w:val="continue"/>
            <w:noWrap w:val="0"/>
            <w:vAlign w:val="center"/>
          </w:tcPr>
          <w:p w14:paraId="6CF129B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rPr>
            </w:pPr>
          </w:p>
        </w:tc>
        <w:tc>
          <w:tcPr>
            <w:tcW w:w="457" w:type="pct"/>
            <w:vMerge w:val="continue"/>
            <w:noWrap w:val="0"/>
            <w:vAlign w:val="center"/>
          </w:tcPr>
          <w:p w14:paraId="7BEED8D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rPr>
            </w:pPr>
          </w:p>
        </w:tc>
        <w:tc>
          <w:tcPr>
            <w:tcW w:w="2658" w:type="pct"/>
            <w:vMerge w:val="continue"/>
            <w:noWrap w:val="0"/>
            <w:vAlign w:val="center"/>
          </w:tcPr>
          <w:p w14:paraId="3E583B56">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宋体" w:hAnsi="宋体" w:eastAsia="宋体" w:cs="宋体"/>
                <w:b w:val="0"/>
                <w:bCs w:val="0"/>
                <w:smallCaps w:val="0"/>
                <w:color w:val="auto"/>
                <w:spacing w:val="0"/>
                <w:sz w:val="21"/>
                <w:szCs w:val="21"/>
              </w:rPr>
            </w:pPr>
          </w:p>
        </w:tc>
        <w:tc>
          <w:tcPr>
            <w:tcW w:w="1090" w:type="pct"/>
            <w:noWrap w:val="0"/>
            <w:vAlign w:val="center"/>
          </w:tcPr>
          <w:p w14:paraId="66F842B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i w:val="0"/>
                <w:iCs w:val="0"/>
                <w:smallCaps w:val="0"/>
                <w:color w:val="auto"/>
                <w:spacing w:val="0"/>
                <w:sz w:val="21"/>
                <w:szCs w:val="21"/>
                <w:lang w:val="en-US" w:eastAsia="zh-CN"/>
              </w:rPr>
              <w:t>生</w:t>
            </w:r>
            <w:r>
              <w:rPr>
                <w:rFonts w:hint="eastAsia" w:ascii="宋体" w:hAnsi="宋体" w:eastAsia="宋体" w:cs="宋体"/>
                <w:b w:val="0"/>
                <w:bCs w:val="0"/>
                <w:smallCaps w:val="0"/>
                <w:color w:val="auto"/>
                <w:spacing w:val="0"/>
                <w:sz w:val="21"/>
                <w:szCs w:val="21"/>
                <w:lang w:val="en-US" w:eastAsia="zh-CN"/>
              </w:rPr>
              <w:t>羊肉35元/斤</w:t>
            </w:r>
            <w:r>
              <w:rPr>
                <w:rFonts w:hint="eastAsia" w:ascii="宋体" w:hAnsi="宋体" w:eastAsia="宋体" w:cs="宋体"/>
                <w:b w:val="0"/>
                <w:bCs w:val="0"/>
                <w:i w:val="0"/>
                <w:iCs w:val="0"/>
                <w:smallCaps w:val="0"/>
                <w:color w:val="auto"/>
                <w:spacing w:val="0"/>
                <w:sz w:val="21"/>
                <w:szCs w:val="21"/>
                <w:lang w:val="en-US" w:eastAsia="zh-CN"/>
              </w:rPr>
              <w:t>（去骨）</w:t>
            </w:r>
          </w:p>
        </w:tc>
      </w:tr>
      <w:tr w14:paraId="5DF89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8" w:hRule="atLeast"/>
          <w:jc w:val="center"/>
        </w:trPr>
        <w:tc>
          <w:tcPr>
            <w:tcW w:w="303" w:type="pct"/>
            <w:vMerge w:val="restart"/>
            <w:noWrap w:val="0"/>
            <w:vAlign w:val="center"/>
          </w:tcPr>
          <w:p w14:paraId="568412E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rPr>
            </w:pPr>
            <w:r>
              <w:rPr>
                <w:rFonts w:hint="eastAsia" w:ascii="宋体" w:hAnsi="宋体" w:eastAsia="宋体" w:cs="宋体"/>
                <w:b w:val="0"/>
                <w:bCs w:val="0"/>
                <w:smallCaps w:val="0"/>
                <w:color w:val="auto"/>
                <w:spacing w:val="0"/>
                <w:sz w:val="21"/>
                <w:szCs w:val="21"/>
                <w:lang w:eastAsia="zh-CN"/>
              </w:rPr>
              <w:t>合同包</w:t>
            </w:r>
            <w:r>
              <w:rPr>
                <w:rFonts w:hint="eastAsia" w:ascii="宋体" w:hAnsi="宋体" w:eastAsia="宋体" w:cs="宋体"/>
                <w:b w:val="0"/>
                <w:bCs w:val="0"/>
                <w:smallCaps w:val="0"/>
                <w:color w:val="auto"/>
                <w:spacing w:val="0"/>
                <w:sz w:val="21"/>
                <w:szCs w:val="21"/>
                <w:lang w:val="en-US" w:eastAsia="zh-CN"/>
              </w:rPr>
              <w:t>4</w:t>
            </w:r>
          </w:p>
        </w:tc>
        <w:tc>
          <w:tcPr>
            <w:tcW w:w="490" w:type="pct"/>
            <w:vMerge w:val="restart"/>
            <w:noWrap w:val="0"/>
            <w:vAlign w:val="center"/>
          </w:tcPr>
          <w:p w14:paraId="53C5DC8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rPr>
            </w:pPr>
            <w:r>
              <w:rPr>
                <w:rFonts w:hint="eastAsia" w:ascii="宋体" w:hAnsi="宋体" w:eastAsia="宋体" w:cs="宋体"/>
                <w:b w:val="0"/>
                <w:bCs w:val="0"/>
                <w:smallCaps w:val="0"/>
                <w:color w:val="auto"/>
                <w:spacing w:val="0"/>
                <w:sz w:val="21"/>
                <w:szCs w:val="21"/>
              </w:rPr>
              <w:t>鸡蛋、肉</w:t>
            </w:r>
            <w:r>
              <w:rPr>
                <w:rFonts w:hint="eastAsia" w:ascii="宋体" w:hAnsi="宋体" w:eastAsia="宋体" w:cs="宋体"/>
                <w:b w:val="0"/>
                <w:bCs w:val="0"/>
                <w:smallCaps w:val="0"/>
                <w:color w:val="auto"/>
                <w:spacing w:val="0"/>
                <w:sz w:val="21"/>
                <w:szCs w:val="21"/>
                <w:lang w:eastAsia="zh-CN"/>
              </w:rPr>
              <w:t>（B区）</w:t>
            </w:r>
          </w:p>
        </w:tc>
        <w:tc>
          <w:tcPr>
            <w:tcW w:w="457" w:type="pct"/>
            <w:noWrap w:val="0"/>
            <w:vAlign w:val="center"/>
          </w:tcPr>
          <w:p w14:paraId="2B88270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rPr>
            </w:pPr>
            <w:r>
              <w:rPr>
                <w:rFonts w:hint="eastAsia" w:ascii="宋体" w:hAnsi="宋体" w:eastAsia="宋体" w:cs="宋体"/>
                <w:b w:val="0"/>
                <w:bCs w:val="0"/>
                <w:smallCaps w:val="0"/>
                <w:color w:val="auto"/>
                <w:spacing w:val="0"/>
                <w:sz w:val="21"/>
                <w:szCs w:val="21"/>
                <w:lang w:val="en-US" w:eastAsia="zh-CN"/>
              </w:rPr>
              <w:t>鲜鸡蛋</w:t>
            </w:r>
          </w:p>
        </w:tc>
        <w:tc>
          <w:tcPr>
            <w:tcW w:w="2658" w:type="pct"/>
            <w:noWrap w:val="0"/>
            <w:vAlign w:val="center"/>
          </w:tcPr>
          <w:p w14:paraId="517F71F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rPr>
            </w:pPr>
            <w:r>
              <w:rPr>
                <w:rFonts w:hint="eastAsia" w:ascii="宋体" w:hAnsi="宋体" w:eastAsia="宋体" w:cs="宋体"/>
                <w:b w:val="0"/>
                <w:bCs w:val="0"/>
                <w:smallCaps w:val="0"/>
                <w:color w:val="auto"/>
                <w:spacing w:val="0"/>
                <w:sz w:val="21"/>
                <w:szCs w:val="21"/>
                <w:lang w:val="en-US" w:eastAsia="zh-CN"/>
              </w:rPr>
              <w:t>符合GB 2749-2015《食品安全国家标准 蛋与蛋制品》；推荐参考GB/T 39222-2020《鲜鸡蛋》。单枚重量≥55g（大号蛋）。蛋壳完整洁净，污渍少，无散黄、无变质、无异味，到货破损率≤1%。投标时提供投标截止日前12个月内具备CMA资质第三方机构出具的鲜鸡蛋型式检验报告。货源来自非疫区规模化蛋鸡养殖场，投标时须提供养殖场动物防疫条件合格证或备案相关材料。供应商具备稳定供货能力与全程冷链配送条件。运输及贮存温度须全程控制在0℃～10℃之间（参考鲜鸡蛋储运规范），配送车辆配备实时温度监测及记录功能，物流信息可追溯。</w:t>
            </w:r>
          </w:p>
        </w:tc>
        <w:tc>
          <w:tcPr>
            <w:tcW w:w="1090" w:type="pct"/>
            <w:noWrap w:val="0"/>
            <w:vAlign w:val="center"/>
          </w:tcPr>
          <w:p w14:paraId="0E5EAA5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5.61</w:t>
            </w:r>
            <w:r>
              <w:rPr>
                <w:rFonts w:hint="eastAsia" w:ascii="宋体" w:hAnsi="宋体" w:eastAsia="宋体" w:cs="宋体"/>
                <w:b w:val="0"/>
                <w:bCs w:val="0"/>
                <w:smallCaps w:val="0"/>
                <w:color w:val="auto"/>
                <w:spacing w:val="0"/>
                <w:sz w:val="21"/>
                <w:szCs w:val="21"/>
              </w:rPr>
              <w:t>元/斤</w:t>
            </w:r>
          </w:p>
        </w:tc>
      </w:tr>
      <w:tr w14:paraId="068F2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303" w:type="pct"/>
            <w:vMerge w:val="continue"/>
            <w:noWrap w:val="0"/>
            <w:vAlign w:val="center"/>
          </w:tcPr>
          <w:p w14:paraId="0037436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eastAsia="zh-CN"/>
              </w:rPr>
            </w:pPr>
          </w:p>
        </w:tc>
        <w:tc>
          <w:tcPr>
            <w:tcW w:w="490" w:type="pct"/>
            <w:vMerge w:val="continue"/>
            <w:noWrap w:val="0"/>
            <w:vAlign w:val="center"/>
          </w:tcPr>
          <w:p w14:paraId="79CCE4D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rPr>
            </w:pPr>
          </w:p>
        </w:tc>
        <w:tc>
          <w:tcPr>
            <w:tcW w:w="457" w:type="pct"/>
            <w:vMerge w:val="restart"/>
            <w:noWrap w:val="0"/>
            <w:vAlign w:val="center"/>
          </w:tcPr>
          <w:p w14:paraId="60D9734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r>
              <w:rPr>
                <w:rFonts w:hint="eastAsia" w:ascii="宋体" w:hAnsi="宋体" w:eastAsia="宋体" w:cs="宋体"/>
                <w:b w:val="0"/>
                <w:bCs w:val="0"/>
                <w:smallCaps w:val="0"/>
                <w:color w:val="auto"/>
                <w:spacing w:val="0"/>
                <w:sz w:val="21"/>
                <w:szCs w:val="21"/>
                <w:lang w:val="en-US" w:eastAsia="zh-CN"/>
              </w:rPr>
              <w:t>各类生鲜肉类</w:t>
            </w:r>
          </w:p>
        </w:tc>
        <w:tc>
          <w:tcPr>
            <w:tcW w:w="2658" w:type="pct"/>
            <w:vMerge w:val="restart"/>
            <w:noWrap w:val="0"/>
            <w:vAlign w:val="center"/>
          </w:tcPr>
          <w:p w14:paraId="7AB8458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lang w:eastAsia="zh-CN"/>
              </w:rPr>
            </w:pPr>
            <w:r>
              <w:rPr>
                <w:rFonts w:hint="eastAsia" w:ascii="宋体" w:hAnsi="宋体" w:eastAsia="宋体" w:cs="宋体"/>
                <w:b w:val="0"/>
                <w:bCs w:val="0"/>
                <w:smallCaps w:val="0"/>
                <w:color w:val="auto"/>
                <w:spacing w:val="0"/>
                <w:sz w:val="21"/>
                <w:szCs w:val="21"/>
                <w:lang w:val="en-US" w:eastAsia="zh-CN"/>
              </w:rPr>
              <w:t>符合GB 2707-2016《食品安全国家标准 鲜（冻）畜、禽产品》。肉质新鲜，有正常光泽，无变质、酸败异味，无大面积淤血、病变组织，严禁注水肉、病死畜禽肉。每批次供货随货提供《动物检疫合格证明》、《肉品品质检验合格证》。投标时提供投标截止日前12个月内具备CMA资质第三方机构出具的型式检验报告。采购人有权不定期抽样送检。牛羊肉屠宰后采用0℃～4℃低温成熟（排酸）工艺处理，供应商提供加工工艺承诺。鲜肉屠宰后全程0℃～4℃冷链配送。冷藏运输车辆配备实时温度监控及GPS定位，温度记录留存可溯源。到货时肉品中心温度须≤4℃（牛羊肉中心温度≤3℃），验收时采购人采用探针或红外温度计随机抽检，不合格批次直接拒收。供应商须具备配套冷藏仓储设施，保障食材新鲜。</w:t>
            </w:r>
          </w:p>
        </w:tc>
        <w:tc>
          <w:tcPr>
            <w:tcW w:w="1090" w:type="pct"/>
            <w:noWrap w:val="0"/>
            <w:vAlign w:val="center"/>
          </w:tcPr>
          <w:p w14:paraId="380803B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r>
              <w:rPr>
                <w:rFonts w:hint="eastAsia" w:ascii="宋体" w:hAnsi="宋体" w:eastAsia="宋体" w:cs="宋体"/>
                <w:b w:val="0"/>
                <w:bCs w:val="0"/>
                <w:smallCaps w:val="0"/>
                <w:color w:val="auto"/>
                <w:spacing w:val="0"/>
                <w:sz w:val="21"/>
                <w:szCs w:val="21"/>
                <w:lang w:val="en-US" w:eastAsia="zh-CN"/>
              </w:rPr>
              <w:t>精瘦肉12.9元/斤</w:t>
            </w:r>
          </w:p>
        </w:tc>
      </w:tr>
      <w:tr w14:paraId="2F6F8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303" w:type="pct"/>
            <w:vMerge w:val="continue"/>
            <w:noWrap w:val="0"/>
            <w:vAlign w:val="center"/>
          </w:tcPr>
          <w:p w14:paraId="760B53A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eastAsia="zh-CN"/>
              </w:rPr>
            </w:pPr>
          </w:p>
        </w:tc>
        <w:tc>
          <w:tcPr>
            <w:tcW w:w="490" w:type="pct"/>
            <w:vMerge w:val="continue"/>
            <w:noWrap w:val="0"/>
            <w:vAlign w:val="center"/>
          </w:tcPr>
          <w:p w14:paraId="2A6A967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rPr>
            </w:pPr>
          </w:p>
        </w:tc>
        <w:tc>
          <w:tcPr>
            <w:tcW w:w="457" w:type="pct"/>
            <w:vMerge w:val="continue"/>
            <w:noWrap w:val="0"/>
            <w:vAlign w:val="center"/>
          </w:tcPr>
          <w:p w14:paraId="224CFCB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2658" w:type="pct"/>
            <w:vMerge w:val="continue"/>
            <w:noWrap w:val="0"/>
            <w:vAlign w:val="center"/>
          </w:tcPr>
          <w:p w14:paraId="19651519">
            <w:pPr>
              <w:keepNext w:val="0"/>
              <w:keepLines w:val="0"/>
              <w:pageBreakBefore w:val="0"/>
              <w:widowControl w:val="0"/>
              <w:kinsoku/>
              <w:wordWrap/>
              <w:overflowPunct/>
              <w:topLinePunct w:val="0"/>
              <w:autoSpaceDE/>
              <w:autoSpaceDN/>
              <w:bidi w:val="0"/>
              <w:adjustRightInd/>
              <w:snapToGrid/>
              <w:spacing w:line="270" w:lineRule="exact"/>
              <w:textAlignment w:val="auto"/>
              <w:rPr>
                <w:rFonts w:hint="eastAsia" w:ascii="宋体" w:hAnsi="宋体" w:eastAsia="宋体" w:cs="宋体"/>
                <w:b w:val="0"/>
                <w:bCs w:val="0"/>
                <w:smallCaps w:val="0"/>
                <w:color w:val="auto"/>
                <w:spacing w:val="0"/>
                <w:sz w:val="21"/>
                <w:szCs w:val="21"/>
              </w:rPr>
            </w:pPr>
          </w:p>
        </w:tc>
        <w:tc>
          <w:tcPr>
            <w:tcW w:w="1090" w:type="pct"/>
            <w:noWrap w:val="0"/>
            <w:vAlign w:val="center"/>
          </w:tcPr>
          <w:p w14:paraId="058AD18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五花肉8.92元/斤</w:t>
            </w:r>
          </w:p>
        </w:tc>
      </w:tr>
      <w:tr w14:paraId="08ABA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303" w:type="pct"/>
            <w:vMerge w:val="continue"/>
            <w:noWrap w:val="0"/>
            <w:vAlign w:val="center"/>
          </w:tcPr>
          <w:p w14:paraId="0EA5176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eastAsia="zh-CN"/>
              </w:rPr>
            </w:pPr>
          </w:p>
        </w:tc>
        <w:tc>
          <w:tcPr>
            <w:tcW w:w="490" w:type="pct"/>
            <w:vMerge w:val="continue"/>
            <w:noWrap w:val="0"/>
            <w:vAlign w:val="center"/>
          </w:tcPr>
          <w:p w14:paraId="0747430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rPr>
            </w:pPr>
          </w:p>
        </w:tc>
        <w:tc>
          <w:tcPr>
            <w:tcW w:w="457" w:type="pct"/>
            <w:vMerge w:val="continue"/>
            <w:noWrap w:val="0"/>
            <w:vAlign w:val="center"/>
          </w:tcPr>
          <w:p w14:paraId="7590CEB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2658" w:type="pct"/>
            <w:vMerge w:val="continue"/>
            <w:noWrap w:val="0"/>
            <w:vAlign w:val="center"/>
          </w:tcPr>
          <w:p w14:paraId="347EB336">
            <w:pPr>
              <w:keepNext w:val="0"/>
              <w:keepLines w:val="0"/>
              <w:pageBreakBefore w:val="0"/>
              <w:widowControl w:val="0"/>
              <w:kinsoku/>
              <w:wordWrap/>
              <w:overflowPunct/>
              <w:topLinePunct w:val="0"/>
              <w:autoSpaceDE/>
              <w:autoSpaceDN/>
              <w:bidi w:val="0"/>
              <w:adjustRightInd/>
              <w:snapToGrid/>
              <w:spacing w:line="270" w:lineRule="exact"/>
              <w:textAlignment w:val="auto"/>
              <w:rPr>
                <w:rFonts w:hint="eastAsia" w:ascii="宋体" w:hAnsi="宋体" w:eastAsia="宋体" w:cs="宋体"/>
                <w:b w:val="0"/>
                <w:bCs w:val="0"/>
                <w:smallCaps w:val="0"/>
                <w:color w:val="auto"/>
                <w:spacing w:val="0"/>
                <w:sz w:val="21"/>
                <w:szCs w:val="21"/>
              </w:rPr>
            </w:pPr>
          </w:p>
        </w:tc>
        <w:tc>
          <w:tcPr>
            <w:tcW w:w="1090" w:type="pct"/>
            <w:noWrap w:val="0"/>
            <w:vAlign w:val="center"/>
          </w:tcPr>
          <w:p w14:paraId="005D657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后腿肉8.72元/斤</w:t>
            </w:r>
          </w:p>
        </w:tc>
      </w:tr>
      <w:tr w14:paraId="1FBD4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03" w:type="pct"/>
            <w:vMerge w:val="continue"/>
            <w:noWrap w:val="0"/>
            <w:vAlign w:val="center"/>
          </w:tcPr>
          <w:p w14:paraId="04DB2F9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eastAsia="zh-CN"/>
              </w:rPr>
            </w:pPr>
          </w:p>
        </w:tc>
        <w:tc>
          <w:tcPr>
            <w:tcW w:w="490" w:type="pct"/>
            <w:vMerge w:val="continue"/>
            <w:noWrap w:val="0"/>
            <w:vAlign w:val="center"/>
          </w:tcPr>
          <w:p w14:paraId="2B9289F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rPr>
            </w:pPr>
          </w:p>
        </w:tc>
        <w:tc>
          <w:tcPr>
            <w:tcW w:w="457" w:type="pct"/>
            <w:vMerge w:val="continue"/>
            <w:noWrap w:val="0"/>
            <w:vAlign w:val="center"/>
          </w:tcPr>
          <w:p w14:paraId="4B26AC5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2658" w:type="pct"/>
            <w:vMerge w:val="continue"/>
            <w:noWrap w:val="0"/>
            <w:vAlign w:val="center"/>
          </w:tcPr>
          <w:p w14:paraId="3562016E">
            <w:pPr>
              <w:keepNext w:val="0"/>
              <w:keepLines w:val="0"/>
              <w:pageBreakBefore w:val="0"/>
              <w:widowControl w:val="0"/>
              <w:kinsoku/>
              <w:wordWrap/>
              <w:overflowPunct/>
              <w:topLinePunct w:val="0"/>
              <w:autoSpaceDE/>
              <w:autoSpaceDN/>
              <w:bidi w:val="0"/>
              <w:adjustRightInd/>
              <w:snapToGrid/>
              <w:spacing w:line="270" w:lineRule="exact"/>
              <w:textAlignment w:val="auto"/>
              <w:rPr>
                <w:rFonts w:hint="eastAsia" w:ascii="宋体" w:hAnsi="宋体" w:eastAsia="宋体" w:cs="宋体"/>
                <w:b w:val="0"/>
                <w:bCs w:val="0"/>
                <w:smallCaps w:val="0"/>
                <w:color w:val="auto"/>
                <w:spacing w:val="0"/>
                <w:sz w:val="21"/>
                <w:szCs w:val="21"/>
              </w:rPr>
            </w:pPr>
          </w:p>
        </w:tc>
        <w:tc>
          <w:tcPr>
            <w:tcW w:w="1090" w:type="pct"/>
            <w:noWrap w:val="0"/>
            <w:vAlign w:val="center"/>
          </w:tcPr>
          <w:p w14:paraId="02A8BE9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排骨14.70元/斤（精）</w:t>
            </w:r>
          </w:p>
        </w:tc>
      </w:tr>
      <w:tr w14:paraId="3BDCA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303" w:type="pct"/>
            <w:vMerge w:val="continue"/>
            <w:noWrap w:val="0"/>
            <w:vAlign w:val="center"/>
          </w:tcPr>
          <w:p w14:paraId="5BF8A50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eastAsia="zh-CN"/>
              </w:rPr>
            </w:pPr>
          </w:p>
        </w:tc>
        <w:tc>
          <w:tcPr>
            <w:tcW w:w="490" w:type="pct"/>
            <w:vMerge w:val="continue"/>
            <w:noWrap w:val="0"/>
            <w:vAlign w:val="center"/>
          </w:tcPr>
          <w:p w14:paraId="7A4FFCD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rPr>
            </w:pPr>
          </w:p>
        </w:tc>
        <w:tc>
          <w:tcPr>
            <w:tcW w:w="457" w:type="pct"/>
            <w:vMerge w:val="continue"/>
            <w:noWrap w:val="0"/>
            <w:vAlign w:val="center"/>
          </w:tcPr>
          <w:p w14:paraId="1BE9815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2658" w:type="pct"/>
            <w:vMerge w:val="continue"/>
            <w:noWrap w:val="0"/>
            <w:vAlign w:val="center"/>
          </w:tcPr>
          <w:p w14:paraId="6344A866">
            <w:pPr>
              <w:keepNext w:val="0"/>
              <w:keepLines w:val="0"/>
              <w:pageBreakBefore w:val="0"/>
              <w:widowControl w:val="0"/>
              <w:kinsoku/>
              <w:wordWrap/>
              <w:overflowPunct/>
              <w:topLinePunct w:val="0"/>
              <w:autoSpaceDE/>
              <w:autoSpaceDN/>
              <w:bidi w:val="0"/>
              <w:adjustRightInd/>
              <w:snapToGrid/>
              <w:spacing w:line="270" w:lineRule="exact"/>
              <w:textAlignment w:val="auto"/>
              <w:rPr>
                <w:rFonts w:hint="eastAsia" w:ascii="宋体" w:hAnsi="宋体" w:eastAsia="宋体" w:cs="宋体"/>
                <w:b w:val="0"/>
                <w:bCs w:val="0"/>
                <w:smallCaps w:val="0"/>
                <w:color w:val="auto"/>
                <w:spacing w:val="0"/>
                <w:sz w:val="21"/>
                <w:szCs w:val="21"/>
              </w:rPr>
            </w:pPr>
          </w:p>
        </w:tc>
        <w:tc>
          <w:tcPr>
            <w:tcW w:w="1090" w:type="pct"/>
            <w:noWrap w:val="0"/>
            <w:vAlign w:val="center"/>
          </w:tcPr>
          <w:p w14:paraId="0240B65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r>
              <w:rPr>
                <w:rFonts w:hint="eastAsia" w:ascii="宋体" w:hAnsi="宋体" w:eastAsia="宋体" w:cs="宋体"/>
                <w:b w:val="0"/>
                <w:bCs w:val="0"/>
                <w:smallCaps w:val="0"/>
                <w:color w:val="auto"/>
                <w:spacing w:val="0"/>
                <w:sz w:val="21"/>
                <w:szCs w:val="21"/>
                <w:lang w:val="en-US" w:eastAsia="zh-CN"/>
              </w:rPr>
              <w:t>鸡脯肉8.5元/斤</w:t>
            </w:r>
          </w:p>
        </w:tc>
      </w:tr>
      <w:tr w14:paraId="7E80F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303" w:type="pct"/>
            <w:vMerge w:val="continue"/>
            <w:noWrap w:val="0"/>
            <w:vAlign w:val="center"/>
          </w:tcPr>
          <w:p w14:paraId="4692266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eastAsia="zh-CN"/>
              </w:rPr>
            </w:pPr>
          </w:p>
        </w:tc>
        <w:tc>
          <w:tcPr>
            <w:tcW w:w="490" w:type="pct"/>
            <w:vMerge w:val="continue"/>
            <w:noWrap w:val="0"/>
            <w:vAlign w:val="center"/>
          </w:tcPr>
          <w:p w14:paraId="6280F42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rPr>
            </w:pPr>
          </w:p>
        </w:tc>
        <w:tc>
          <w:tcPr>
            <w:tcW w:w="457" w:type="pct"/>
            <w:vMerge w:val="continue"/>
            <w:noWrap w:val="0"/>
            <w:vAlign w:val="center"/>
          </w:tcPr>
          <w:p w14:paraId="065C873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2658" w:type="pct"/>
            <w:vMerge w:val="continue"/>
            <w:noWrap w:val="0"/>
            <w:vAlign w:val="center"/>
          </w:tcPr>
          <w:p w14:paraId="17CD3FE4">
            <w:pPr>
              <w:keepNext w:val="0"/>
              <w:keepLines w:val="0"/>
              <w:pageBreakBefore w:val="0"/>
              <w:widowControl w:val="0"/>
              <w:kinsoku/>
              <w:wordWrap/>
              <w:overflowPunct/>
              <w:topLinePunct w:val="0"/>
              <w:autoSpaceDE/>
              <w:autoSpaceDN/>
              <w:bidi w:val="0"/>
              <w:adjustRightInd/>
              <w:snapToGrid/>
              <w:spacing w:line="270" w:lineRule="exact"/>
              <w:textAlignment w:val="auto"/>
              <w:rPr>
                <w:rFonts w:hint="eastAsia" w:ascii="宋体" w:hAnsi="宋体" w:eastAsia="宋体" w:cs="宋体"/>
                <w:b w:val="0"/>
                <w:bCs w:val="0"/>
                <w:smallCaps w:val="0"/>
                <w:color w:val="auto"/>
                <w:spacing w:val="0"/>
                <w:sz w:val="21"/>
                <w:szCs w:val="21"/>
              </w:rPr>
            </w:pPr>
          </w:p>
        </w:tc>
        <w:tc>
          <w:tcPr>
            <w:tcW w:w="1090" w:type="pct"/>
            <w:noWrap w:val="0"/>
            <w:vAlign w:val="center"/>
          </w:tcPr>
          <w:p w14:paraId="6A2825B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r>
              <w:rPr>
                <w:rFonts w:hint="eastAsia" w:ascii="宋体" w:hAnsi="宋体" w:eastAsia="宋体" w:cs="宋体"/>
                <w:b w:val="0"/>
                <w:bCs w:val="0"/>
                <w:smallCaps w:val="0"/>
                <w:color w:val="auto"/>
                <w:spacing w:val="0"/>
                <w:sz w:val="21"/>
                <w:szCs w:val="21"/>
                <w:lang w:val="en-US" w:eastAsia="zh-CN"/>
              </w:rPr>
              <w:t>鸡腿7.56元/斤</w:t>
            </w:r>
          </w:p>
        </w:tc>
      </w:tr>
      <w:tr w14:paraId="675E5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03" w:type="pct"/>
            <w:vMerge w:val="continue"/>
            <w:noWrap w:val="0"/>
            <w:vAlign w:val="center"/>
          </w:tcPr>
          <w:p w14:paraId="20E3BEF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eastAsia="zh-CN"/>
              </w:rPr>
            </w:pPr>
          </w:p>
        </w:tc>
        <w:tc>
          <w:tcPr>
            <w:tcW w:w="490" w:type="pct"/>
            <w:vMerge w:val="continue"/>
            <w:noWrap w:val="0"/>
            <w:vAlign w:val="center"/>
          </w:tcPr>
          <w:p w14:paraId="57261DA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rPr>
            </w:pPr>
          </w:p>
        </w:tc>
        <w:tc>
          <w:tcPr>
            <w:tcW w:w="457" w:type="pct"/>
            <w:vMerge w:val="continue"/>
            <w:noWrap w:val="0"/>
            <w:vAlign w:val="center"/>
          </w:tcPr>
          <w:p w14:paraId="5BB6923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2658" w:type="pct"/>
            <w:vMerge w:val="continue"/>
            <w:noWrap w:val="0"/>
            <w:vAlign w:val="center"/>
          </w:tcPr>
          <w:p w14:paraId="52F60F6C">
            <w:pPr>
              <w:keepNext w:val="0"/>
              <w:keepLines w:val="0"/>
              <w:pageBreakBefore w:val="0"/>
              <w:widowControl w:val="0"/>
              <w:kinsoku/>
              <w:wordWrap/>
              <w:overflowPunct/>
              <w:topLinePunct w:val="0"/>
              <w:autoSpaceDE/>
              <w:autoSpaceDN/>
              <w:bidi w:val="0"/>
              <w:adjustRightInd/>
              <w:snapToGrid/>
              <w:spacing w:line="270" w:lineRule="exact"/>
              <w:textAlignment w:val="auto"/>
              <w:rPr>
                <w:rFonts w:hint="eastAsia" w:ascii="宋体" w:hAnsi="宋体" w:eastAsia="宋体" w:cs="宋体"/>
                <w:b w:val="0"/>
                <w:bCs w:val="0"/>
                <w:smallCaps w:val="0"/>
                <w:color w:val="auto"/>
                <w:spacing w:val="0"/>
                <w:sz w:val="21"/>
                <w:szCs w:val="21"/>
              </w:rPr>
            </w:pPr>
          </w:p>
        </w:tc>
        <w:tc>
          <w:tcPr>
            <w:tcW w:w="1090" w:type="pct"/>
            <w:noWrap w:val="0"/>
            <w:vAlign w:val="center"/>
          </w:tcPr>
          <w:p w14:paraId="7EC4E01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r>
              <w:rPr>
                <w:rFonts w:hint="eastAsia" w:ascii="宋体" w:hAnsi="宋体" w:eastAsia="宋体" w:cs="宋体"/>
                <w:b w:val="0"/>
                <w:bCs w:val="0"/>
                <w:i w:val="0"/>
                <w:iCs w:val="0"/>
                <w:smallCaps w:val="0"/>
                <w:color w:val="auto"/>
                <w:spacing w:val="0"/>
                <w:sz w:val="21"/>
                <w:szCs w:val="21"/>
                <w:lang w:val="en-US" w:eastAsia="zh-CN"/>
              </w:rPr>
              <w:t>生牛肉38.33元/斤（去骨）</w:t>
            </w:r>
          </w:p>
        </w:tc>
      </w:tr>
      <w:tr w14:paraId="0F5BA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4" w:hRule="atLeast"/>
          <w:jc w:val="center"/>
        </w:trPr>
        <w:tc>
          <w:tcPr>
            <w:tcW w:w="303" w:type="pct"/>
            <w:vMerge w:val="continue"/>
            <w:noWrap w:val="0"/>
            <w:vAlign w:val="center"/>
          </w:tcPr>
          <w:p w14:paraId="5E86297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eastAsia="zh-CN"/>
              </w:rPr>
            </w:pPr>
          </w:p>
        </w:tc>
        <w:tc>
          <w:tcPr>
            <w:tcW w:w="490" w:type="pct"/>
            <w:vMerge w:val="continue"/>
            <w:noWrap w:val="0"/>
            <w:vAlign w:val="center"/>
          </w:tcPr>
          <w:p w14:paraId="3E77750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rPr>
            </w:pPr>
          </w:p>
        </w:tc>
        <w:tc>
          <w:tcPr>
            <w:tcW w:w="457" w:type="pct"/>
            <w:vMerge w:val="continue"/>
            <w:noWrap w:val="0"/>
            <w:vAlign w:val="center"/>
          </w:tcPr>
          <w:p w14:paraId="64C00B0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2658" w:type="pct"/>
            <w:vMerge w:val="continue"/>
            <w:noWrap w:val="0"/>
            <w:vAlign w:val="center"/>
          </w:tcPr>
          <w:p w14:paraId="1A455330">
            <w:pPr>
              <w:keepNext w:val="0"/>
              <w:keepLines w:val="0"/>
              <w:pageBreakBefore w:val="0"/>
              <w:widowControl w:val="0"/>
              <w:kinsoku/>
              <w:wordWrap/>
              <w:overflowPunct/>
              <w:topLinePunct w:val="0"/>
              <w:autoSpaceDE/>
              <w:autoSpaceDN/>
              <w:bidi w:val="0"/>
              <w:adjustRightInd/>
              <w:snapToGrid/>
              <w:spacing w:line="270" w:lineRule="exact"/>
              <w:textAlignment w:val="auto"/>
              <w:rPr>
                <w:rFonts w:hint="eastAsia" w:ascii="宋体" w:hAnsi="宋体" w:eastAsia="宋体" w:cs="宋体"/>
                <w:b w:val="0"/>
                <w:bCs w:val="0"/>
                <w:smallCaps w:val="0"/>
                <w:color w:val="auto"/>
                <w:spacing w:val="0"/>
                <w:sz w:val="21"/>
                <w:szCs w:val="21"/>
              </w:rPr>
            </w:pPr>
          </w:p>
        </w:tc>
        <w:tc>
          <w:tcPr>
            <w:tcW w:w="1090" w:type="pct"/>
            <w:noWrap w:val="0"/>
            <w:vAlign w:val="center"/>
          </w:tcPr>
          <w:p w14:paraId="196E81B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r>
              <w:rPr>
                <w:rFonts w:hint="eastAsia" w:ascii="宋体" w:hAnsi="宋体" w:eastAsia="宋体" w:cs="宋体"/>
                <w:b w:val="0"/>
                <w:bCs w:val="0"/>
                <w:i w:val="0"/>
                <w:iCs w:val="0"/>
                <w:smallCaps w:val="0"/>
                <w:color w:val="auto"/>
                <w:spacing w:val="0"/>
                <w:sz w:val="21"/>
                <w:szCs w:val="21"/>
                <w:lang w:val="en-US" w:eastAsia="zh-CN"/>
              </w:rPr>
              <w:t>生</w:t>
            </w:r>
            <w:r>
              <w:rPr>
                <w:rFonts w:hint="eastAsia" w:ascii="宋体" w:hAnsi="宋体" w:eastAsia="宋体" w:cs="宋体"/>
                <w:b w:val="0"/>
                <w:bCs w:val="0"/>
                <w:smallCaps w:val="0"/>
                <w:color w:val="auto"/>
                <w:spacing w:val="0"/>
                <w:sz w:val="21"/>
                <w:szCs w:val="21"/>
                <w:lang w:val="en-US" w:eastAsia="zh-CN"/>
              </w:rPr>
              <w:t>羊肉35元/斤</w:t>
            </w:r>
            <w:r>
              <w:rPr>
                <w:rFonts w:hint="eastAsia" w:ascii="宋体" w:hAnsi="宋体" w:eastAsia="宋体" w:cs="宋体"/>
                <w:b w:val="0"/>
                <w:bCs w:val="0"/>
                <w:i w:val="0"/>
                <w:iCs w:val="0"/>
                <w:smallCaps w:val="0"/>
                <w:color w:val="auto"/>
                <w:spacing w:val="0"/>
                <w:sz w:val="21"/>
                <w:szCs w:val="21"/>
                <w:lang w:val="en-US" w:eastAsia="zh-CN"/>
              </w:rPr>
              <w:t>（去骨）</w:t>
            </w:r>
          </w:p>
        </w:tc>
      </w:tr>
      <w:tr w14:paraId="4ACD2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0" w:hRule="atLeast"/>
          <w:jc w:val="center"/>
        </w:trPr>
        <w:tc>
          <w:tcPr>
            <w:tcW w:w="303" w:type="pct"/>
            <w:vMerge w:val="restart"/>
            <w:noWrap w:val="0"/>
            <w:vAlign w:val="center"/>
          </w:tcPr>
          <w:p w14:paraId="72E792D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eastAsia="zh-CN"/>
              </w:rPr>
              <w:t>合同包</w:t>
            </w:r>
            <w:r>
              <w:rPr>
                <w:rFonts w:hint="eastAsia" w:ascii="宋体" w:hAnsi="宋体" w:eastAsia="宋体" w:cs="宋体"/>
                <w:b w:val="0"/>
                <w:bCs w:val="0"/>
                <w:smallCaps w:val="0"/>
                <w:color w:val="auto"/>
                <w:spacing w:val="0"/>
                <w:sz w:val="21"/>
                <w:szCs w:val="21"/>
                <w:lang w:val="en-US" w:eastAsia="zh-CN"/>
              </w:rPr>
              <w:t>5</w:t>
            </w:r>
          </w:p>
        </w:tc>
        <w:tc>
          <w:tcPr>
            <w:tcW w:w="490" w:type="pct"/>
            <w:vMerge w:val="restart"/>
            <w:noWrap w:val="0"/>
            <w:vAlign w:val="center"/>
          </w:tcPr>
          <w:p w14:paraId="41A082C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rPr>
            </w:pPr>
            <w:r>
              <w:rPr>
                <w:rFonts w:hint="eastAsia" w:ascii="宋体" w:hAnsi="宋体" w:eastAsia="宋体" w:cs="宋体"/>
                <w:b w:val="0"/>
                <w:bCs w:val="0"/>
                <w:smallCaps w:val="0"/>
                <w:color w:val="auto"/>
                <w:spacing w:val="0"/>
                <w:sz w:val="21"/>
                <w:szCs w:val="21"/>
              </w:rPr>
              <w:t>鸡蛋、肉</w:t>
            </w:r>
            <w:r>
              <w:rPr>
                <w:rFonts w:hint="eastAsia" w:ascii="宋体" w:hAnsi="宋体" w:eastAsia="宋体" w:cs="宋体"/>
                <w:b w:val="0"/>
                <w:bCs w:val="0"/>
                <w:smallCaps w:val="0"/>
                <w:color w:val="auto"/>
                <w:spacing w:val="0"/>
                <w:sz w:val="21"/>
                <w:szCs w:val="21"/>
                <w:lang w:eastAsia="zh-CN"/>
              </w:rPr>
              <w:t>（C区）</w:t>
            </w:r>
          </w:p>
        </w:tc>
        <w:tc>
          <w:tcPr>
            <w:tcW w:w="457" w:type="pct"/>
            <w:noWrap w:val="0"/>
            <w:vAlign w:val="center"/>
          </w:tcPr>
          <w:p w14:paraId="061E7F4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kern w:val="2"/>
                <w:sz w:val="21"/>
                <w:szCs w:val="21"/>
                <w:lang w:val="en-US" w:eastAsia="zh-CN" w:bidi="ar-SA"/>
              </w:rPr>
            </w:pPr>
            <w:r>
              <w:rPr>
                <w:rFonts w:hint="eastAsia" w:ascii="宋体" w:hAnsi="宋体" w:eastAsia="宋体" w:cs="宋体"/>
                <w:b w:val="0"/>
                <w:bCs w:val="0"/>
                <w:smallCaps w:val="0"/>
                <w:color w:val="auto"/>
                <w:spacing w:val="0"/>
                <w:sz w:val="21"/>
                <w:szCs w:val="21"/>
                <w:lang w:val="en-US" w:eastAsia="zh-CN"/>
              </w:rPr>
              <w:t>鲜鸡蛋</w:t>
            </w:r>
          </w:p>
        </w:tc>
        <w:tc>
          <w:tcPr>
            <w:tcW w:w="2658" w:type="pct"/>
            <w:noWrap w:val="0"/>
            <w:vAlign w:val="center"/>
          </w:tcPr>
          <w:p w14:paraId="40B6732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符合GB 2749-2015《食品安全国家标准 蛋与蛋制品》；推荐参考GB/T 39222-2020《鲜鸡蛋》。单枚重量≥55g（大号蛋）。蛋壳完整洁净，污渍少，无散黄、无变质、无异味，到货破损率≤1%。投标时提供投标截止日前12个月内具备CMA资质第三方机构出具的鲜鸡蛋型式检验报告。货源来自非疫区规模化蛋鸡养殖场，投标时须提供养殖场动物防疫条件合格证或备案相关材料。供应商具备稳定供货能力与全程冷链配送条件。运输及贮存温度须全程控制在0℃～10℃之间（参考鲜鸡蛋储运规范），配送车辆配备实时温度监测及记录功能，物流信息可追溯。</w:t>
            </w:r>
          </w:p>
        </w:tc>
        <w:tc>
          <w:tcPr>
            <w:tcW w:w="1090" w:type="pct"/>
            <w:noWrap w:val="0"/>
            <w:vAlign w:val="center"/>
          </w:tcPr>
          <w:p w14:paraId="445426B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kern w:val="2"/>
                <w:sz w:val="21"/>
                <w:szCs w:val="21"/>
                <w:lang w:val="en-US" w:eastAsia="zh-CN" w:bidi="ar-SA"/>
              </w:rPr>
            </w:pPr>
            <w:r>
              <w:rPr>
                <w:rFonts w:hint="eastAsia" w:ascii="宋体" w:hAnsi="宋体" w:eastAsia="宋体" w:cs="宋体"/>
                <w:b w:val="0"/>
                <w:bCs w:val="0"/>
                <w:smallCaps w:val="0"/>
                <w:color w:val="auto"/>
                <w:spacing w:val="0"/>
                <w:sz w:val="21"/>
                <w:szCs w:val="21"/>
                <w:lang w:val="en-US" w:eastAsia="zh-CN"/>
              </w:rPr>
              <w:t>5.61</w:t>
            </w:r>
            <w:r>
              <w:rPr>
                <w:rFonts w:hint="eastAsia" w:ascii="宋体" w:hAnsi="宋体" w:eastAsia="宋体" w:cs="宋体"/>
                <w:b w:val="0"/>
                <w:bCs w:val="0"/>
                <w:smallCaps w:val="0"/>
                <w:color w:val="auto"/>
                <w:spacing w:val="0"/>
                <w:sz w:val="21"/>
                <w:szCs w:val="21"/>
              </w:rPr>
              <w:t>元/斤</w:t>
            </w:r>
          </w:p>
        </w:tc>
      </w:tr>
      <w:tr w14:paraId="2DBED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303" w:type="pct"/>
            <w:vMerge w:val="continue"/>
            <w:noWrap w:val="0"/>
            <w:vAlign w:val="center"/>
          </w:tcPr>
          <w:p w14:paraId="27B39C0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490" w:type="pct"/>
            <w:vMerge w:val="continue"/>
            <w:noWrap w:val="0"/>
            <w:vAlign w:val="center"/>
          </w:tcPr>
          <w:p w14:paraId="096FBA5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rPr>
            </w:pPr>
          </w:p>
        </w:tc>
        <w:tc>
          <w:tcPr>
            <w:tcW w:w="457" w:type="pct"/>
            <w:vMerge w:val="restart"/>
            <w:noWrap w:val="0"/>
            <w:vAlign w:val="center"/>
          </w:tcPr>
          <w:p w14:paraId="6723C37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各类生鲜肉类</w:t>
            </w:r>
          </w:p>
        </w:tc>
        <w:tc>
          <w:tcPr>
            <w:tcW w:w="2658" w:type="pct"/>
            <w:vMerge w:val="restart"/>
            <w:noWrap w:val="0"/>
            <w:vAlign w:val="center"/>
          </w:tcPr>
          <w:p w14:paraId="2EE6E4A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kern w:val="2"/>
                <w:sz w:val="21"/>
                <w:szCs w:val="21"/>
                <w:lang w:val="en-US" w:eastAsia="zh-CN" w:bidi="ar-SA"/>
              </w:rPr>
            </w:pPr>
            <w:r>
              <w:rPr>
                <w:rFonts w:hint="eastAsia" w:ascii="宋体" w:hAnsi="宋体" w:eastAsia="宋体" w:cs="宋体"/>
                <w:b w:val="0"/>
                <w:bCs w:val="0"/>
                <w:smallCaps w:val="0"/>
                <w:color w:val="auto"/>
                <w:spacing w:val="0"/>
                <w:sz w:val="21"/>
                <w:szCs w:val="21"/>
                <w:lang w:val="en-US" w:eastAsia="zh-CN"/>
              </w:rPr>
              <w:t>符合GB 2707-2016《食品安全国家标准 鲜（冻）畜、禽产品》。肉质新鲜，有正常光泽，无变质、酸败异味，无大面积淤血、病变组织，严禁注水肉、病死畜禽肉。每批次供货随货提供《动物检疫合格证明》、《肉品品质检验合格证》。投标时提供投标截止日前12个月内具备CMA资质第三方机构出具的型式检验报告。采购人有权不定期抽样送检。牛羊肉屠宰后采用0℃～4℃低温成熟（排酸）工艺处理，供应商提供加工工艺承诺。鲜肉屠宰后全程0℃～4℃冷链配送。冷藏运输车辆配备实时温度监控及GPS定位，温度记录留存可溯源。到货时肉品中心温度须≤4℃（牛羊肉中心温度≤3℃），验收时采购人采用探针或红外温度计随机抽检，不合格批次直接拒收。供应商须具备配套冷藏仓储设施，保障食材新鲜。</w:t>
            </w:r>
          </w:p>
        </w:tc>
        <w:tc>
          <w:tcPr>
            <w:tcW w:w="1090" w:type="pct"/>
            <w:noWrap w:val="0"/>
            <w:vAlign w:val="center"/>
          </w:tcPr>
          <w:p w14:paraId="0D7C936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kern w:val="2"/>
                <w:sz w:val="21"/>
                <w:szCs w:val="21"/>
                <w:lang w:val="en-US" w:eastAsia="zh-CN" w:bidi="ar-SA"/>
              </w:rPr>
            </w:pPr>
            <w:r>
              <w:rPr>
                <w:rFonts w:hint="eastAsia" w:ascii="宋体" w:hAnsi="宋体" w:eastAsia="宋体" w:cs="宋体"/>
                <w:b w:val="0"/>
                <w:bCs w:val="0"/>
                <w:smallCaps w:val="0"/>
                <w:color w:val="auto"/>
                <w:spacing w:val="0"/>
                <w:sz w:val="21"/>
                <w:szCs w:val="21"/>
                <w:lang w:val="en-US" w:eastAsia="zh-CN"/>
              </w:rPr>
              <w:t>精瘦肉12.9元/斤</w:t>
            </w:r>
          </w:p>
        </w:tc>
      </w:tr>
      <w:tr w14:paraId="6AB52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303" w:type="pct"/>
            <w:vMerge w:val="continue"/>
            <w:noWrap w:val="0"/>
            <w:vAlign w:val="center"/>
          </w:tcPr>
          <w:p w14:paraId="406AEC3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490" w:type="pct"/>
            <w:vMerge w:val="continue"/>
            <w:noWrap w:val="0"/>
            <w:vAlign w:val="center"/>
          </w:tcPr>
          <w:p w14:paraId="54B8CAE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rPr>
            </w:pPr>
          </w:p>
        </w:tc>
        <w:tc>
          <w:tcPr>
            <w:tcW w:w="457" w:type="pct"/>
            <w:vMerge w:val="continue"/>
            <w:noWrap w:val="0"/>
            <w:vAlign w:val="center"/>
          </w:tcPr>
          <w:p w14:paraId="11A9498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val="en-US" w:eastAsia="zh-CN"/>
              </w:rPr>
            </w:pPr>
          </w:p>
        </w:tc>
        <w:tc>
          <w:tcPr>
            <w:tcW w:w="2658" w:type="pct"/>
            <w:vMerge w:val="continue"/>
            <w:noWrap w:val="0"/>
            <w:vAlign w:val="center"/>
          </w:tcPr>
          <w:p w14:paraId="4C33A91D">
            <w:pPr>
              <w:keepNext w:val="0"/>
              <w:keepLines w:val="0"/>
              <w:pageBreakBefore w:val="0"/>
              <w:widowControl w:val="0"/>
              <w:kinsoku/>
              <w:wordWrap/>
              <w:overflowPunct/>
              <w:topLinePunct w:val="0"/>
              <w:autoSpaceDE/>
              <w:autoSpaceDN/>
              <w:bidi w:val="0"/>
              <w:adjustRightInd/>
              <w:snapToGrid/>
              <w:spacing w:line="270" w:lineRule="exact"/>
              <w:textAlignment w:val="auto"/>
              <w:rPr>
                <w:rFonts w:hint="eastAsia" w:ascii="宋体" w:hAnsi="宋体" w:eastAsia="宋体" w:cs="宋体"/>
                <w:b w:val="0"/>
                <w:bCs w:val="0"/>
                <w:smallCaps w:val="0"/>
                <w:color w:val="auto"/>
                <w:spacing w:val="0"/>
                <w:kern w:val="2"/>
                <w:sz w:val="21"/>
                <w:szCs w:val="21"/>
                <w:lang w:val="en-US" w:eastAsia="zh-CN" w:bidi="ar-SA"/>
              </w:rPr>
            </w:pPr>
          </w:p>
        </w:tc>
        <w:tc>
          <w:tcPr>
            <w:tcW w:w="1090" w:type="pct"/>
            <w:noWrap w:val="0"/>
            <w:vAlign w:val="center"/>
          </w:tcPr>
          <w:p w14:paraId="653FBEE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五花肉8.92元/斤</w:t>
            </w:r>
          </w:p>
        </w:tc>
      </w:tr>
      <w:tr w14:paraId="3CE0F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303" w:type="pct"/>
            <w:vMerge w:val="continue"/>
            <w:noWrap w:val="0"/>
            <w:vAlign w:val="center"/>
          </w:tcPr>
          <w:p w14:paraId="15DB923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rPr>
            </w:pPr>
          </w:p>
        </w:tc>
        <w:tc>
          <w:tcPr>
            <w:tcW w:w="490" w:type="pct"/>
            <w:vMerge w:val="continue"/>
            <w:noWrap w:val="0"/>
            <w:vAlign w:val="center"/>
          </w:tcPr>
          <w:p w14:paraId="675F1F9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rPr>
            </w:pPr>
          </w:p>
        </w:tc>
        <w:tc>
          <w:tcPr>
            <w:tcW w:w="457" w:type="pct"/>
            <w:vMerge w:val="continue"/>
            <w:noWrap w:val="0"/>
            <w:vAlign w:val="center"/>
          </w:tcPr>
          <w:p w14:paraId="29C86D1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2658" w:type="pct"/>
            <w:vMerge w:val="continue"/>
            <w:noWrap w:val="0"/>
            <w:vAlign w:val="center"/>
          </w:tcPr>
          <w:p w14:paraId="12D953E1">
            <w:pPr>
              <w:keepNext w:val="0"/>
              <w:keepLines w:val="0"/>
              <w:pageBreakBefore w:val="0"/>
              <w:widowControl w:val="0"/>
              <w:kinsoku/>
              <w:wordWrap/>
              <w:overflowPunct/>
              <w:topLinePunct w:val="0"/>
              <w:autoSpaceDE/>
              <w:autoSpaceDN/>
              <w:bidi w:val="0"/>
              <w:adjustRightInd/>
              <w:snapToGrid/>
              <w:spacing w:line="270" w:lineRule="exact"/>
              <w:jc w:val="center"/>
              <w:textAlignment w:val="auto"/>
              <w:rPr>
                <w:rFonts w:hint="eastAsia" w:ascii="宋体" w:hAnsi="宋体" w:eastAsia="宋体" w:cs="宋体"/>
                <w:color w:val="auto"/>
              </w:rPr>
            </w:pPr>
          </w:p>
        </w:tc>
        <w:tc>
          <w:tcPr>
            <w:tcW w:w="1090" w:type="pct"/>
            <w:noWrap w:val="0"/>
            <w:vAlign w:val="center"/>
          </w:tcPr>
          <w:p w14:paraId="72A5A85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后腿肉8.72元/斤</w:t>
            </w:r>
          </w:p>
        </w:tc>
      </w:tr>
      <w:tr w14:paraId="56DC6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03" w:type="pct"/>
            <w:vMerge w:val="continue"/>
            <w:noWrap w:val="0"/>
            <w:vAlign w:val="center"/>
          </w:tcPr>
          <w:p w14:paraId="396E3DA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rPr>
            </w:pPr>
          </w:p>
        </w:tc>
        <w:tc>
          <w:tcPr>
            <w:tcW w:w="490" w:type="pct"/>
            <w:vMerge w:val="continue"/>
            <w:noWrap w:val="0"/>
            <w:vAlign w:val="center"/>
          </w:tcPr>
          <w:p w14:paraId="5233AFE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rPr>
            </w:pPr>
          </w:p>
        </w:tc>
        <w:tc>
          <w:tcPr>
            <w:tcW w:w="457" w:type="pct"/>
            <w:vMerge w:val="continue"/>
            <w:noWrap w:val="0"/>
            <w:vAlign w:val="center"/>
          </w:tcPr>
          <w:p w14:paraId="5343C1F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2658" w:type="pct"/>
            <w:vMerge w:val="continue"/>
            <w:noWrap w:val="0"/>
            <w:vAlign w:val="center"/>
          </w:tcPr>
          <w:p w14:paraId="2D7AA9CB">
            <w:pPr>
              <w:keepNext w:val="0"/>
              <w:keepLines w:val="0"/>
              <w:pageBreakBefore w:val="0"/>
              <w:widowControl w:val="0"/>
              <w:kinsoku/>
              <w:wordWrap/>
              <w:overflowPunct/>
              <w:topLinePunct w:val="0"/>
              <w:autoSpaceDE/>
              <w:autoSpaceDN/>
              <w:bidi w:val="0"/>
              <w:adjustRightInd/>
              <w:snapToGrid/>
              <w:spacing w:line="270" w:lineRule="exact"/>
              <w:jc w:val="center"/>
              <w:textAlignment w:val="auto"/>
              <w:rPr>
                <w:rFonts w:hint="eastAsia" w:ascii="宋体" w:hAnsi="宋体" w:eastAsia="宋体" w:cs="宋体"/>
                <w:color w:val="auto"/>
              </w:rPr>
            </w:pPr>
          </w:p>
        </w:tc>
        <w:tc>
          <w:tcPr>
            <w:tcW w:w="1090" w:type="pct"/>
            <w:noWrap w:val="0"/>
            <w:vAlign w:val="center"/>
          </w:tcPr>
          <w:p w14:paraId="6C1647E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排骨14.70元/斤（精）</w:t>
            </w:r>
          </w:p>
        </w:tc>
      </w:tr>
      <w:tr w14:paraId="2E905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303" w:type="pct"/>
            <w:vMerge w:val="continue"/>
            <w:noWrap w:val="0"/>
            <w:vAlign w:val="center"/>
          </w:tcPr>
          <w:p w14:paraId="29E94A4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rPr>
            </w:pPr>
          </w:p>
        </w:tc>
        <w:tc>
          <w:tcPr>
            <w:tcW w:w="490" w:type="pct"/>
            <w:vMerge w:val="continue"/>
            <w:noWrap w:val="0"/>
            <w:vAlign w:val="center"/>
          </w:tcPr>
          <w:p w14:paraId="7B92A35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rPr>
            </w:pPr>
          </w:p>
        </w:tc>
        <w:tc>
          <w:tcPr>
            <w:tcW w:w="457" w:type="pct"/>
            <w:vMerge w:val="continue"/>
            <w:noWrap w:val="0"/>
            <w:vAlign w:val="center"/>
          </w:tcPr>
          <w:p w14:paraId="19DB820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2658" w:type="pct"/>
            <w:vMerge w:val="continue"/>
            <w:noWrap w:val="0"/>
            <w:vAlign w:val="center"/>
          </w:tcPr>
          <w:p w14:paraId="3FCC8D7C">
            <w:pPr>
              <w:keepNext w:val="0"/>
              <w:keepLines w:val="0"/>
              <w:pageBreakBefore w:val="0"/>
              <w:widowControl w:val="0"/>
              <w:kinsoku/>
              <w:wordWrap/>
              <w:overflowPunct/>
              <w:topLinePunct w:val="0"/>
              <w:autoSpaceDE/>
              <w:autoSpaceDN/>
              <w:bidi w:val="0"/>
              <w:adjustRightInd/>
              <w:snapToGrid/>
              <w:spacing w:line="270" w:lineRule="exact"/>
              <w:jc w:val="center"/>
              <w:textAlignment w:val="auto"/>
              <w:rPr>
                <w:rFonts w:hint="eastAsia" w:ascii="宋体" w:hAnsi="宋体" w:eastAsia="宋体" w:cs="宋体"/>
                <w:color w:val="auto"/>
              </w:rPr>
            </w:pPr>
          </w:p>
        </w:tc>
        <w:tc>
          <w:tcPr>
            <w:tcW w:w="1090" w:type="pct"/>
            <w:noWrap w:val="0"/>
            <w:vAlign w:val="center"/>
          </w:tcPr>
          <w:p w14:paraId="3EB7BAE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kern w:val="2"/>
                <w:sz w:val="21"/>
                <w:szCs w:val="21"/>
                <w:lang w:val="en-US" w:eastAsia="zh-CN" w:bidi="ar-SA"/>
              </w:rPr>
            </w:pPr>
            <w:r>
              <w:rPr>
                <w:rFonts w:hint="eastAsia" w:ascii="宋体" w:hAnsi="宋体" w:eastAsia="宋体" w:cs="宋体"/>
                <w:b w:val="0"/>
                <w:bCs w:val="0"/>
                <w:smallCaps w:val="0"/>
                <w:color w:val="auto"/>
                <w:spacing w:val="0"/>
                <w:sz w:val="21"/>
                <w:szCs w:val="21"/>
                <w:lang w:val="en-US" w:eastAsia="zh-CN"/>
              </w:rPr>
              <w:t>鸡脯肉8.5元/斤</w:t>
            </w:r>
          </w:p>
        </w:tc>
      </w:tr>
      <w:tr w14:paraId="64BF8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303" w:type="pct"/>
            <w:vMerge w:val="continue"/>
            <w:noWrap w:val="0"/>
            <w:vAlign w:val="center"/>
          </w:tcPr>
          <w:p w14:paraId="6FD370D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490" w:type="pct"/>
            <w:vMerge w:val="continue"/>
            <w:noWrap w:val="0"/>
            <w:vAlign w:val="center"/>
          </w:tcPr>
          <w:p w14:paraId="7D4B4B8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457" w:type="pct"/>
            <w:vMerge w:val="continue"/>
            <w:noWrap w:val="0"/>
            <w:vAlign w:val="center"/>
          </w:tcPr>
          <w:p w14:paraId="7305D3B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2658" w:type="pct"/>
            <w:vMerge w:val="continue"/>
            <w:noWrap w:val="0"/>
            <w:vAlign w:val="center"/>
          </w:tcPr>
          <w:p w14:paraId="28F69F7C">
            <w:pPr>
              <w:keepNext w:val="0"/>
              <w:keepLines w:val="0"/>
              <w:pageBreakBefore w:val="0"/>
              <w:widowControl w:val="0"/>
              <w:kinsoku/>
              <w:wordWrap/>
              <w:overflowPunct/>
              <w:topLinePunct w:val="0"/>
              <w:autoSpaceDE/>
              <w:autoSpaceDN/>
              <w:bidi w:val="0"/>
              <w:adjustRightInd/>
              <w:snapToGrid/>
              <w:spacing w:line="270" w:lineRule="exact"/>
              <w:jc w:val="center"/>
              <w:textAlignment w:val="auto"/>
              <w:rPr>
                <w:rFonts w:hint="eastAsia" w:ascii="宋体" w:hAnsi="宋体" w:eastAsia="宋体" w:cs="宋体"/>
                <w:b w:val="0"/>
                <w:bCs w:val="0"/>
                <w:smallCaps w:val="0"/>
                <w:color w:val="auto"/>
                <w:spacing w:val="0"/>
                <w:sz w:val="21"/>
                <w:szCs w:val="21"/>
              </w:rPr>
            </w:pPr>
          </w:p>
        </w:tc>
        <w:tc>
          <w:tcPr>
            <w:tcW w:w="1090" w:type="pct"/>
            <w:noWrap w:val="0"/>
            <w:vAlign w:val="center"/>
          </w:tcPr>
          <w:p w14:paraId="628327B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kern w:val="2"/>
                <w:sz w:val="21"/>
                <w:szCs w:val="21"/>
                <w:lang w:val="en-US" w:eastAsia="zh-CN" w:bidi="ar-SA"/>
              </w:rPr>
            </w:pPr>
            <w:r>
              <w:rPr>
                <w:rFonts w:hint="eastAsia" w:ascii="宋体" w:hAnsi="宋体" w:eastAsia="宋体" w:cs="宋体"/>
                <w:b w:val="0"/>
                <w:bCs w:val="0"/>
                <w:smallCaps w:val="0"/>
                <w:color w:val="auto"/>
                <w:spacing w:val="0"/>
                <w:sz w:val="21"/>
                <w:szCs w:val="21"/>
                <w:lang w:val="en-US" w:eastAsia="zh-CN"/>
              </w:rPr>
              <w:t>鸡腿7.56元/斤</w:t>
            </w:r>
          </w:p>
        </w:tc>
      </w:tr>
      <w:tr w14:paraId="6B65B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03" w:type="pct"/>
            <w:vMerge w:val="continue"/>
            <w:noWrap w:val="0"/>
            <w:vAlign w:val="center"/>
          </w:tcPr>
          <w:p w14:paraId="1F3ADC0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490" w:type="pct"/>
            <w:vMerge w:val="continue"/>
            <w:noWrap w:val="0"/>
            <w:vAlign w:val="center"/>
          </w:tcPr>
          <w:p w14:paraId="2CBF80E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457" w:type="pct"/>
            <w:vMerge w:val="continue"/>
            <w:noWrap w:val="0"/>
            <w:vAlign w:val="center"/>
          </w:tcPr>
          <w:p w14:paraId="6035940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2658" w:type="pct"/>
            <w:vMerge w:val="continue"/>
            <w:noWrap w:val="0"/>
            <w:vAlign w:val="center"/>
          </w:tcPr>
          <w:p w14:paraId="72CFD59E">
            <w:pPr>
              <w:keepNext w:val="0"/>
              <w:keepLines w:val="0"/>
              <w:pageBreakBefore w:val="0"/>
              <w:widowControl w:val="0"/>
              <w:kinsoku/>
              <w:wordWrap/>
              <w:overflowPunct/>
              <w:topLinePunct w:val="0"/>
              <w:autoSpaceDE/>
              <w:autoSpaceDN/>
              <w:bidi w:val="0"/>
              <w:adjustRightInd/>
              <w:snapToGrid/>
              <w:spacing w:line="270" w:lineRule="exact"/>
              <w:jc w:val="center"/>
              <w:textAlignment w:val="auto"/>
              <w:rPr>
                <w:rFonts w:hint="eastAsia" w:ascii="宋体" w:hAnsi="宋体" w:eastAsia="宋体" w:cs="宋体"/>
                <w:b w:val="0"/>
                <w:bCs w:val="0"/>
                <w:smallCaps w:val="0"/>
                <w:color w:val="auto"/>
                <w:spacing w:val="0"/>
                <w:sz w:val="21"/>
                <w:szCs w:val="21"/>
              </w:rPr>
            </w:pPr>
          </w:p>
        </w:tc>
        <w:tc>
          <w:tcPr>
            <w:tcW w:w="1090" w:type="pct"/>
            <w:noWrap w:val="0"/>
            <w:vAlign w:val="center"/>
          </w:tcPr>
          <w:p w14:paraId="22A4057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r>
              <w:rPr>
                <w:rFonts w:hint="eastAsia" w:ascii="宋体" w:hAnsi="宋体" w:eastAsia="宋体" w:cs="宋体"/>
                <w:b w:val="0"/>
                <w:bCs w:val="0"/>
                <w:i w:val="0"/>
                <w:iCs w:val="0"/>
                <w:smallCaps w:val="0"/>
                <w:color w:val="auto"/>
                <w:spacing w:val="0"/>
                <w:sz w:val="21"/>
                <w:szCs w:val="21"/>
                <w:lang w:val="en-US" w:eastAsia="zh-CN"/>
              </w:rPr>
              <w:t>生牛肉38.33元/斤（去骨）</w:t>
            </w:r>
          </w:p>
        </w:tc>
      </w:tr>
      <w:tr w14:paraId="6C76E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8" w:hRule="atLeast"/>
          <w:jc w:val="center"/>
        </w:trPr>
        <w:tc>
          <w:tcPr>
            <w:tcW w:w="303" w:type="pct"/>
            <w:vMerge w:val="continue"/>
            <w:noWrap w:val="0"/>
            <w:vAlign w:val="center"/>
          </w:tcPr>
          <w:p w14:paraId="029DD23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490" w:type="pct"/>
            <w:vMerge w:val="continue"/>
            <w:noWrap w:val="0"/>
            <w:vAlign w:val="center"/>
          </w:tcPr>
          <w:p w14:paraId="3EB07EF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457" w:type="pct"/>
            <w:vMerge w:val="continue"/>
            <w:noWrap w:val="0"/>
            <w:vAlign w:val="center"/>
          </w:tcPr>
          <w:p w14:paraId="376DA64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2658" w:type="pct"/>
            <w:vMerge w:val="continue"/>
            <w:noWrap w:val="0"/>
            <w:vAlign w:val="center"/>
          </w:tcPr>
          <w:p w14:paraId="358D7C16">
            <w:pPr>
              <w:keepNext w:val="0"/>
              <w:keepLines w:val="0"/>
              <w:pageBreakBefore w:val="0"/>
              <w:widowControl w:val="0"/>
              <w:kinsoku/>
              <w:wordWrap/>
              <w:overflowPunct/>
              <w:topLinePunct w:val="0"/>
              <w:autoSpaceDE/>
              <w:autoSpaceDN/>
              <w:bidi w:val="0"/>
              <w:adjustRightInd/>
              <w:snapToGrid/>
              <w:spacing w:line="270" w:lineRule="exact"/>
              <w:jc w:val="center"/>
              <w:textAlignment w:val="auto"/>
              <w:rPr>
                <w:rFonts w:hint="eastAsia" w:ascii="宋体" w:hAnsi="宋体" w:eastAsia="宋体" w:cs="宋体"/>
                <w:b w:val="0"/>
                <w:bCs w:val="0"/>
                <w:smallCaps w:val="0"/>
                <w:color w:val="auto"/>
                <w:spacing w:val="0"/>
                <w:sz w:val="21"/>
                <w:szCs w:val="21"/>
              </w:rPr>
            </w:pPr>
          </w:p>
        </w:tc>
        <w:tc>
          <w:tcPr>
            <w:tcW w:w="1090" w:type="pct"/>
            <w:noWrap w:val="0"/>
            <w:vAlign w:val="center"/>
          </w:tcPr>
          <w:p w14:paraId="27B873B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r>
              <w:rPr>
                <w:rFonts w:hint="eastAsia" w:ascii="宋体" w:hAnsi="宋体" w:eastAsia="宋体" w:cs="宋体"/>
                <w:b w:val="0"/>
                <w:bCs w:val="0"/>
                <w:i w:val="0"/>
                <w:iCs w:val="0"/>
                <w:smallCaps w:val="0"/>
                <w:color w:val="auto"/>
                <w:spacing w:val="0"/>
                <w:sz w:val="21"/>
                <w:szCs w:val="21"/>
                <w:lang w:val="en-US" w:eastAsia="zh-CN"/>
              </w:rPr>
              <w:t>生</w:t>
            </w:r>
            <w:r>
              <w:rPr>
                <w:rFonts w:hint="eastAsia" w:ascii="宋体" w:hAnsi="宋体" w:eastAsia="宋体" w:cs="宋体"/>
                <w:b w:val="0"/>
                <w:bCs w:val="0"/>
                <w:smallCaps w:val="0"/>
                <w:color w:val="auto"/>
                <w:spacing w:val="0"/>
                <w:sz w:val="21"/>
                <w:szCs w:val="21"/>
                <w:lang w:val="en-US" w:eastAsia="zh-CN"/>
              </w:rPr>
              <w:t>羊肉35元/斤</w:t>
            </w:r>
            <w:r>
              <w:rPr>
                <w:rFonts w:hint="eastAsia" w:ascii="宋体" w:hAnsi="宋体" w:eastAsia="宋体" w:cs="宋体"/>
                <w:b w:val="0"/>
                <w:bCs w:val="0"/>
                <w:i w:val="0"/>
                <w:iCs w:val="0"/>
                <w:smallCaps w:val="0"/>
                <w:color w:val="auto"/>
                <w:spacing w:val="0"/>
                <w:sz w:val="21"/>
                <w:szCs w:val="21"/>
                <w:lang w:val="en-US" w:eastAsia="zh-CN"/>
              </w:rPr>
              <w:t>（去骨）</w:t>
            </w:r>
          </w:p>
        </w:tc>
      </w:tr>
      <w:tr w14:paraId="569A6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2" w:hRule="atLeast"/>
          <w:jc w:val="center"/>
        </w:trPr>
        <w:tc>
          <w:tcPr>
            <w:tcW w:w="303" w:type="pct"/>
            <w:noWrap w:val="0"/>
            <w:vAlign w:val="center"/>
          </w:tcPr>
          <w:p w14:paraId="66752A39">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eastAsia="zh-CN"/>
              </w:rPr>
              <w:t>合同包</w:t>
            </w:r>
            <w:r>
              <w:rPr>
                <w:rFonts w:hint="eastAsia" w:ascii="宋体" w:hAnsi="宋体" w:eastAsia="宋体" w:cs="宋体"/>
                <w:b w:val="0"/>
                <w:bCs w:val="0"/>
                <w:smallCaps w:val="0"/>
                <w:color w:val="auto"/>
                <w:spacing w:val="0"/>
                <w:sz w:val="21"/>
                <w:szCs w:val="21"/>
                <w:lang w:val="en-US" w:eastAsia="zh-CN"/>
              </w:rPr>
              <w:t>6</w:t>
            </w:r>
          </w:p>
        </w:tc>
        <w:tc>
          <w:tcPr>
            <w:tcW w:w="490" w:type="pct"/>
            <w:noWrap w:val="0"/>
            <w:vAlign w:val="center"/>
          </w:tcPr>
          <w:p w14:paraId="2BF445BA">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val="0"/>
                <w:bCs w:val="0"/>
                <w:smallCaps w:val="0"/>
                <w:color w:val="auto"/>
                <w:spacing w:val="0"/>
                <w:sz w:val="21"/>
                <w:szCs w:val="21"/>
                <w:lang w:eastAsia="zh-CN"/>
              </w:rPr>
            </w:pPr>
            <w:r>
              <w:rPr>
                <w:rFonts w:hint="eastAsia" w:ascii="宋体" w:hAnsi="宋体" w:eastAsia="宋体" w:cs="宋体"/>
                <w:b w:val="0"/>
                <w:bCs w:val="0"/>
                <w:smallCaps w:val="0"/>
                <w:color w:val="auto"/>
                <w:spacing w:val="0"/>
                <w:sz w:val="21"/>
                <w:szCs w:val="21"/>
                <w:lang w:val="en-US" w:eastAsia="zh-CN"/>
              </w:rPr>
              <w:t>纯牛奶</w:t>
            </w:r>
            <w:r>
              <w:rPr>
                <w:rFonts w:hint="eastAsia" w:ascii="宋体" w:hAnsi="宋体" w:eastAsia="宋体" w:cs="宋体"/>
                <w:b w:val="0"/>
                <w:bCs w:val="0"/>
                <w:smallCaps w:val="0"/>
                <w:color w:val="auto"/>
                <w:spacing w:val="0"/>
                <w:sz w:val="21"/>
                <w:szCs w:val="21"/>
                <w:lang w:eastAsia="zh-CN"/>
              </w:rPr>
              <w:t>（A区）</w:t>
            </w:r>
          </w:p>
        </w:tc>
        <w:tc>
          <w:tcPr>
            <w:tcW w:w="3116" w:type="pct"/>
            <w:gridSpan w:val="2"/>
            <w:noWrap w:val="0"/>
            <w:vAlign w:val="center"/>
          </w:tcPr>
          <w:p w14:paraId="119123E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符合GB 25190-2010《食品安全国家标准 灭菌乳》（含第1号修改单）。单盒净含量≥200mL，净含量标识符合定量包装相关法规。蛋白质≥3.0g/100mL。产品原料仅限生牛乳，不得使用复原乳，不得添加任何食品添加剂。包装完好，无胀包、漏液；产品无分层、结块、酸败及其他异味，具备纯牛乳正常风味。生产企业持有有效期内SC食品生产许可证，许可范围包含乳制品[灭菌乳]类别；企业建立生鲜乳原料至成品出厂全过程质量管控与溯源体系。投标时提供生产企业投标截止日前12个月内具备CMA资质第三方机构出具的产品型式检验报告；供货时随货提供对应批次出厂检验合格报告。产品外包装标签标识符合GB 7718-2011《食品安全国家标准 预包装食品标签通则》及后续有效修订版。到货产品剩余保质期不低于产品总保质期的2/3，同批次产品生产日期统一。</w:t>
            </w:r>
          </w:p>
        </w:tc>
        <w:tc>
          <w:tcPr>
            <w:tcW w:w="1090" w:type="pct"/>
            <w:noWrap w:val="0"/>
            <w:vAlign w:val="center"/>
          </w:tcPr>
          <w:p w14:paraId="3F1C37B4">
            <w:pPr>
              <w:keepNext w:val="0"/>
              <w:keepLines w:val="0"/>
              <w:pageBreakBefore w:val="0"/>
              <w:widowControl w:val="0"/>
              <w:kinsoku/>
              <w:wordWrap/>
              <w:overflowPunct/>
              <w:topLinePunct w:val="0"/>
              <w:autoSpaceDE/>
              <w:autoSpaceDN/>
              <w:bidi w:val="0"/>
              <w:adjustRightInd/>
              <w:snapToGrid/>
              <w:spacing w:line="290" w:lineRule="exact"/>
              <w:jc w:val="center"/>
              <w:textAlignment w:val="auto"/>
              <w:rPr>
                <w:rFonts w:hint="eastAsia" w:ascii="宋体" w:hAnsi="宋体" w:eastAsia="宋体" w:cs="宋体"/>
                <w:b w:val="0"/>
                <w:bCs w:val="0"/>
                <w:smallCaps w:val="0"/>
                <w:color w:val="auto"/>
                <w:spacing w:val="0"/>
                <w:sz w:val="21"/>
                <w:szCs w:val="21"/>
              </w:rPr>
            </w:pPr>
            <w:r>
              <w:rPr>
                <w:rFonts w:hint="eastAsia" w:ascii="宋体" w:hAnsi="宋体" w:eastAsia="宋体" w:cs="宋体"/>
                <w:b w:val="0"/>
                <w:bCs w:val="0"/>
                <w:smallCaps w:val="0"/>
                <w:color w:val="auto"/>
                <w:spacing w:val="0"/>
                <w:sz w:val="21"/>
                <w:szCs w:val="21"/>
              </w:rPr>
              <w:t>2.</w:t>
            </w:r>
            <w:r>
              <w:rPr>
                <w:rFonts w:hint="eastAsia" w:ascii="宋体" w:hAnsi="宋体" w:eastAsia="宋体" w:cs="宋体"/>
                <w:b w:val="0"/>
                <w:bCs w:val="0"/>
                <w:smallCaps w:val="0"/>
                <w:color w:val="auto"/>
                <w:spacing w:val="0"/>
                <w:sz w:val="21"/>
                <w:szCs w:val="21"/>
                <w:lang w:val="en-US" w:eastAsia="zh-CN"/>
              </w:rPr>
              <w:t>05</w:t>
            </w:r>
            <w:r>
              <w:rPr>
                <w:rFonts w:hint="eastAsia" w:ascii="宋体" w:hAnsi="宋体" w:eastAsia="宋体" w:cs="宋体"/>
                <w:b w:val="0"/>
                <w:bCs w:val="0"/>
                <w:smallCaps w:val="0"/>
                <w:color w:val="auto"/>
                <w:spacing w:val="0"/>
                <w:sz w:val="21"/>
                <w:szCs w:val="21"/>
              </w:rPr>
              <w:t>元/盒</w:t>
            </w:r>
          </w:p>
        </w:tc>
      </w:tr>
      <w:tr w14:paraId="245BE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5" w:hRule="atLeast"/>
          <w:jc w:val="center"/>
        </w:trPr>
        <w:tc>
          <w:tcPr>
            <w:tcW w:w="303" w:type="pct"/>
            <w:noWrap w:val="0"/>
            <w:vAlign w:val="center"/>
          </w:tcPr>
          <w:p w14:paraId="49CC402A">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eastAsia="zh-CN"/>
              </w:rPr>
              <w:t>合同包</w:t>
            </w:r>
            <w:r>
              <w:rPr>
                <w:rFonts w:hint="eastAsia" w:ascii="宋体" w:hAnsi="宋体" w:eastAsia="宋体" w:cs="宋体"/>
                <w:b w:val="0"/>
                <w:bCs w:val="0"/>
                <w:smallCaps w:val="0"/>
                <w:color w:val="auto"/>
                <w:spacing w:val="0"/>
                <w:sz w:val="21"/>
                <w:szCs w:val="21"/>
                <w:lang w:val="en-US" w:eastAsia="zh-CN"/>
              </w:rPr>
              <w:t>7</w:t>
            </w:r>
          </w:p>
        </w:tc>
        <w:tc>
          <w:tcPr>
            <w:tcW w:w="490" w:type="pct"/>
            <w:noWrap w:val="0"/>
            <w:vAlign w:val="center"/>
          </w:tcPr>
          <w:p w14:paraId="4399FCA1">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纯牛奶（C区）</w:t>
            </w:r>
          </w:p>
        </w:tc>
        <w:tc>
          <w:tcPr>
            <w:tcW w:w="3116" w:type="pct"/>
            <w:gridSpan w:val="2"/>
            <w:noWrap w:val="0"/>
            <w:vAlign w:val="center"/>
          </w:tcPr>
          <w:p w14:paraId="52F109B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kern w:val="2"/>
                <w:sz w:val="21"/>
                <w:szCs w:val="21"/>
                <w:lang w:val="en-US" w:eastAsia="zh-CN" w:bidi="ar-SA"/>
              </w:rPr>
            </w:pPr>
            <w:r>
              <w:rPr>
                <w:rFonts w:hint="eastAsia" w:ascii="宋体" w:hAnsi="宋体" w:eastAsia="宋体" w:cs="宋体"/>
                <w:b w:val="0"/>
                <w:bCs w:val="0"/>
                <w:smallCaps w:val="0"/>
                <w:color w:val="auto"/>
                <w:spacing w:val="0"/>
                <w:sz w:val="21"/>
                <w:szCs w:val="21"/>
                <w:lang w:val="en-US" w:eastAsia="zh-CN"/>
              </w:rPr>
              <w:t>符合GB 25190-2010《食品安全国家标准 灭菌乳》（含第1号修改单）。单盒净含量≥200mL，净含量标识符合定量包装相关法规。蛋白质≥3.0g/100mL。产品原料仅限生牛乳，不得使用复原乳，不得添加任何食品添加剂。包装完好，无胀包、漏液；产品无分层、结块、酸败及其他异味，具备纯牛乳正常风味。生产企业持有有效期内SC食品生产许可证，许可范围包含乳制品[灭菌乳]类别；企业建立生鲜乳原料至成品出厂全过程质量管控与溯源体系。投标时提供生产企业投标截止日前12个月内具备CMA资质第三方机构出具的产品型式检验报告；供货时随货提供对应批次出厂检验合格报告。产品外包装标签标识符合GB 7718-2011《食品安全国家标准 预包装食品标签通则》及后续有效修订版。到货产品剩余保质期不低于产品总保质期的2/3，同批次产品生产日期统一。</w:t>
            </w:r>
          </w:p>
        </w:tc>
        <w:tc>
          <w:tcPr>
            <w:tcW w:w="1090" w:type="pct"/>
            <w:noWrap w:val="0"/>
            <w:vAlign w:val="center"/>
          </w:tcPr>
          <w:p w14:paraId="299B7E33">
            <w:pPr>
              <w:keepNext w:val="0"/>
              <w:keepLines w:val="0"/>
              <w:pageBreakBefore w:val="0"/>
              <w:widowControl w:val="0"/>
              <w:kinsoku/>
              <w:wordWrap/>
              <w:overflowPunct/>
              <w:topLinePunct w:val="0"/>
              <w:autoSpaceDE/>
              <w:autoSpaceDN/>
              <w:bidi w:val="0"/>
              <w:adjustRightInd/>
              <w:snapToGrid/>
              <w:spacing w:line="290" w:lineRule="exact"/>
              <w:jc w:val="center"/>
              <w:textAlignment w:val="auto"/>
              <w:rPr>
                <w:rFonts w:hint="eastAsia" w:ascii="宋体" w:hAnsi="宋体" w:eastAsia="宋体" w:cs="宋体"/>
                <w:b w:val="0"/>
                <w:bCs w:val="0"/>
                <w:smallCaps w:val="0"/>
                <w:color w:val="auto"/>
                <w:spacing w:val="0"/>
                <w:kern w:val="2"/>
                <w:sz w:val="21"/>
                <w:szCs w:val="21"/>
                <w:lang w:val="en-US" w:eastAsia="zh-CN" w:bidi="ar-SA"/>
              </w:rPr>
            </w:pPr>
            <w:r>
              <w:rPr>
                <w:rFonts w:hint="eastAsia" w:ascii="宋体" w:hAnsi="宋体" w:eastAsia="宋体" w:cs="宋体"/>
                <w:b w:val="0"/>
                <w:bCs w:val="0"/>
                <w:smallCaps w:val="0"/>
                <w:color w:val="auto"/>
                <w:spacing w:val="0"/>
                <w:sz w:val="21"/>
                <w:szCs w:val="21"/>
              </w:rPr>
              <w:t>2.</w:t>
            </w:r>
            <w:r>
              <w:rPr>
                <w:rFonts w:hint="eastAsia" w:ascii="宋体" w:hAnsi="宋体" w:eastAsia="宋体" w:cs="宋体"/>
                <w:b w:val="0"/>
                <w:bCs w:val="0"/>
                <w:smallCaps w:val="0"/>
                <w:color w:val="auto"/>
                <w:spacing w:val="0"/>
                <w:sz w:val="21"/>
                <w:szCs w:val="21"/>
                <w:lang w:val="en-US" w:eastAsia="zh-CN"/>
              </w:rPr>
              <w:t>05</w:t>
            </w:r>
            <w:r>
              <w:rPr>
                <w:rFonts w:hint="eastAsia" w:ascii="宋体" w:hAnsi="宋体" w:eastAsia="宋体" w:cs="宋体"/>
                <w:b w:val="0"/>
                <w:bCs w:val="0"/>
                <w:smallCaps w:val="0"/>
                <w:color w:val="auto"/>
                <w:spacing w:val="0"/>
                <w:sz w:val="21"/>
                <w:szCs w:val="21"/>
              </w:rPr>
              <w:t>元/盒</w:t>
            </w:r>
          </w:p>
        </w:tc>
      </w:tr>
    </w:tbl>
    <w:p w14:paraId="157677A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功能目标：通过采购安全、优质、营养、合规的大宗食材，优化中小学生日常膳食结构，均衡补充蛋白质、维生素、矿物质等生长必需微量元素，改善学生营养状况，有效增强学生身体素质，助力青少年健康成长，保障校园营养餐安全、规范、常态化供应。</w:t>
      </w:r>
    </w:p>
    <w:p w14:paraId="2E2318B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4.标准要求：所有供货食材除满足各品类专属国标外，须同时符合以下通用标准，所有条款为实质性响应条款，不满足视为无效投标、履约不合格：</w:t>
      </w:r>
    </w:p>
    <w:p w14:paraId="03354E7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（1）食品安全通用标准：严格执行《中华人民共和国食品安全法》《学校食品安全与营养健康管理规定》，食材污染物、农药残留、兽药残留符合GB 2763、GB 31650-2019《食品安全国家标准 食品中兽药最大残留限量》、GB 2762《食品安全国家标准 食品中污染物限量》，严禁使用过期、变质、三无、翻新、陈化食材。</w:t>
      </w:r>
    </w:p>
    <w:p w14:paraId="70A53FB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（2）包装标识标准：所有预包装食品标签符合</w:t>
      </w:r>
      <w:r>
        <w:rPr>
          <w:rFonts w:ascii="宋体" w:hAnsi="宋体" w:eastAsia="宋体" w:cs="宋体"/>
          <w:color w:val="auto"/>
          <w:sz w:val="24"/>
          <w:szCs w:val="24"/>
        </w:rPr>
        <w:t>GB 7718-2011《食品安全国家标准 预包装食品标签通则》及后续有效修订版、GB 28050-2011《食品安全国家标准 预包装食品营养标签通则》及后续有效修订版</w:t>
      </w:r>
      <w:r>
        <w:rPr>
          <w:rFonts w:hint="eastAsia" w:ascii="宋体" w:hAnsi="宋体" w:eastAsia="宋体" w:cs="宋体"/>
          <w:color w:val="auto"/>
          <w:sz w:val="24"/>
          <w:szCs w:val="24"/>
          <w:lang w:val="en-US" w:eastAsia="zh-CN"/>
        </w:rPr>
        <w:t>，清晰标注产品名称、规格、生产日期、保质期、生产厂家、SC编号、执行标准、溯源码等信息，包装完好无破损、无漏液、无污染。</w:t>
      </w:r>
    </w:p>
    <w:p w14:paraId="37F826E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（3）溯源管理标准：预包装粮油、纯牛奶可提供生产批次溯源信息；生鲜肉类附动物检疫溯源凭证；鲜鸡蛋可提供养殖场来源备案信息，溯源资料可随时向采购人、监管部门调取。。</w:t>
      </w:r>
    </w:p>
    <w:p w14:paraId="00542CE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（4）检测资质标准：所有食材年度CMA检验报告真实有效，批次检疫报告、检测资料齐全，杜绝伪造、过期检测文件。</w:t>
      </w:r>
    </w:p>
    <w:p w14:paraId="747E20C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（5）配送通用标准：生鲜食材全程冷链运输，温控数据实时可查，配送车辆定期消杀，人员持有效健康证上岗，配送过程无污染、无二次污染。</w:t>
      </w:r>
    </w:p>
    <w:p w14:paraId="7710DD7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5.需满足的采购政策：</w:t>
      </w:r>
    </w:p>
    <w:p w14:paraId="254691C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（1）《关于进一步加大政府采购支持中小企业力度的通知》（财库〔2022〕19号）、《政府采购促进中小企业发展管理办法》（财库〔2020〕46号）、《财政部 司法部关于政府采购支持监狱企业发展有关问题的通知》（财库〔2014〕68号）、《关于促进残疾人就业政府采购政策的通知》（财库〔2017〕141号）。</w:t>
      </w:r>
    </w:p>
    <w:p w14:paraId="3975FE8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（2）《关于运用政府采购政策支持乡村产业振兴的通知》（财库〔2021〕19 号）、《关于印发&lt;关于深入开展政府采购脱贫地区农副产品工作推进乡村产业振兴的实施意见&gt;的通知》（财库〔2021〕20 号）。</w:t>
      </w:r>
    </w:p>
    <w:p w14:paraId="0D52D32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（3）《陕西省财政厅关于加快推进我省中小企业政府采购信用融资工作的通知》（陕财办采〔2020〕15 号）、《陕西省财政厅关于印发&lt;陕西省中小企业政府采购信用融资办法&gt;的通知》（陕财办采〔2018〕23 号）。</w:t>
      </w:r>
    </w:p>
    <w:p w14:paraId="25449A2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（4）投标截止前最新生效的政府采购相关政策；</w:t>
      </w:r>
    </w:p>
    <w:p w14:paraId="48BAF30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（5）本项目非专门面向中小企业采购。</w:t>
      </w:r>
    </w:p>
    <w:p w14:paraId="32A609D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sz w:val="24"/>
          <w:szCs w:val="24"/>
          <w:lang w:val="en-US" w:eastAsia="zh-CN"/>
        </w:rPr>
        <w:t>6.交付时间：</w:t>
      </w:r>
      <w:r>
        <w:rPr>
          <w:rFonts w:hint="eastAsia" w:ascii="宋体" w:hAnsi="宋体" w:eastAsia="宋体" w:cs="宋体"/>
          <w:color w:val="auto"/>
          <w:kern w:val="0"/>
          <w:sz w:val="24"/>
          <w:szCs w:val="24"/>
          <w:lang w:val="en-US" w:eastAsia="zh-CN" w:bidi="ar"/>
        </w:rPr>
        <w:t>服务周期为自合同签订之日起至2027年7月31日，根据采购人各学校作息、供餐计划，每日按需定时配送，节假日、寒暑假按采购人通知暂停或按需配送。</w:t>
      </w:r>
    </w:p>
    <w:p w14:paraId="774001C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7.交付地点：</w:t>
      </w:r>
      <w:r>
        <w:rPr>
          <w:rFonts w:ascii="宋体" w:hAnsi="宋体" w:eastAsia="宋体" w:cs="宋体"/>
          <w:color w:val="auto"/>
          <w:kern w:val="0"/>
          <w:sz w:val="24"/>
          <w:szCs w:val="24"/>
          <w:lang w:val="en-US" w:eastAsia="zh-CN" w:bidi="ar"/>
        </w:rPr>
        <w:t>白水县采购人指定各中小学、幼儿园食堂点位（分A、B、C三个服务区域，按分包属地配送）。</w:t>
      </w:r>
    </w:p>
    <w:p w14:paraId="2445CC5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8.联合体：本项目不接受联合体投标。</w:t>
      </w:r>
    </w:p>
    <w:p w14:paraId="38723611">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三</w:t>
      </w:r>
      <w:r>
        <w:rPr>
          <w:rFonts w:hint="eastAsia" w:ascii="宋体" w:hAnsi="宋体" w:eastAsia="宋体" w:cs="宋体"/>
          <w:b/>
          <w:bCs/>
          <w:color w:val="auto"/>
          <w:sz w:val="24"/>
          <w:szCs w:val="24"/>
        </w:rPr>
        <w:t>、付款方式</w:t>
      </w:r>
      <w:r>
        <w:rPr>
          <w:rFonts w:hint="eastAsia" w:ascii="宋体" w:hAnsi="宋体" w:eastAsia="宋体" w:cs="宋体"/>
          <w:b/>
          <w:bCs/>
          <w:color w:val="auto"/>
          <w:sz w:val="24"/>
          <w:szCs w:val="24"/>
          <w:lang w:val="en-US" w:eastAsia="zh-CN"/>
        </w:rPr>
        <w:t>:</w:t>
      </w:r>
    </w:p>
    <w:p w14:paraId="6937D92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1.分期付款安排：本项目货款分10期支付，每期支付合同总金额的10.0%。</w:t>
      </w:r>
    </w:p>
    <w:p w14:paraId="1E72BFA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2.进度款申报与支付：供应商应于次⽉5⽇前将上⽉（⾃然⽉）双⽅签字确认的验收证明材料、货物清单及开具的正式发票，送学校确认，学校按照合同约定⽀付货款。</w:t>
      </w:r>
    </w:p>
    <w:p w14:paraId="33272D5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3.最终结算：项目最终结算金额依据实际供货数量、合同约定单价据实核算。</w:t>
      </w:r>
    </w:p>
    <w:p w14:paraId="6715F4EB">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四</w:t>
      </w:r>
      <w:r>
        <w:rPr>
          <w:rFonts w:hint="eastAsia" w:ascii="宋体" w:hAnsi="宋体" w:eastAsia="宋体" w:cs="宋体"/>
          <w:b/>
          <w:bCs/>
          <w:color w:val="auto"/>
          <w:sz w:val="24"/>
          <w:szCs w:val="24"/>
        </w:rPr>
        <w:t>、验收标准</w:t>
      </w:r>
      <w:r>
        <w:rPr>
          <w:rFonts w:hint="eastAsia" w:ascii="宋体" w:hAnsi="宋体" w:eastAsia="宋体" w:cs="宋体"/>
          <w:b/>
          <w:bCs/>
          <w:color w:val="auto"/>
          <w:sz w:val="24"/>
          <w:szCs w:val="24"/>
          <w:lang w:val="en-US" w:eastAsia="zh-CN"/>
        </w:rPr>
        <w:t>:</w:t>
      </w:r>
    </w:p>
    <w:p w14:paraId="1036516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1.验收依据：以《中华人民共和国食品安全法》、国家各品类食材强制国标、本次采购招标文件、投标文件、正式签订的采购合同、采购人管理制度为唯一验收依据。</w:t>
      </w:r>
    </w:p>
    <w:p w14:paraId="21657AB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到货日常验收：每次食材送达后，学校食堂管理人员、后勤负责人双人现场验收，核查食材规格、重量、外观、保质期、包装完整性，核对批次检疫报告、检测报告、溯源凭证、配送记录，当场查验冷链温控数据，不合格食材当场拒收、无条件退换，做好验收台账记录留存。</w:t>
      </w:r>
    </w:p>
    <w:p w14:paraId="50E4FD5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批次抽检及试运行验收：采购人、监管部门每月随机对供货食材进行抽样送检，重点检测农残、兽药残留、重金属、微生物等指标；每学期开展阶段性履约试运行验收，核查配送时效、食材质量、售后响应、合规性，试运行不合格的责令限期整改，整改不到位暂停付款、终止履约资格。</w:t>
      </w:r>
    </w:p>
    <w:p w14:paraId="70131FA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学年度正式验收：学年服务期满后，采购人组织专项验收小组，对全学年供货批次、食材质量、配送服务、资料归档、问题整改、售后服务等进行全面整体验收，出具正式履约验收报告，作为尾款结算核心依据。</w:t>
      </w:r>
    </w:p>
    <w:p w14:paraId="5519709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验收整改要求：验收中发现食材质量不达标、资料缺失、配送不及时、服务违规等问题，供应商须在采购人规定时限内无条件整改、退换货品、补齐资料；逾期未整改、整改不合格、重复出现问题的，视为严重违约，采购人有权扣除履约保证金、暂缓或拒付尾款、终止合同。</w:t>
      </w:r>
    </w:p>
    <w:p w14:paraId="2E6F091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6.验收结果认定：验收结果分为合格、不合格两个等级。单次到货不合格立即退换；阶段性验收不合格限期整改；学年整体验收合格方可全额结算；整体验收不合格的，采购人有权不予结算剩余款项，并记入政府采购不良信用记录。</w:t>
      </w:r>
    </w:p>
    <w:p w14:paraId="6E635144">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五、售后服务</w:t>
      </w:r>
    </w:p>
    <w:p w14:paraId="3898E48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1.质保期：本项目整体质保期与服务周期一致（</w:t>
      </w:r>
      <w:r>
        <w:rPr>
          <w:rFonts w:hint="eastAsia" w:ascii="宋体" w:hAnsi="宋体" w:eastAsia="宋体" w:cs="宋体"/>
          <w:color w:val="auto"/>
          <w:kern w:val="0"/>
          <w:sz w:val="24"/>
          <w:szCs w:val="24"/>
          <w:lang w:val="en-US" w:eastAsia="zh-CN" w:bidi="ar"/>
        </w:rPr>
        <w:t>自合同签订之日起至2027年7月31日</w:t>
      </w:r>
      <w:r>
        <w:rPr>
          <w:rFonts w:hint="eastAsia" w:ascii="宋体" w:hAnsi="宋体" w:eastAsia="宋体" w:cs="宋体"/>
          <w:color w:val="auto"/>
          <w:sz w:val="24"/>
          <w:szCs w:val="24"/>
          <w:lang w:val="en-US" w:eastAsia="zh-CN"/>
        </w:rPr>
        <w:t>），所有送达食材在保质期、保鲜期内全程质保，因食材质量问题产生的一切损失由供应商全额承担。</w:t>
      </w:r>
    </w:p>
    <w:p w14:paraId="1389DE8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2.售后响应：</w:t>
      </w:r>
    </w:p>
    <w:p w14:paraId="0C36594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应急响应：供应商须设立24小时服务热线，工作日食材问题30分钟内响应，1小时内完成现场处置、退换货；节假日、突发情况1小时内响应，2小时内处置完毕，保障校园正常供餐。无法及时补货造成食堂断供的，按合同违约责任执行。</w:t>
      </w:r>
    </w:p>
    <w:p w14:paraId="0BD961D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（2）退换货服务：所有不合格、过期、变质、规格不符、检测超标食材，供应商必须无条件免费退换、补送，承担全部物流及损失费用。</w:t>
      </w:r>
    </w:p>
    <w:p w14:paraId="7CAD576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（3）定期回访：供应商每月主动对接各服务学校，回访食材质量、配送服务情况，建立售后台账，及时优化服务。</w:t>
      </w:r>
    </w:p>
    <w:p w14:paraId="0667ABB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（4）应急保障：遇极端天气、食材紧缺、突发食品安全事件，供应商须优先保障本项目供货，不得擅自停供、断供、涨价。</w:t>
      </w:r>
    </w:p>
    <w:p w14:paraId="7679D8C8">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六、其他要求</w:t>
      </w:r>
    </w:p>
    <w:p w14:paraId="4EEDE19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知识产权要求：供应商所供食材、检测资料、品牌资质等均为合法合规自有知识产权、授权使用权，不存在侵权、假冒、伪造情况；若发生知识产权纠纷，所有法律责任、经济损失由供应商自行承担，与采购人无关。</w:t>
      </w:r>
    </w:p>
    <w:p w14:paraId="32AB8F1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成本补偿与风险分担：本项目投标报价包含食材采购、加工生产、检验检测、包装、冷链配送、税费、售后服务、质量保障、应急补送等全部费用，为包干综合单价。如遇市场价格发生波动，由采购单位与供应商共同开展市场调研；米、面、油价格在中标单价±5%区间内不作调整，鸡蛋、肉类价格在中标单价±10%区间内不作调整；若价格波动超出上述区间，双方召开专题会议商议确定调整后价格。纯牛奶中标单价不作任何调整。</w:t>
      </w:r>
    </w:p>
    <w:p w14:paraId="2552799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3.违约责任与争议解决：</w:t>
      </w:r>
    </w:p>
    <w:p w14:paraId="6FE6D98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（1）供应商逾期配送、供货不合格、擅自停供、转包分包、资质造假的，视为违约，采购人有权扣除履约保证金、扣减结算款、终止合同，列入政府采购黑名单。</w:t>
      </w:r>
    </w:p>
    <w:p w14:paraId="7B5FB6E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（2）因食材质量问题引发食品安全事故的，供应商承担全部民事、行政、刑事责任，赔偿采购人全部损失。</w:t>
      </w:r>
    </w:p>
    <w:p w14:paraId="0BA79E0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（3）合同履约争议优先双方协商解决，协商不成的，向项目属地人民法院提起诉讼。</w:t>
      </w:r>
    </w:p>
    <w:p w14:paraId="2ABBA42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4.其他约束条款</w:t>
      </w:r>
    </w:p>
    <w:p w14:paraId="7FD1309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（1）供应商须严格遵守校园食品安全管理规定，配送人员入校服从学校管理，严禁行贿、违规接触校方工作人员，杜绝不正当竞争行为。</w:t>
      </w:r>
    </w:p>
    <w:p w14:paraId="4554FBA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（2）供应商须配合采购人、市场监管、教育部门的日常检查、抽样检测、专项督查，按时提交各类备案资料、台账资料。</w:t>
      </w:r>
    </w:p>
    <w:p w14:paraId="11F0469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（3）服务周期内，供应商资质、设备、冷链车辆、检测条件发生变更的，须提前7个工作日书面报备采购人，经审核通过后方可继续履约。</w:t>
      </w:r>
    </w:p>
    <w:p w14:paraId="6C93E954">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七、履约验收</w:t>
      </w:r>
    </w:p>
    <w:p w14:paraId="7A1200E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1.验收程序：日常到货验收→月度抽样核验→学期阶段性验收→学年整体竣工验收→资料归档→结算确认。</w:t>
      </w:r>
    </w:p>
    <w:p w14:paraId="4D88052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2.验收时间：</w:t>
      </w:r>
    </w:p>
    <w:p w14:paraId="151A2FD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（1）日常验收：食材送达当日即时验收；</w:t>
      </w:r>
    </w:p>
    <w:p w14:paraId="098F9DB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（2）月度核验：每月最后5个工作日完成月度抽检核验；</w:t>
      </w:r>
    </w:p>
    <w:p w14:paraId="030C475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（3）阶段性验收：每学期期末开展学期履约验收；</w:t>
      </w:r>
    </w:p>
    <w:p w14:paraId="33438D4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（4）整体验收：2027年8月15日前完成全学年正式履约验收。</w:t>
      </w:r>
    </w:p>
    <w:p w14:paraId="0751FB9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3.验收基础要求：验收全程留痕、台账完整、资料可溯，所有验收记录、检测报告、送货单、整改记录统一归档留存，验收人员签字确认，确保验收合规、真实、有效。</w:t>
      </w:r>
    </w:p>
    <w:p w14:paraId="300C7E0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4.技术履约验收内容：</w:t>
      </w:r>
    </w:p>
    <w:p w14:paraId="2045BAE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（1）食材品类、规格、重量、质量是否符合招标及合同标准；</w:t>
      </w:r>
    </w:p>
    <w:p w14:paraId="0D36A54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（2）食材检测指标、卫生指标、安全指标是否达标；</w:t>
      </w:r>
    </w:p>
    <w:p w14:paraId="1E81DA7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（3）冷链配送、储存设备、温控溯源是否合规；</w:t>
      </w:r>
    </w:p>
    <w:p w14:paraId="4058251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（4）批次检疫、检测、资质资料是否齐全有效；</w:t>
      </w:r>
    </w:p>
    <w:p w14:paraId="071B5C4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（5）食材无变质、无超标、无质量安全隐患。</w:t>
      </w:r>
    </w:p>
    <w:p w14:paraId="596094A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5.商务履约验收内容</w:t>
      </w:r>
    </w:p>
    <w:p w14:paraId="132317C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（1）配送时效、供货频次是否满足学校供餐需求；</w:t>
      </w:r>
    </w:p>
    <w:p w14:paraId="4C1D687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（2）售后服务、应急响应、问题整改是否及时到位；</w:t>
      </w:r>
    </w:p>
    <w:p w14:paraId="100FA69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（3）是否存在转包、分包、逾期供货、擅自涨价等违约行为；</w:t>
      </w:r>
    </w:p>
    <w:p w14:paraId="63D314E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（4）台账资料、发票票据、备案手续是否完整规范；</w:t>
      </w:r>
    </w:p>
    <w:p w14:paraId="659D330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（5）全程遵守政府采购及校园服务相关管理规定。</w:t>
      </w:r>
    </w:p>
    <w:p w14:paraId="1CFEBE5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6.履约验收标准：所有技术指标100%达标、商务服务零重大违约、无食品安全问题、资料完整归档，即为履约验收合格；任意一项核心指标不达标、出现食品安全隐患、重大服务违约，整体验收不合格。</w:t>
      </w:r>
    </w:p>
    <w:p w14:paraId="6A8255F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7.其他验收事项：采购人可联合市场监管、教育主管部门开展第三方专项抽检，抽检费用由采购人承担；若抽检不合格，复检费用及全部损失由供应商承担，并从严追究违约责任。</w:t>
      </w:r>
    </w:p>
    <w:p w14:paraId="3C8F16D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p>
    <w:p w14:paraId="0CAEDED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p>
    <w:p w14:paraId="1B00727C">
      <w:pPr>
        <w:keepNext w:val="0"/>
        <w:keepLines w:val="0"/>
        <w:pageBreakBefore w:val="0"/>
        <w:widowControl w:val="0"/>
        <w:kinsoku/>
        <w:wordWrap/>
        <w:overflowPunct/>
        <w:topLinePunct w:val="0"/>
        <w:autoSpaceDE/>
        <w:autoSpaceDN/>
        <w:bidi w:val="0"/>
        <w:adjustRightInd/>
        <w:snapToGrid/>
        <w:spacing w:line="440" w:lineRule="exact"/>
        <w:ind w:firstLine="5760" w:firstLineChars="24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白水县教育体育局</w:t>
      </w:r>
    </w:p>
    <w:p w14:paraId="074FEC6A">
      <w:pPr>
        <w:keepNext w:val="0"/>
        <w:keepLines w:val="0"/>
        <w:pageBreakBefore w:val="0"/>
        <w:widowControl w:val="0"/>
        <w:kinsoku/>
        <w:wordWrap/>
        <w:overflowPunct/>
        <w:topLinePunct w:val="0"/>
        <w:autoSpaceDE/>
        <w:autoSpaceDN/>
        <w:bidi w:val="0"/>
        <w:adjustRightInd/>
        <w:snapToGrid/>
        <w:spacing w:line="440" w:lineRule="exact"/>
        <w:ind w:firstLine="5760" w:firstLineChars="24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2026年8月27日</w:t>
      </w:r>
    </w:p>
    <w:sectPr>
      <w:pgSz w:w="11906" w:h="16838"/>
      <w:pgMar w:top="1417" w:right="1417" w:bottom="1417" w:left="1701"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Q2MTU3ZWZhOGEyMTc3N2M2NGIxNzdkMDE4OGM2NTcifQ=="/>
  </w:docVars>
  <w:rsids>
    <w:rsidRoot w:val="312F1291"/>
    <w:rsid w:val="00054A99"/>
    <w:rsid w:val="00122BD2"/>
    <w:rsid w:val="00412AA9"/>
    <w:rsid w:val="005571C2"/>
    <w:rsid w:val="00635C19"/>
    <w:rsid w:val="006B5D62"/>
    <w:rsid w:val="00CC6118"/>
    <w:rsid w:val="00CE3907"/>
    <w:rsid w:val="00E05BFE"/>
    <w:rsid w:val="00F12F49"/>
    <w:rsid w:val="01ED0B55"/>
    <w:rsid w:val="020801E0"/>
    <w:rsid w:val="02755105"/>
    <w:rsid w:val="03AE2634"/>
    <w:rsid w:val="03C11118"/>
    <w:rsid w:val="03C20023"/>
    <w:rsid w:val="03F52C3A"/>
    <w:rsid w:val="043E3C34"/>
    <w:rsid w:val="04497378"/>
    <w:rsid w:val="045D535C"/>
    <w:rsid w:val="046B53F9"/>
    <w:rsid w:val="04AE1AD1"/>
    <w:rsid w:val="04C86263"/>
    <w:rsid w:val="053C6EDC"/>
    <w:rsid w:val="05F6146D"/>
    <w:rsid w:val="063248CB"/>
    <w:rsid w:val="066B5CCB"/>
    <w:rsid w:val="06FD0BBC"/>
    <w:rsid w:val="07212904"/>
    <w:rsid w:val="0781151E"/>
    <w:rsid w:val="08305465"/>
    <w:rsid w:val="08F55680"/>
    <w:rsid w:val="08FC00DF"/>
    <w:rsid w:val="091D75BB"/>
    <w:rsid w:val="093C74AB"/>
    <w:rsid w:val="09AC0A24"/>
    <w:rsid w:val="0A0A5BA8"/>
    <w:rsid w:val="0A256191"/>
    <w:rsid w:val="0B3553A4"/>
    <w:rsid w:val="0C404989"/>
    <w:rsid w:val="0D0F5DFE"/>
    <w:rsid w:val="0DE2307C"/>
    <w:rsid w:val="0E422022"/>
    <w:rsid w:val="0E683666"/>
    <w:rsid w:val="0F016DA8"/>
    <w:rsid w:val="0F0C3DC3"/>
    <w:rsid w:val="0F624E0E"/>
    <w:rsid w:val="0F7A2A78"/>
    <w:rsid w:val="102E635F"/>
    <w:rsid w:val="11230F50"/>
    <w:rsid w:val="11C12C43"/>
    <w:rsid w:val="11EC57E6"/>
    <w:rsid w:val="120C569A"/>
    <w:rsid w:val="12D133CA"/>
    <w:rsid w:val="14060DE1"/>
    <w:rsid w:val="142E66C7"/>
    <w:rsid w:val="143811B7"/>
    <w:rsid w:val="14AD3953"/>
    <w:rsid w:val="15E74BC8"/>
    <w:rsid w:val="163D0D06"/>
    <w:rsid w:val="168D7598"/>
    <w:rsid w:val="17640CBB"/>
    <w:rsid w:val="18031768"/>
    <w:rsid w:val="18694637"/>
    <w:rsid w:val="18796279"/>
    <w:rsid w:val="18921FDE"/>
    <w:rsid w:val="19AB73FE"/>
    <w:rsid w:val="1AF14E8F"/>
    <w:rsid w:val="1BF31497"/>
    <w:rsid w:val="1C0262FB"/>
    <w:rsid w:val="1C0A51E7"/>
    <w:rsid w:val="1C435A17"/>
    <w:rsid w:val="1C726FD2"/>
    <w:rsid w:val="1CA27B15"/>
    <w:rsid w:val="1CC04712"/>
    <w:rsid w:val="1D3B7BAB"/>
    <w:rsid w:val="1DD22C36"/>
    <w:rsid w:val="1E514D6C"/>
    <w:rsid w:val="1FE47E48"/>
    <w:rsid w:val="218B7932"/>
    <w:rsid w:val="22C7161D"/>
    <w:rsid w:val="22DF27E2"/>
    <w:rsid w:val="23037034"/>
    <w:rsid w:val="236D5667"/>
    <w:rsid w:val="23B5012E"/>
    <w:rsid w:val="244C68D7"/>
    <w:rsid w:val="25766080"/>
    <w:rsid w:val="25EA0B97"/>
    <w:rsid w:val="261278A7"/>
    <w:rsid w:val="26B14CDE"/>
    <w:rsid w:val="26DB434F"/>
    <w:rsid w:val="287C121A"/>
    <w:rsid w:val="28D472A8"/>
    <w:rsid w:val="28E82BD5"/>
    <w:rsid w:val="29121B7F"/>
    <w:rsid w:val="291678C1"/>
    <w:rsid w:val="2994387C"/>
    <w:rsid w:val="2A2B41A5"/>
    <w:rsid w:val="2A7B3B35"/>
    <w:rsid w:val="2C303B44"/>
    <w:rsid w:val="2C834431"/>
    <w:rsid w:val="2D0A491A"/>
    <w:rsid w:val="2D7D23A3"/>
    <w:rsid w:val="2D964F78"/>
    <w:rsid w:val="2E1E250E"/>
    <w:rsid w:val="2E884175"/>
    <w:rsid w:val="2E912280"/>
    <w:rsid w:val="2ED32F6B"/>
    <w:rsid w:val="2EF678DB"/>
    <w:rsid w:val="2F377BB9"/>
    <w:rsid w:val="30BF3ADC"/>
    <w:rsid w:val="312F1291"/>
    <w:rsid w:val="31360B76"/>
    <w:rsid w:val="31A65562"/>
    <w:rsid w:val="32543B32"/>
    <w:rsid w:val="32D24729"/>
    <w:rsid w:val="330712C4"/>
    <w:rsid w:val="333B5CBA"/>
    <w:rsid w:val="338D077F"/>
    <w:rsid w:val="339862FD"/>
    <w:rsid w:val="344F3C87"/>
    <w:rsid w:val="34B00E93"/>
    <w:rsid w:val="368F480F"/>
    <w:rsid w:val="36F17277"/>
    <w:rsid w:val="36FE2761"/>
    <w:rsid w:val="3710340C"/>
    <w:rsid w:val="37352D73"/>
    <w:rsid w:val="3856777F"/>
    <w:rsid w:val="38DF20AC"/>
    <w:rsid w:val="3900780D"/>
    <w:rsid w:val="39092BBF"/>
    <w:rsid w:val="39415B37"/>
    <w:rsid w:val="39893797"/>
    <w:rsid w:val="39A84BFA"/>
    <w:rsid w:val="3A3A2E22"/>
    <w:rsid w:val="3A8B25FA"/>
    <w:rsid w:val="3AB97BB8"/>
    <w:rsid w:val="3BC94AD1"/>
    <w:rsid w:val="3BCF580B"/>
    <w:rsid w:val="3C8F1A03"/>
    <w:rsid w:val="3DB037EF"/>
    <w:rsid w:val="3DE96493"/>
    <w:rsid w:val="3EFE13B2"/>
    <w:rsid w:val="3F3B4506"/>
    <w:rsid w:val="41710072"/>
    <w:rsid w:val="41DA7CFA"/>
    <w:rsid w:val="428B67D2"/>
    <w:rsid w:val="42AF5A4E"/>
    <w:rsid w:val="42C27BE5"/>
    <w:rsid w:val="42F94370"/>
    <w:rsid w:val="432B5425"/>
    <w:rsid w:val="43332825"/>
    <w:rsid w:val="43433935"/>
    <w:rsid w:val="435B61A4"/>
    <w:rsid w:val="437B05F4"/>
    <w:rsid w:val="440F2FBD"/>
    <w:rsid w:val="441B1DD7"/>
    <w:rsid w:val="44F512D3"/>
    <w:rsid w:val="46A72251"/>
    <w:rsid w:val="46AF3140"/>
    <w:rsid w:val="46C571C7"/>
    <w:rsid w:val="472C45CF"/>
    <w:rsid w:val="476B4678"/>
    <w:rsid w:val="476B5F43"/>
    <w:rsid w:val="47EB4546"/>
    <w:rsid w:val="48044EF7"/>
    <w:rsid w:val="48097D93"/>
    <w:rsid w:val="482B01E3"/>
    <w:rsid w:val="490B5EBA"/>
    <w:rsid w:val="493549A4"/>
    <w:rsid w:val="494B791A"/>
    <w:rsid w:val="49641D12"/>
    <w:rsid w:val="4A0B78D0"/>
    <w:rsid w:val="4A330784"/>
    <w:rsid w:val="4AF77220"/>
    <w:rsid w:val="4B131753"/>
    <w:rsid w:val="4B625D47"/>
    <w:rsid w:val="4B913A23"/>
    <w:rsid w:val="4C3717A5"/>
    <w:rsid w:val="4C744600"/>
    <w:rsid w:val="4CB30747"/>
    <w:rsid w:val="4CDD40CE"/>
    <w:rsid w:val="4CF25A05"/>
    <w:rsid w:val="4D992939"/>
    <w:rsid w:val="4D9C7AE5"/>
    <w:rsid w:val="4DBC5ACA"/>
    <w:rsid w:val="4E1230ED"/>
    <w:rsid w:val="4E893F8B"/>
    <w:rsid w:val="4F4F02E8"/>
    <w:rsid w:val="4F5F6A7A"/>
    <w:rsid w:val="4F9B0E06"/>
    <w:rsid w:val="50106568"/>
    <w:rsid w:val="504C1354"/>
    <w:rsid w:val="505427C1"/>
    <w:rsid w:val="508A00C9"/>
    <w:rsid w:val="509C604E"/>
    <w:rsid w:val="50A849F3"/>
    <w:rsid w:val="517B4E84"/>
    <w:rsid w:val="51991A9C"/>
    <w:rsid w:val="51DA654B"/>
    <w:rsid w:val="52407951"/>
    <w:rsid w:val="5252168B"/>
    <w:rsid w:val="52CA09D3"/>
    <w:rsid w:val="52F51A0E"/>
    <w:rsid w:val="53B316E5"/>
    <w:rsid w:val="54175A2A"/>
    <w:rsid w:val="54286B23"/>
    <w:rsid w:val="5472334E"/>
    <w:rsid w:val="554F297C"/>
    <w:rsid w:val="55EC5DF9"/>
    <w:rsid w:val="56777341"/>
    <w:rsid w:val="569D7392"/>
    <w:rsid w:val="56EE5EE7"/>
    <w:rsid w:val="57FA711B"/>
    <w:rsid w:val="58886F36"/>
    <w:rsid w:val="5971574A"/>
    <w:rsid w:val="599C4E7C"/>
    <w:rsid w:val="59E7307A"/>
    <w:rsid w:val="5A461504"/>
    <w:rsid w:val="5A551459"/>
    <w:rsid w:val="5ABA7353"/>
    <w:rsid w:val="5B6659C9"/>
    <w:rsid w:val="5BD91DAA"/>
    <w:rsid w:val="5C9314D9"/>
    <w:rsid w:val="5C9A78E6"/>
    <w:rsid w:val="5CAC035B"/>
    <w:rsid w:val="5D043D93"/>
    <w:rsid w:val="5D867621"/>
    <w:rsid w:val="5D880BF4"/>
    <w:rsid w:val="5FA42829"/>
    <w:rsid w:val="60D7629A"/>
    <w:rsid w:val="60EB104D"/>
    <w:rsid w:val="612105D5"/>
    <w:rsid w:val="61460054"/>
    <w:rsid w:val="61732FFC"/>
    <w:rsid w:val="61B81916"/>
    <w:rsid w:val="61FF01EB"/>
    <w:rsid w:val="627E6D10"/>
    <w:rsid w:val="629A455E"/>
    <w:rsid w:val="62BC0D76"/>
    <w:rsid w:val="62BE3C02"/>
    <w:rsid w:val="62F966DA"/>
    <w:rsid w:val="6367429A"/>
    <w:rsid w:val="63932E82"/>
    <w:rsid w:val="63A44697"/>
    <w:rsid w:val="6451494E"/>
    <w:rsid w:val="648072DA"/>
    <w:rsid w:val="64E262CE"/>
    <w:rsid w:val="658D6460"/>
    <w:rsid w:val="65D03641"/>
    <w:rsid w:val="65D75707"/>
    <w:rsid w:val="664E34EF"/>
    <w:rsid w:val="66955CC2"/>
    <w:rsid w:val="66DD742C"/>
    <w:rsid w:val="67661009"/>
    <w:rsid w:val="6789219A"/>
    <w:rsid w:val="67B7628A"/>
    <w:rsid w:val="67C61D1E"/>
    <w:rsid w:val="68617509"/>
    <w:rsid w:val="69861A24"/>
    <w:rsid w:val="69A25B47"/>
    <w:rsid w:val="69FA2352"/>
    <w:rsid w:val="6A266C5C"/>
    <w:rsid w:val="6AA302AD"/>
    <w:rsid w:val="6B1049BD"/>
    <w:rsid w:val="6BB01342"/>
    <w:rsid w:val="6BF80185"/>
    <w:rsid w:val="6C2334D8"/>
    <w:rsid w:val="6C485E3F"/>
    <w:rsid w:val="6CB81590"/>
    <w:rsid w:val="6CC22541"/>
    <w:rsid w:val="6CDC5E91"/>
    <w:rsid w:val="6D176D30"/>
    <w:rsid w:val="6D564F6F"/>
    <w:rsid w:val="6D5D3C94"/>
    <w:rsid w:val="6D97577B"/>
    <w:rsid w:val="6E5C1C34"/>
    <w:rsid w:val="6E94732E"/>
    <w:rsid w:val="6EA4579F"/>
    <w:rsid w:val="6EF436C1"/>
    <w:rsid w:val="6F456E66"/>
    <w:rsid w:val="6FC276D9"/>
    <w:rsid w:val="6FD94D80"/>
    <w:rsid w:val="6FF64146"/>
    <w:rsid w:val="70520658"/>
    <w:rsid w:val="70721691"/>
    <w:rsid w:val="70802483"/>
    <w:rsid w:val="70E90154"/>
    <w:rsid w:val="71096635"/>
    <w:rsid w:val="71983729"/>
    <w:rsid w:val="71A30B93"/>
    <w:rsid w:val="73046501"/>
    <w:rsid w:val="732D70A8"/>
    <w:rsid w:val="732E2C83"/>
    <w:rsid w:val="73B50B5A"/>
    <w:rsid w:val="74276341"/>
    <w:rsid w:val="747351D5"/>
    <w:rsid w:val="7474112B"/>
    <w:rsid w:val="747B2FAC"/>
    <w:rsid w:val="74A70BD1"/>
    <w:rsid w:val="753B54AF"/>
    <w:rsid w:val="75616D9B"/>
    <w:rsid w:val="75931AB2"/>
    <w:rsid w:val="783B22CD"/>
    <w:rsid w:val="78CD4747"/>
    <w:rsid w:val="79095D59"/>
    <w:rsid w:val="791B1956"/>
    <w:rsid w:val="79560E91"/>
    <w:rsid w:val="797464F3"/>
    <w:rsid w:val="79A348F3"/>
    <w:rsid w:val="7A707A80"/>
    <w:rsid w:val="7B1F592F"/>
    <w:rsid w:val="7BC82AD2"/>
    <w:rsid w:val="7C014E34"/>
    <w:rsid w:val="7C765821"/>
    <w:rsid w:val="7CAE4AB6"/>
    <w:rsid w:val="7CC65405"/>
    <w:rsid w:val="7CF65C6D"/>
    <w:rsid w:val="7D496A92"/>
    <w:rsid w:val="7E3B5085"/>
    <w:rsid w:val="7E794BBF"/>
    <w:rsid w:val="7F9B73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autoRedefine/>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2">
    <w:name w:val="Normal Indent"/>
    <w:basedOn w:val="1"/>
    <w:autoRedefine/>
    <w:qFormat/>
    <w:uiPriority w:val="99"/>
    <w:pPr>
      <w:ind w:firstLine="420"/>
    </w:pPr>
  </w:style>
  <w:style w:type="paragraph" w:styleId="3">
    <w:name w:val="Body Text"/>
    <w:basedOn w:val="1"/>
    <w:next w:val="4"/>
    <w:autoRedefine/>
    <w:qFormat/>
    <w:uiPriority w:val="0"/>
    <w:pPr>
      <w:spacing w:before="120" w:line="22" w:lineRule="atLeast"/>
    </w:pPr>
    <w:rPr>
      <w:rFonts w:ascii="宋体" w:hAnsi="宋体"/>
      <w:sz w:val="24"/>
    </w:rPr>
  </w:style>
  <w:style w:type="paragraph" w:styleId="4">
    <w:name w:val="Body Text First Indent"/>
    <w:basedOn w:val="3"/>
    <w:next w:val="1"/>
    <w:autoRedefine/>
    <w:qFormat/>
    <w:uiPriority w:val="0"/>
    <w:pPr>
      <w:spacing w:line="312" w:lineRule="auto"/>
      <w:ind w:firstLine="420" w:firstLineChars="100"/>
    </w:pPr>
    <w:rPr>
      <w:rFonts w:eastAsia="宋体"/>
    </w:rPr>
  </w:style>
  <w:style w:type="paragraph" w:styleId="5">
    <w:name w:val="Body Text 2"/>
    <w:basedOn w:val="1"/>
    <w:link w:val="11"/>
    <w:autoRedefine/>
    <w:qFormat/>
    <w:uiPriority w:val="0"/>
    <w:pPr>
      <w:spacing w:line="420" w:lineRule="auto"/>
    </w:pPr>
    <w:rPr>
      <w:rFonts w:ascii="Calibri" w:hAnsi="Calibri" w:eastAsia="宋体" w:cs="Times New Roman"/>
      <w:sz w:val="28"/>
    </w:rPr>
  </w:style>
  <w:style w:type="paragraph" w:styleId="6">
    <w:name w:val="Normal (Web)"/>
    <w:basedOn w:val="1"/>
    <w:autoRedefine/>
    <w:qFormat/>
    <w:uiPriority w:val="0"/>
    <w:pPr>
      <w:spacing w:beforeAutospacing="1" w:afterAutospacing="1"/>
      <w:jc w:val="left"/>
    </w:pPr>
    <w:rPr>
      <w:rFonts w:cs="Times New Roman"/>
      <w:kern w:val="0"/>
      <w:sz w:val="24"/>
    </w:rPr>
  </w:style>
  <w:style w:type="table" w:styleId="8">
    <w:name w:val="Table Grid"/>
    <w:basedOn w:val="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rPr>
  </w:style>
  <w:style w:type="character" w:customStyle="1" w:styleId="11">
    <w:name w:val="正文文本 2 字符"/>
    <w:basedOn w:val="9"/>
    <w:link w:val="5"/>
    <w:autoRedefine/>
    <w:qFormat/>
    <w:uiPriority w:val="0"/>
    <w:rPr>
      <w:rFonts w:ascii="Calibri" w:hAnsi="Calibri"/>
      <w:kern w:val="2"/>
      <w:sz w:val="28"/>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10</Pages>
  <Words>8547</Words>
  <Characters>9350</Characters>
  <Lines>4</Lines>
  <Paragraphs>2</Paragraphs>
  <TotalTime>8</TotalTime>
  <ScaleCrop>false</ScaleCrop>
  <LinksUpToDate>false</LinksUpToDate>
  <CharactersWithSpaces>9423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2020-08-17T03:22:00Z</dcterms:created>
  <dc:creator>银狐</dc:creator>
  <cp:lastModifiedBy>芳芳</cp:lastModifiedBy>
  <cp:lastPrinted>2024-02-06T13:20:00Z</cp:lastPrinted>
  <dcterms:modified xsi:type="dcterms:W3CDTF">2026-08-27T16:46:46Z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4556C230E45C410CB95C4324B5752BBF</vt:lpwstr>
  </property>
  <property fmtid="{D5CDD505-2E9C-101B-9397-08002B2CF9AE}" pid="4" name="KSOTemplateDocerSaveRecord">
    <vt:lpwstr>eyJoZGlkIjoiMjM5NDNlNjc5ZDc2YTRlZGM1NDBkMjI5NDc4OTkxNDkiLCJ1c2VySWQiOiIyOTk5MjQzNDAifQ==</vt:lpwstr>
  </property>
</Properties>
</file>