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B8AB09">
      <w:pPr>
        <w:keepNext/>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楷体" w:hAnsi="楷体" w:eastAsia="楷体" w:cs="楷体"/>
          <w:b/>
          <w:bCs/>
          <w:sz w:val="32"/>
          <w:szCs w:val="32"/>
          <w:lang w:eastAsia="zh-CN"/>
        </w:rPr>
      </w:pPr>
      <w:r>
        <w:rPr>
          <w:rFonts w:hint="eastAsia" w:ascii="楷体" w:hAnsi="楷体" w:eastAsia="楷体" w:cs="楷体"/>
          <w:b/>
          <w:bCs/>
          <w:sz w:val="32"/>
          <w:szCs w:val="32"/>
          <w:lang w:eastAsia="zh-CN"/>
        </w:rPr>
        <w:t>2026年渭南市临渭区残疾人职业技能和实用技术培训项目</w:t>
      </w:r>
    </w:p>
    <w:p w14:paraId="348BCD32">
      <w:pPr>
        <w:keepNext/>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楷体" w:hAnsi="楷体" w:eastAsia="楷体" w:cs="楷体"/>
          <w:b/>
          <w:bCs/>
          <w:sz w:val="32"/>
          <w:szCs w:val="32"/>
        </w:rPr>
      </w:pPr>
      <w:r>
        <w:rPr>
          <w:rFonts w:hint="eastAsia" w:ascii="楷体" w:hAnsi="楷体" w:eastAsia="楷体" w:cs="楷体"/>
          <w:b/>
          <w:bCs/>
          <w:sz w:val="32"/>
          <w:szCs w:val="32"/>
        </w:rPr>
        <w:t>采购需求</w:t>
      </w:r>
    </w:p>
    <w:p w14:paraId="0C555108">
      <w:pPr>
        <w:keepNext/>
        <w:keepLines w:val="0"/>
        <w:pageBreakBefore w:val="0"/>
        <w:widowControl w:val="0"/>
        <w:kinsoku/>
        <w:wordWrap w:val="0"/>
        <w:overflowPunct/>
        <w:topLinePunct/>
        <w:autoSpaceDE/>
        <w:autoSpaceDN/>
        <w:bidi w:val="0"/>
        <w:adjustRightInd w:val="0"/>
        <w:snapToGrid w:val="0"/>
        <w:spacing w:line="519" w:lineRule="exact"/>
        <w:ind w:firstLine="562" w:firstLineChars="200"/>
        <w:textAlignment w:val="auto"/>
        <w:rPr>
          <w:rFonts w:hint="eastAsia" w:ascii="楷体" w:hAnsi="楷体" w:eastAsia="楷体" w:cs="楷体"/>
          <w:b/>
          <w:bCs/>
          <w:sz w:val="28"/>
          <w:szCs w:val="28"/>
        </w:rPr>
      </w:pPr>
      <w:r>
        <w:rPr>
          <w:rFonts w:hint="eastAsia" w:ascii="楷体" w:hAnsi="楷体" w:eastAsia="楷体" w:cs="楷体"/>
          <w:b/>
          <w:bCs/>
          <w:sz w:val="28"/>
          <w:szCs w:val="28"/>
        </w:rPr>
        <w:t>一、基本要求</w:t>
      </w:r>
    </w:p>
    <w:p w14:paraId="7115629E">
      <w:pPr>
        <w:keepNext/>
        <w:keepLines w:val="0"/>
        <w:pageBreakBefore w:val="0"/>
        <w:widowControl w:val="0"/>
        <w:kinsoku/>
        <w:wordWrap w:val="0"/>
        <w:overflowPunct/>
        <w:topLinePunct/>
        <w:autoSpaceDE/>
        <w:autoSpaceDN/>
        <w:bidi w:val="0"/>
        <w:adjustRightInd w:val="0"/>
        <w:snapToGrid w:val="0"/>
        <w:spacing w:line="519" w:lineRule="exact"/>
        <w:ind w:firstLine="560" w:firstLineChars="200"/>
        <w:textAlignment w:val="auto"/>
        <w:rPr>
          <w:rFonts w:hint="eastAsia" w:ascii="楷体" w:hAnsi="楷体" w:eastAsia="楷体" w:cs="楷体"/>
          <w:sz w:val="28"/>
          <w:szCs w:val="28"/>
        </w:rPr>
      </w:pPr>
      <w:r>
        <w:rPr>
          <w:rFonts w:hint="eastAsia" w:ascii="楷体" w:hAnsi="楷体" w:eastAsia="楷体" w:cs="楷体"/>
          <w:sz w:val="28"/>
          <w:szCs w:val="28"/>
          <w:lang w:val="en-US" w:eastAsia="zh-CN"/>
        </w:rPr>
        <w:t>1、功能要求：依据国务院《残疾人就业条例》、国务院办公厅《促进残疾人就业三年行动方案（2025</w:t>
      </w:r>
      <w:r>
        <w:rPr>
          <w:rFonts w:hint="eastAsia" w:ascii="楷体" w:hAnsi="楷体" w:eastAsia="楷体" w:cs="楷体"/>
          <w:sz w:val="28"/>
          <w:szCs w:val="28"/>
          <w:lang w:val="en-US" w:eastAsia="zh-CN"/>
        </w:rPr>
        <w:noBreakHyphen/>
      </w:r>
      <w:r>
        <w:rPr>
          <w:rFonts w:hint="eastAsia" w:ascii="楷体" w:hAnsi="楷体" w:eastAsia="楷体" w:cs="楷体"/>
          <w:sz w:val="28"/>
          <w:szCs w:val="28"/>
          <w:lang w:val="en-US" w:eastAsia="zh-CN"/>
        </w:rPr>
        <w:t>2027年）》、渭残联发〔2026〕6号等文件精神，规范推进临渭区残疾人职业技能和实用技术培训项目落地实施，帮助辖区残疾人掌握职业技能、实用技术，拓展就业创业渠道，提升增收能力，现开展渭南市临渭区残疾人职业技能和实用技术培训组织服务采购工作。</w:t>
      </w:r>
    </w:p>
    <w:p w14:paraId="27033413">
      <w:pPr>
        <w:keepNext/>
        <w:keepLines w:val="0"/>
        <w:pageBreakBefore w:val="0"/>
        <w:widowControl w:val="0"/>
        <w:kinsoku/>
        <w:wordWrap w:val="0"/>
        <w:overflowPunct/>
        <w:topLinePunct/>
        <w:autoSpaceDE/>
        <w:autoSpaceDN/>
        <w:bidi w:val="0"/>
        <w:adjustRightInd w:val="0"/>
        <w:snapToGrid w:val="0"/>
        <w:spacing w:line="519" w:lineRule="exact"/>
        <w:ind w:firstLine="560" w:firstLineChars="200"/>
        <w:textAlignment w:val="auto"/>
        <w:rPr>
          <w:rFonts w:hint="eastAsia" w:ascii="楷体" w:hAnsi="楷体" w:eastAsia="楷体" w:cs="楷体"/>
          <w:sz w:val="28"/>
          <w:szCs w:val="28"/>
        </w:rPr>
      </w:pPr>
      <w:r>
        <w:rPr>
          <w:rFonts w:hint="eastAsia" w:ascii="楷体" w:hAnsi="楷体" w:eastAsia="楷体" w:cs="楷体"/>
          <w:sz w:val="28"/>
          <w:szCs w:val="28"/>
          <w:lang w:val="en-US" w:eastAsia="zh-CN"/>
        </w:rPr>
        <w:t>2、采购项目需要落实的政府采购政策：(1)《 政府采购促进中小企业发展管理办法》(财库〔2020〕46号);(2)《财政部司法部关于政府采购支持监狱企业发展有关问题的通知》(财库〔2014〕68号);(3)《三部门联合发布关于促进残疾人就业政府采购政策的通知》(财库〔2017〕141号);(4)《关于运用政府采购政策支持乡村产业振兴的通知》(财库〔2021〕19号);(5)陕西省财政厅关于印发《陕西省中小企业政府采购信用融资办法》(陕财办采〔2018〕23号);(6)《财政部关于进一步加大政府采购支持中小企业力度的通知》(财库〔2022〕19号);(7)其他国家、陕西省及渭南市现行有效的政府采购相关政策。</w:t>
      </w:r>
    </w:p>
    <w:p w14:paraId="2B33244B">
      <w:pPr>
        <w:keepNext/>
        <w:keepLines w:val="0"/>
        <w:pageBreakBefore w:val="0"/>
        <w:widowControl w:val="0"/>
        <w:kinsoku/>
        <w:wordWrap w:val="0"/>
        <w:overflowPunct/>
        <w:topLinePunct/>
        <w:autoSpaceDE/>
        <w:autoSpaceDN/>
        <w:bidi w:val="0"/>
        <w:adjustRightInd w:val="0"/>
        <w:snapToGrid w:val="0"/>
        <w:spacing w:line="519" w:lineRule="exact"/>
        <w:ind w:firstLine="560" w:firstLineChars="200"/>
        <w:textAlignment w:val="auto"/>
        <w:rPr>
          <w:rFonts w:hint="eastAsia" w:ascii="楷体" w:hAnsi="楷体" w:eastAsia="楷体" w:cs="楷体"/>
          <w:sz w:val="28"/>
          <w:szCs w:val="28"/>
        </w:rPr>
      </w:pPr>
      <w:r>
        <w:rPr>
          <w:rFonts w:hint="eastAsia" w:ascii="楷体" w:hAnsi="楷体" w:eastAsia="楷体" w:cs="楷体"/>
          <w:sz w:val="28"/>
          <w:szCs w:val="28"/>
          <w:lang w:val="en-US" w:eastAsia="zh-CN"/>
        </w:rPr>
        <w:t>3、服务周期：自合同签订之日起60日历天。</w:t>
      </w:r>
    </w:p>
    <w:p w14:paraId="405DEA02">
      <w:pPr>
        <w:keepNext/>
        <w:keepLines w:val="0"/>
        <w:pageBreakBefore w:val="0"/>
        <w:widowControl w:val="0"/>
        <w:kinsoku/>
        <w:wordWrap w:val="0"/>
        <w:overflowPunct/>
        <w:topLinePunct/>
        <w:autoSpaceDE/>
        <w:autoSpaceDN/>
        <w:bidi w:val="0"/>
        <w:adjustRightInd w:val="0"/>
        <w:snapToGrid w:val="0"/>
        <w:spacing w:line="519" w:lineRule="exact"/>
        <w:ind w:firstLine="560" w:firstLineChars="200"/>
        <w:textAlignment w:val="auto"/>
        <w:rPr>
          <w:rFonts w:hint="eastAsia" w:ascii="楷体" w:hAnsi="楷体" w:eastAsia="楷体" w:cs="楷体"/>
          <w:sz w:val="28"/>
          <w:szCs w:val="28"/>
        </w:rPr>
      </w:pPr>
      <w:r>
        <w:rPr>
          <w:rFonts w:hint="eastAsia" w:ascii="楷体" w:hAnsi="楷体" w:eastAsia="楷体" w:cs="楷体"/>
          <w:sz w:val="28"/>
          <w:szCs w:val="28"/>
          <w:lang w:val="en-US" w:eastAsia="zh-CN"/>
        </w:rPr>
        <w:t>4、服务地点：采购人指定地点。</w:t>
      </w:r>
    </w:p>
    <w:p w14:paraId="17594F9C">
      <w:pPr>
        <w:keepNext/>
        <w:keepLines w:val="0"/>
        <w:pageBreakBefore w:val="0"/>
        <w:widowControl w:val="0"/>
        <w:kinsoku/>
        <w:wordWrap w:val="0"/>
        <w:overflowPunct/>
        <w:topLinePunct/>
        <w:autoSpaceDE/>
        <w:autoSpaceDN/>
        <w:bidi w:val="0"/>
        <w:adjustRightInd w:val="0"/>
        <w:snapToGrid w:val="0"/>
        <w:spacing w:line="519" w:lineRule="exact"/>
        <w:ind w:firstLine="560" w:firstLineChars="200"/>
        <w:textAlignment w:val="auto"/>
        <w:rPr>
          <w:rFonts w:hint="eastAsia" w:ascii="楷体" w:hAnsi="楷体" w:eastAsia="楷体" w:cs="楷体"/>
          <w:sz w:val="28"/>
          <w:szCs w:val="28"/>
        </w:rPr>
      </w:pPr>
      <w:r>
        <w:rPr>
          <w:rFonts w:hint="eastAsia" w:ascii="楷体" w:hAnsi="楷体" w:eastAsia="楷体" w:cs="楷体"/>
          <w:sz w:val="28"/>
          <w:szCs w:val="28"/>
          <w:lang w:val="en-US" w:eastAsia="zh-CN"/>
        </w:rPr>
        <w:t>5、是否面向中小企业采购：否，非专门面向中小企业。</w:t>
      </w:r>
    </w:p>
    <w:p w14:paraId="291DAB44">
      <w:pPr>
        <w:keepNext/>
        <w:keepLines w:val="0"/>
        <w:pageBreakBefore w:val="0"/>
        <w:widowControl w:val="0"/>
        <w:kinsoku/>
        <w:wordWrap w:val="0"/>
        <w:overflowPunct/>
        <w:topLinePunct/>
        <w:autoSpaceDE/>
        <w:autoSpaceDN/>
        <w:bidi w:val="0"/>
        <w:adjustRightInd w:val="0"/>
        <w:snapToGrid w:val="0"/>
        <w:spacing w:line="519" w:lineRule="exact"/>
        <w:ind w:firstLine="562" w:firstLineChars="200"/>
        <w:textAlignment w:val="auto"/>
        <w:rPr>
          <w:rFonts w:hint="eastAsia" w:ascii="楷体" w:hAnsi="楷体" w:eastAsia="楷体" w:cs="楷体"/>
          <w:b/>
          <w:bCs/>
          <w:sz w:val="28"/>
          <w:szCs w:val="28"/>
        </w:rPr>
      </w:pPr>
      <w:r>
        <w:rPr>
          <w:rFonts w:hint="eastAsia" w:ascii="楷体" w:hAnsi="楷体" w:eastAsia="楷体" w:cs="楷体"/>
          <w:b/>
          <w:bCs/>
          <w:sz w:val="28"/>
          <w:szCs w:val="28"/>
        </w:rPr>
        <w:t>二、需执行的国家相关标准、行业标准、地方标准或者其他标准、规范</w:t>
      </w:r>
    </w:p>
    <w:p w14:paraId="73B7B40B">
      <w:pPr>
        <w:keepNext/>
        <w:keepLines w:val="0"/>
        <w:pageBreakBefore w:val="0"/>
        <w:widowControl w:val="0"/>
        <w:kinsoku/>
        <w:wordWrap w:val="0"/>
        <w:overflowPunct/>
        <w:topLinePunct/>
        <w:autoSpaceDE/>
        <w:autoSpaceDN/>
        <w:bidi w:val="0"/>
        <w:adjustRightInd w:val="0"/>
        <w:snapToGrid w:val="0"/>
        <w:spacing w:line="519" w:lineRule="exact"/>
        <w:ind w:firstLine="560" w:firstLineChars="200"/>
        <w:textAlignment w:val="auto"/>
        <w:rPr>
          <w:rFonts w:hint="eastAsia" w:ascii="楷体" w:hAnsi="楷体" w:eastAsia="楷体" w:cs="楷体"/>
          <w:sz w:val="28"/>
          <w:szCs w:val="28"/>
        </w:rPr>
      </w:pPr>
      <w:r>
        <w:rPr>
          <w:rFonts w:hint="eastAsia" w:ascii="楷体" w:hAnsi="楷体" w:eastAsia="楷体" w:cs="楷体"/>
          <w:sz w:val="28"/>
          <w:szCs w:val="28"/>
          <w:lang w:val="en-US" w:eastAsia="zh-CN"/>
        </w:rPr>
        <w:t>本项目全部服务工作须满足国家、残联系统、人社部门及陕西省、渭南市、临渭区残疾人职业培训相关行业标准、业务规范；培训工种教学标准对标人社部门对应职业标准；项目实施严格执行渭临残综〔2026〕22号实施方案相关管理要求。</w:t>
      </w:r>
    </w:p>
    <w:p w14:paraId="11B65833">
      <w:pPr>
        <w:keepNext/>
        <w:keepLines w:val="0"/>
        <w:pageBreakBefore w:val="0"/>
        <w:widowControl w:val="0"/>
        <w:kinsoku/>
        <w:wordWrap w:val="0"/>
        <w:overflowPunct/>
        <w:topLinePunct/>
        <w:autoSpaceDE/>
        <w:autoSpaceDN/>
        <w:bidi w:val="0"/>
        <w:adjustRightInd w:val="0"/>
        <w:snapToGrid w:val="0"/>
        <w:spacing w:line="519" w:lineRule="exact"/>
        <w:ind w:firstLine="562" w:firstLineChars="200"/>
        <w:textAlignment w:val="auto"/>
        <w:rPr>
          <w:rFonts w:hint="eastAsia" w:ascii="楷体" w:hAnsi="楷体" w:eastAsia="楷体" w:cs="楷体"/>
          <w:b/>
          <w:bCs/>
          <w:sz w:val="28"/>
          <w:szCs w:val="28"/>
        </w:rPr>
      </w:pPr>
      <w:r>
        <w:rPr>
          <w:rFonts w:hint="eastAsia" w:ascii="楷体" w:hAnsi="楷体" w:eastAsia="楷体" w:cs="楷体"/>
          <w:b/>
          <w:bCs/>
          <w:sz w:val="28"/>
          <w:szCs w:val="28"/>
        </w:rPr>
        <w:t>三、服务指标的具体要求</w:t>
      </w:r>
    </w:p>
    <w:p w14:paraId="31FBC1D3">
      <w:pPr>
        <w:keepNext/>
        <w:keepLines w:val="0"/>
        <w:pageBreakBefore w:val="0"/>
        <w:widowControl w:val="0"/>
        <w:kinsoku/>
        <w:wordWrap w:val="0"/>
        <w:overflowPunct/>
        <w:topLinePunct/>
        <w:autoSpaceDE/>
        <w:autoSpaceDN/>
        <w:bidi w:val="0"/>
        <w:adjustRightInd w:val="0"/>
        <w:snapToGrid w:val="0"/>
        <w:spacing w:line="519" w:lineRule="exact"/>
        <w:ind w:firstLine="560" w:firstLineChars="200"/>
        <w:textAlignment w:val="auto"/>
        <w:rPr>
          <w:rFonts w:hint="eastAsia" w:ascii="楷体" w:hAnsi="楷体" w:eastAsia="楷体" w:cs="楷体"/>
          <w:sz w:val="28"/>
          <w:szCs w:val="28"/>
        </w:rPr>
      </w:pPr>
      <w:r>
        <w:rPr>
          <w:rFonts w:hint="eastAsia" w:ascii="楷体" w:hAnsi="楷体" w:eastAsia="楷体" w:cs="楷体"/>
          <w:sz w:val="28"/>
          <w:szCs w:val="28"/>
        </w:rPr>
        <w:t>（一）服务项目概况</w:t>
      </w:r>
    </w:p>
    <w:p w14:paraId="758BCC41">
      <w:pPr>
        <w:keepNext/>
        <w:keepLines w:val="0"/>
        <w:pageBreakBefore w:val="0"/>
        <w:widowControl w:val="0"/>
        <w:kinsoku/>
        <w:wordWrap w:val="0"/>
        <w:overflowPunct/>
        <w:topLinePunct/>
        <w:autoSpaceDE/>
        <w:autoSpaceDN/>
        <w:bidi w:val="0"/>
        <w:adjustRightInd w:val="0"/>
        <w:snapToGrid w:val="0"/>
        <w:spacing w:line="519" w:lineRule="exact"/>
        <w:ind w:firstLine="560" w:firstLineChars="200"/>
        <w:textAlignment w:val="auto"/>
        <w:rPr>
          <w:rFonts w:hint="eastAsia" w:ascii="楷体" w:hAnsi="楷体" w:eastAsia="楷体" w:cs="楷体"/>
          <w:sz w:val="28"/>
          <w:szCs w:val="28"/>
        </w:rPr>
      </w:pPr>
      <w:r>
        <w:rPr>
          <w:rFonts w:hint="eastAsia" w:ascii="楷体" w:hAnsi="楷体" w:eastAsia="楷体" w:cs="楷体"/>
          <w:sz w:val="28"/>
          <w:szCs w:val="28"/>
          <w:lang w:val="en-US" w:eastAsia="zh-CN"/>
        </w:rPr>
        <w:t>残疾人职业技能和实用技术培训，面向符合条件的临渭区残疾人（含政策允许的智力、精神及重度肢体残疾人直系亲属）开展，以提升参训对象职业能力、实用技术水平为目标，开展就业技能培训、岗位技能提升培训、创业创新培训、农村实用技术培训等教学活动，落实实名制管理，完成培训考核、回访跟踪、系统上报等全流程工作。</w:t>
      </w:r>
    </w:p>
    <w:p w14:paraId="67C403F0">
      <w:pPr>
        <w:keepNext/>
        <w:keepLines w:val="0"/>
        <w:pageBreakBefore w:val="0"/>
        <w:widowControl w:val="0"/>
        <w:kinsoku/>
        <w:wordWrap w:val="0"/>
        <w:overflowPunct/>
        <w:topLinePunct/>
        <w:autoSpaceDE/>
        <w:autoSpaceDN/>
        <w:bidi w:val="0"/>
        <w:adjustRightInd w:val="0"/>
        <w:snapToGrid w:val="0"/>
        <w:spacing w:line="519" w:lineRule="exact"/>
        <w:ind w:firstLine="560" w:firstLineChars="200"/>
        <w:textAlignment w:val="auto"/>
        <w:rPr>
          <w:rFonts w:hint="eastAsia" w:ascii="楷体" w:hAnsi="楷体" w:eastAsia="楷体" w:cs="楷体"/>
          <w:sz w:val="28"/>
          <w:szCs w:val="28"/>
        </w:rPr>
      </w:pPr>
      <w:r>
        <w:rPr>
          <w:rFonts w:hint="eastAsia" w:ascii="楷体" w:hAnsi="楷体" w:eastAsia="楷体" w:cs="楷体"/>
          <w:sz w:val="28"/>
          <w:szCs w:val="28"/>
        </w:rPr>
        <w:t>（二）服务内容</w:t>
      </w:r>
    </w:p>
    <w:p w14:paraId="0AC153B1">
      <w:pPr>
        <w:keepNext/>
        <w:keepLines w:val="0"/>
        <w:pageBreakBefore w:val="0"/>
        <w:widowControl w:val="0"/>
        <w:kinsoku/>
        <w:wordWrap w:val="0"/>
        <w:overflowPunct/>
        <w:topLinePunct/>
        <w:autoSpaceDE/>
        <w:autoSpaceDN/>
        <w:bidi w:val="0"/>
        <w:adjustRightInd w:val="0"/>
        <w:snapToGrid w:val="0"/>
        <w:spacing w:line="519" w:lineRule="exact"/>
        <w:ind w:firstLine="560" w:firstLineChars="200"/>
        <w:textAlignment w:val="auto"/>
        <w:rPr>
          <w:rFonts w:hint="eastAsia" w:ascii="楷体" w:hAnsi="楷体" w:eastAsia="楷体" w:cs="楷体"/>
          <w:sz w:val="28"/>
          <w:szCs w:val="28"/>
        </w:rPr>
      </w:pPr>
      <w:r>
        <w:rPr>
          <w:rFonts w:hint="eastAsia" w:ascii="楷体" w:hAnsi="楷体" w:eastAsia="楷体" w:cs="楷体"/>
          <w:sz w:val="28"/>
          <w:szCs w:val="28"/>
          <w:lang w:val="en-US" w:eastAsia="zh-CN"/>
        </w:rPr>
        <w:t>本次培训服务面向临渭区符合条件参训对象开展培训，人均培训费用标准1500元，帮助参训残疾人掌握1门以上职业技能或实用技术，参训人员培训合格率达到80%以上，提升残疾人就业创业、生产增收能力。</w:t>
      </w:r>
    </w:p>
    <w:p w14:paraId="48A8295C">
      <w:pPr>
        <w:keepNext/>
        <w:keepLines w:val="0"/>
        <w:pageBreakBefore w:val="0"/>
        <w:widowControl w:val="0"/>
        <w:kinsoku/>
        <w:wordWrap w:val="0"/>
        <w:overflowPunct/>
        <w:topLinePunct/>
        <w:autoSpaceDE/>
        <w:autoSpaceDN/>
        <w:bidi w:val="0"/>
        <w:adjustRightInd w:val="0"/>
        <w:snapToGrid w:val="0"/>
        <w:spacing w:line="519" w:lineRule="exact"/>
        <w:ind w:firstLine="560" w:firstLineChars="200"/>
        <w:textAlignment w:val="auto"/>
        <w:rPr>
          <w:rFonts w:hint="eastAsia" w:ascii="楷体" w:hAnsi="楷体" w:eastAsia="楷体" w:cs="楷体"/>
          <w:sz w:val="28"/>
          <w:szCs w:val="28"/>
        </w:rPr>
      </w:pPr>
      <w:r>
        <w:rPr>
          <w:rFonts w:hint="eastAsia" w:ascii="楷体" w:hAnsi="楷体" w:eastAsia="楷体" w:cs="楷体"/>
          <w:sz w:val="28"/>
          <w:szCs w:val="28"/>
        </w:rPr>
        <w:t>培训对象：须同时满足：①具有临渭区户籍并持有《中华人民共和国残疾人证》；②处于就业年龄段；③有劳动能力和就业意愿；④具备接受培训的条件和能力。具备条件①②的智力、精神及重度肢体残疾人家庭一名直系亲属，可纳入培训对象。</w:t>
      </w:r>
    </w:p>
    <w:p w14:paraId="0BDA9CCE">
      <w:pPr>
        <w:keepNext/>
        <w:keepLines w:val="0"/>
        <w:pageBreakBefore w:val="0"/>
        <w:widowControl w:val="0"/>
        <w:kinsoku/>
        <w:wordWrap w:val="0"/>
        <w:overflowPunct/>
        <w:topLinePunct/>
        <w:autoSpaceDE/>
        <w:autoSpaceDN/>
        <w:bidi w:val="0"/>
        <w:adjustRightInd w:val="0"/>
        <w:snapToGrid w:val="0"/>
        <w:spacing w:line="519" w:lineRule="exact"/>
        <w:ind w:firstLine="560" w:firstLineChars="200"/>
        <w:textAlignment w:val="auto"/>
        <w:rPr>
          <w:rFonts w:hint="eastAsia" w:ascii="楷体" w:hAnsi="楷体" w:eastAsia="楷体" w:cs="楷体"/>
          <w:sz w:val="28"/>
          <w:szCs w:val="28"/>
        </w:rPr>
      </w:pPr>
      <w:r>
        <w:rPr>
          <w:rFonts w:hint="eastAsia" w:ascii="楷体" w:hAnsi="楷体" w:eastAsia="楷体" w:cs="楷体"/>
          <w:sz w:val="28"/>
          <w:szCs w:val="28"/>
        </w:rPr>
        <w:t>班次设置：培训分3</w:t>
      </w:r>
      <w:r>
        <w:rPr>
          <w:rFonts w:hint="eastAsia" w:ascii="楷体" w:hAnsi="楷体" w:eastAsia="楷体" w:cs="楷体"/>
          <w:sz w:val="28"/>
          <w:szCs w:val="28"/>
        </w:rPr>
        <w:noBreakHyphen/>
      </w:r>
      <w:r>
        <w:rPr>
          <w:rFonts w:hint="eastAsia" w:ascii="楷体" w:hAnsi="楷体" w:eastAsia="楷体" w:cs="楷体"/>
          <w:sz w:val="28"/>
          <w:szCs w:val="28"/>
        </w:rPr>
        <w:t>4期实施，每期培训不少于7天，每日按8课时核算，单期总课时不少于56课时。不同培训项目不得混合开班。</w:t>
      </w:r>
    </w:p>
    <w:p w14:paraId="7D267A3D">
      <w:pPr>
        <w:keepNext/>
        <w:keepLines w:val="0"/>
        <w:pageBreakBefore w:val="0"/>
        <w:widowControl w:val="0"/>
        <w:kinsoku/>
        <w:wordWrap w:val="0"/>
        <w:overflowPunct/>
        <w:topLinePunct/>
        <w:autoSpaceDE/>
        <w:autoSpaceDN/>
        <w:bidi w:val="0"/>
        <w:adjustRightInd w:val="0"/>
        <w:snapToGrid w:val="0"/>
        <w:spacing w:line="519" w:lineRule="exact"/>
        <w:ind w:firstLine="560" w:firstLineChars="200"/>
        <w:textAlignment w:val="auto"/>
        <w:rPr>
          <w:rFonts w:hint="eastAsia" w:ascii="楷体" w:hAnsi="楷体" w:eastAsia="楷体" w:cs="楷体"/>
          <w:sz w:val="28"/>
          <w:szCs w:val="28"/>
        </w:rPr>
      </w:pPr>
      <w:r>
        <w:rPr>
          <w:rFonts w:hint="eastAsia" w:ascii="楷体" w:hAnsi="楷体" w:eastAsia="楷体" w:cs="楷体"/>
          <w:sz w:val="28"/>
          <w:szCs w:val="28"/>
        </w:rPr>
        <w:t>培训课程设置：</w:t>
      </w:r>
    </w:p>
    <w:p w14:paraId="7E7C60B6">
      <w:pPr>
        <w:keepNext/>
        <w:keepLines w:val="0"/>
        <w:pageBreakBefore w:val="0"/>
        <w:widowControl w:val="0"/>
        <w:kinsoku/>
        <w:wordWrap w:val="0"/>
        <w:overflowPunct/>
        <w:topLinePunct/>
        <w:autoSpaceDE/>
        <w:autoSpaceDN/>
        <w:bidi w:val="0"/>
        <w:adjustRightInd w:val="0"/>
        <w:snapToGrid w:val="0"/>
        <w:spacing w:line="519" w:lineRule="exact"/>
        <w:ind w:firstLine="560" w:firstLineChars="200"/>
        <w:textAlignment w:val="auto"/>
        <w:rPr>
          <w:rFonts w:hint="eastAsia" w:ascii="楷体" w:hAnsi="楷体" w:eastAsia="楷体" w:cs="楷体"/>
          <w:sz w:val="28"/>
          <w:szCs w:val="28"/>
        </w:rPr>
      </w:pPr>
      <w:r>
        <w:rPr>
          <w:rFonts w:hint="eastAsia" w:ascii="楷体" w:hAnsi="楷体" w:eastAsia="楷体" w:cs="楷体"/>
          <w:sz w:val="28"/>
          <w:szCs w:val="28"/>
        </w:rPr>
        <w:t>实用技术类：重点开展农村残疾人“种、养、加”实用技术培训，突出实用性、通俗性、灵活性；</w:t>
      </w:r>
    </w:p>
    <w:p w14:paraId="77CB5BE0">
      <w:pPr>
        <w:keepNext/>
        <w:keepLines w:val="0"/>
        <w:pageBreakBefore w:val="0"/>
        <w:widowControl w:val="0"/>
        <w:kinsoku/>
        <w:wordWrap w:val="0"/>
        <w:overflowPunct/>
        <w:topLinePunct/>
        <w:autoSpaceDE/>
        <w:autoSpaceDN/>
        <w:bidi w:val="0"/>
        <w:adjustRightInd w:val="0"/>
        <w:snapToGrid w:val="0"/>
        <w:spacing w:line="519" w:lineRule="exact"/>
        <w:ind w:firstLine="560" w:firstLineChars="200"/>
        <w:textAlignment w:val="auto"/>
        <w:rPr>
          <w:rFonts w:hint="eastAsia" w:ascii="楷体" w:hAnsi="楷体" w:eastAsia="楷体" w:cs="楷体"/>
          <w:sz w:val="28"/>
          <w:szCs w:val="28"/>
        </w:rPr>
      </w:pPr>
      <w:r>
        <w:rPr>
          <w:rFonts w:hint="eastAsia" w:ascii="楷体" w:hAnsi="楷体" w:eastAsia="楷体" w:cs="楷体"/>
          <w:sz w:val="28"/>
          <w:szCs w:val="28"/>
        </w:rPr>
        <w:t>职业技能类：可开设计算机应用、电子商务、残疾妇女手工制作等适配残疾人的工种；</w:t>
      </w:r>
    </w:p>
    <w:p w14:paraId="3E3EC84A">
      <w:pPr>
        <w:keepNext/>
        <w:keepLines w:val="0"/>
        <w:pageBreakBefore w:val="0"/>
        <w:widowControl w:val="0"/>
        <w:kinsoku/>
        <w:wordWrap w:val="0"/>
        <w:overflowPunct/>
        <w:topLinePunct/>
        <w:autoSpaceDE/>
        <w:autoSpaceDN/>
        <w:bidi w:val="0"/>
        <w:adjustRightInd w:val="0"/>
        <w:snapToGrid w:val="0"/>
        <w:spacing w:line="519" w:lineRule="exact"/>
        <w:ind w:firstLine="560" w:firstLineChars="200"/>
        <w:textAlignment w:val="auto"/>
        <w:rPr>
          <w:rFonts w:hint="eastAsia" w:ascii="楷体" w:hAnsi="楷体" w:eastAsia="楷体" w:cs="楷体"/>
          <w:sz w:val="28"/>
          <w:szCs w:val="28"/>
        </w:rPr>
      </w:pPr>
      <w:r>
        <w:rPr>
          <w:rFonts w:hint="eastAsia" w:ascii="楷体" w:hAnsi="楷体" w:eastAsia="楷体" w:cs="楷体"/>
          <w:sz w:val="28"/>
          <w:szCs w:val="28"/>
        </w:rPr>
        <w:t>通用课程：职业素质培训学时不少于总课时10%，内容包含残疾人就业相关法律法规、职业道德、劳动保障、工匠精神、务工常识等。</w:t>
      </w:r>
    </w:p>
    <w:p w14:paraId="4CD42680">
      <w:pPr>
        <w:keepNext/>
        <w:keepLines w:val="0"/>
        <w:pageBreakBefore w:val="0"/>
        <w:widowControl w:val="0"/>
        <w:kinsoku/>
        <w:wordWrap w:val="0"/>
        <w:overflowPunct/>
        <w:topLinePunct/>
        <w:autoSpaceDE/>
        <w:autoSpaceDN/>
        <w:bidi w:val="0"/>
        <w:adjustRightInd w:val="0"/>
        <w:snapToGrid w:val="0"/>
        <w:spacing w:line="519" w:lineRule="exact"/>
        <w:ind w:firstLine="560" w:firstLineChars="200"/>
        <w:textAlignment w:val="auto"/>
        <w:rPr>
          <w:rFonts w:hint="eastAsia" w:ascii="楷体" w:hAnsi="楷体" w:eastAsia="楷体" w:cs="楷体"/>
          <w:sz w:val="28"/>
          <w:szCs w:val="28"/>
        </w:rPr>
      </w:pPr>
      <w:r>
        <w:rPr>
          <w:rFonts w:hint="eastAsia" w:ascii="楷体" w:hAnsi="楷体" w:eastAsia="楷体" w:cs="楷体"/>
          <w:sz w:val="28"/>
          <w:szCs w:val="28"/>
        </w:rPr>
        <w:t>学时要求：实操技能训练学时不得少于总学时50%，课程设置充分结合残疾类别、残疾等级、学员接受能力合理安排教学强度。</w:t>
      </w:r>
    </w:p>
    <w:p w14:paraId="28C9B63E">
      <w:pPr>
        <w:keepNext/>
        <w:keepLines w:val="0"/>
        <w:pageBreakBefore w:val="0"/>
        <w:widowControl w:val="0"/>
        <w:kinsoku/>
        <w:wordWrap w:val="0"/>
        <w:overflowPunct/>
        <w:topLinePunct/>
        <w:autoSpaceDE/>
        <w:autoSpaceDN/>
        <w:bidi w:val="0"/>
        <w:adjustRightInd w:val="0"/>
        <w:snapToGrid w:val="0"/>
        <w:spacing w:line="519" w:lineRule="exact"/>
        <w:ind w:firstLine="560" w:firstLineChars="200"/>
        <w:textAlignment w:val="auto"/>
        <w:rPr>
          <w:rFonts w:hint="eastAsia" w:ascii="楷体" w:hAnsi="楷体" w:eastAsia="楷体" w:cs="楷体"/>
          <w:sz w:val="28"/>
          <w:szCs w:val="28"/>
        </w:rPr>
      </w:pPr>
      <w:r>
        <w:rPr>
          <w:rFonts w:hint="eastAsia" w:ascii="楷体" w:hAnsi="楷体" w:eastAsia="楷体" w:cs="楷体"/>
          <w:sz w:val="28"/>
          <w:szCs w:val="28"/>
        </w:rPr>
        <w:t>（三）服务要求</w:t>
      </w:r>
    </w:p>
    <w:p w14:paraId="45945F1F">
      <w:pPr>
        <w:keepNext/>
        <w:keepLines w:val="0"/>
        <w:pageBreakBefore w:val="0"/>
        <w:widowControl w:val="0"/>
        <w:kinsoku/>
        <w:wordWrap w:val="0"/>
        <w:overflowPunct/>
        <w:topLinePunct/>
        <w:autoSpaceDE/>
        <w:autoSpaceDN/>
        <w:bidi w:val="0"/>
        <w:adjustRightInd w:val="0"/>
        <w:snapToGrid w:val="0"/>
        <w:spacing w:line="519" w:lineRule="exact"/>
        <w:ind w:firstLine="560" w:firstLineChars="200"/>
        <w:textAlignment w:val="auto"/>
        <w:rPr>
          <w:rFonts w:hint="eastAsia" w:ascii="楷体" w:hAnsi="楷体" w:eastAsia="楷体" w:cs="楷体"/>
          <w:sz w:val="28"/>
          <w:szCs w:val="28"/>
        </w:rPr>
      </w:pPr>
      <w:r>
        <w:rPr>
          <w:rFonts w:hint="eastAsia" w:ascii="楷体" w:hAnsi="楷体" w:eastAsia="楷体" w:cs="楷体"/>
          <w:sz w:val="28"/>
          <w:szCs w:val="28"/>
          <w:lang w:val="en-US" w:eastAsia="zh-CN"/>
        </w:rPr>
        <w:t>1、编制培训项目专项实施方案。实施方案包含培训绩效目标、实施时间、实施地点、参训人数、组织实施方式、培训对象筛选、课程设置、师资配置、学员报名流程、考核评价方案、安全应急预案、住宿学员生活管理、学员回访计划等内容。课程适配残疾人身心特点，合理配比理论教学与实操训练。</w:t>
      </w:r>
    </w:p>
    <w:p w14:paraId="420F34F1">
      <w:pPr>
        <w:keepNext/>
        <w:keepLines w:val="0"/>
        <w:pageBreakBefore w:val="0"/>
        <w:widowControl w:val="0"/>
        <w:kinsoku/>
        <w:wordWrap w:val="0"/>
        <w:overflowPunct/>
        <w:topLinePunct/>
        <w:autoSpaceDE/>
        <w:autoSpaceDN/>
        <w:bidi w:val="0"/>
        <w:adjustRightInd w:val="0"/>
        <w:snapToGrid w:val="0"/>
        <w:spacing w:line="519" w:lineRule="exact"/>
        <w:ind w:firstLine="560" w:firstLineChars="200"/>
        <w:textAlignment w:val="auto"/>
        <w:rPr>
          <w:rFonts w:hint="eastAsia" w:ascii="楷体" w:hAnsi="楷体" w:eastAsia="楷体" w:cs="楷体"/>
          <w:sz w:val="28"/>
          <w:szCs w:val="28"/>
        </w:rPr>
      </w:pPr>
      <w:r>
        <w:rPr>
          <w:rFonts w:hint="eastAsia" w:ascii="楷体" w:hAnsi="楷体" w:eastAsia="楷体" w:cs="楷体"/>
          <w:sz w:val="28"/>
          <w:szCs w:val="28"/>
          <w:lang w:val="en-US" w:eastAsia="zh-CN"/>
        </w:rPr>
        <w:t>2、编制发布招生简章，按照实施方案组织符合条件人员报名，做好学员资格初审，收集完善学员登记表等档案资料，严格核对参训对象资质，杜绝不符合条件人员参训。</w:t>
      </w:r>
    </w:p>
    <w:p w14:paraId="4638EF6C">
      <w:pPr>
        <w:keepNext/>
        <w:keepLines w:val="0"/>
        <w:pageBreakBefore w:val="0"/>
        <w:widowControl w:val="0"/>
        <w:kinsoku/>
        <w:wordWrap w:val="0"/>
        <w:overflowPunct/>
        <w:topLinePunct/>
        <w:autoSpaceDE/>
        <w:autoSpaceDN/>
        <w:bidi w:val="0"/>
        <w:adjustRightInd w:val="0"/>
        <w:snapToGrid w:val="0"/>
        <w:spacing w:line="519" w:lineRule="exact"/>
        <w:ind w:firstLine="560" w:firstLineChars="200"/>
        <w:textAlignment w:val="auto"/>
        <w:rPr>
          <w:rFonts w:hint="eastAsia" w:ascii="楷体" w:hAnsi="楷体" w:eastAsia="楷体" w:cs="楷体"/>
          <w:sz w:val="28"/>
          <w:szCs w:val="28"/>
        </w:rPr>
      </w:pPr>
      <w:r>
        <w:rPr>
          <w:rFonts w:hint="eastAsia" w:ascii="楷体" w:hAnsi="楷体" w:eastAsia="楷体" w:cs="楷体"/>
          <w:sz w:val="28"/>
          <w:szCs w:val="28"/>
          <w:lang w:val="en-US" w:eastAsia="zh-CN"/>
        </w:rPr>
        <w:t>3、履行开班报批程序。培训班开班前不少于5个工作日提交开班申请，随附培训实施方案、学员登记表、课程表等资料，经采购人审核同意后方可开班。</w:t>
      </w:r>
    </w:p>
    <w:p w14:paraId="667A09AD">
      <w:pPr>
        <w:keepNext/>
        <w:keepLines w:val="0"/>
        <w:pageBreakBefore w:val="0"/>
        <w:widowControl w:val="0"/>
        <w:kinsoku/>
        <w:wordWrap w:val="0"/>
        <w:overflowPunct/>
        <w:topLinePunct/>
        <w:autoSpaceDE/>
        <w:autoSpaceDN/>
        <w:bidi w:val="0"/>
        <w:adjustRightInd w:val="0"/>
        <w:snapToGrid w:val="0"/>
        <w:spacing w:line="519" w:lineRule="exact"/>
        <w:ind w:firstLine="560" w:firstLineChars="200"/>
        <w:textAlignment w:val="auto"/>
        <w:rPr>
          <w:rFonts w:hint="eastAsia" w:ascii="楷体" w:hAnsi="楷体" w:eastAsia="楷体" w:cs="楷体"/>
          <w:sz w:val="28"/>
          <w:szCs w:val="28"/>
        </w:rPr>
      </w:pPr>
      <w:r>
        <w:rPr>
          <w:rFonts w:hint="eastAsia" w:ascii="楷体" w:hAnsi="楷体" w:eastAsia="楷体" w:cs="楷体"/>
          <w:sz w:val="28"/>
          <w:szCs w:val="28"/>
          <w:lang w:val="en-US" w:eastAsia="zh-CN"/>
        </w:rPr>
        <w:t>4、组织开展教学实施工作。有序开展授课、答疑、分组讨论、实操演练等教学活动。每个培训班至少配置1名班主任；住宿班次须额外配置1名生活管理员，配齐教辅工作人员。印制发放学员手册、服务指南，明确班级管理制度、课程作息、班级规章，落实考勤管理，保障教学秩序与学员人身安全。培训全过程不得向参训残疾人收取任何费用。</w:t>
      </w:r>
    </w:p>
    <w:p w14:paraId="7623907D">
      <w:pPr>
        <w:keepNext/>
        <w:keepLines w:val="0"/>
        <w:pageBreakBefore w:val="0"/>
        <w:widowControl w:val="0"/>
        <w:kinsoku/>
        <w:wordWrap w:val="0"/>
        <w:overflowPunct/>
        <w:topLinePunct/>
        <w:autoSpaceDE/>
        <w:autoSpaceDN/>
        <w:bidi w:val="0"/>
        <w:adjustRightInd w:val="0"/>
        <w:snapToGrid w:val="0"/>
        <w:spacing w:line="519" w:lineRule="exact"/>
        <w:ind w:firstLine="560" w:firstLineChars="200"/>
        <w:textAlignment w:val="auto"/>
        <w:rPr>
          <w:rFonts w:hint="eastAsia" w:ascii="楷体" w:hAnsi="楷体" w:eastAsia="楷体" w:cs="楷体"/>
          <w:sz w:val="28"/>
          <w:szCs w:val="28"/>
        </w:rPr>
      </w:pPr>
      <w:r>
        <w:rPr>
          <w:rFonts w:hint="eastAsia" w:ascii="楷体" w:hAnsi="楷体" w:eastAsia="楷体" w:cs="楷体"/>
          <w:sz w:val="28"/>
          <w:szCs w:val="28"/>
          <w:lang w:val="en-US" w:eastAsia="zh-CN"/>
        </w:rPr>
        <w:t>5、组织开展培训考核工作。考核为理论+实操相结合，针对残疾人提供合理便利；培训工种属于职业资格、职业技能等级认定、专项职业能力考核范畴的，严格按照国家统一标准执行；未纳入上述范围的，培训机构编制考核方案、命制试题，报采购人审核同意后组织实施。对确实无法开展理论考试的学员，以实操考核为主，授课教师出具正式考核报告报送采购人。</w:t>
      </w:r>
    </w:p>
    <w:p w14:paraId="4BBB029A">
      <w:pPr>
        <w:keepNext/>
        <w:keepLines w:val="0"/>
        <w:pageBreakBefore w:val="0"/>
        <w:widowControl w:val="0"/>
        <w:kinsoku/>
        <w:wordWrap w:val="0"/>
        <w:overflowPunct/>
        <w:topLinePunct/>
        <w:autoSpaceDE/>
        <w:autoSpaceDN/>
        <w:bidi w:val="0"/>
        <w:adjustRightInd w:val="0"/>
        <w:snapToGrid w:val="0"/>
        <w:spacing w:line="519" w:lineRule="exact"/>
        <w:ind w:firstLine="560" w:firstLineChars="200"/>
        <w:textAlignment w:val="auto"/>
        <w:rPr>
          <w:rFonts w:hint="eastAsia" w:ascii="楷体" w:hAnsi="楷体" w:eastAsia="楷体" w:cs="楷体"/>
          <w:sz w:val="28"/>
          <w:szCs w:val="28"/>
        </w:rPr>
      </w:pPr>
      <w:r>
        <w:rPr>
          <w:rFonts w:hint="eastAsia" w:ascii="楷体" w:hAnsi="楷体" w:eastAsia="楷体" w:cs="楷体"/>
          <w:sz w:val="28"/>
          <w:szCs w:val="28"/>
          <w:lang w:val="en-US" w:eastAsia="zh-CN"/>
        </w:rPr>
        <w:t>6、实名制系统录入、跟踪回访及结项申报。完成培训后，及时将参训人员信息、培训记录、考核结果录入全国残疾人职业培训管理服务系统；对参训残疾人就业、生产发展情况开展跟踪回访，收集学员实际困难并做好记录；培训班结束后10个工作日内完成结项申请相关资料提交。</w:t>
      </w:r>
    </w:p>
    <w:p w14:paraId="56C971EC">
      <w:pPr>
        <w:keepNext/>
        <w:keepLines w:val="0"/>
        <w:pageBreakBefore w:val="0"/>
        <w:widowControl w:val="0"/>
        <w:kinsoku/>
        <w:wordWrap w:val="0"/>
        <w:overflowPunct/>
        <w:topLinePunct/>
        <w:autoSpaceDE/>
        <w:autoSpaceDN/>
        <w:bidi w:val="0"/>
        <w:adjustRightInd w:val="0"/>
        <w:snapToGrid w:val="0"/>
        <w:spacing w:line="519" w:lineRule="exact"/>
        <w:ind w:firstLine="560" w:firstLineChars="200"/>
        <w:textAlignment w:val="auto"/>
        <w:rPr>
          <w:rFonts w:hint="eastAsia" w:ascii="楷体" w:hAnsi="楷体" w:eastAsia="楷体" w:cs="楷体"/>
          <w:sz w:val="28"/>
          <w:szCs w:val="28"/>
        </w:rPr>
      </w:pPr>
      <w:r>
        <w:rPr>
          <w:rFonts w:hint="eastAsia" w:ascii="楷体" w:hAnsi="楷体" w:eastAsia="楷体" w:cs="楷体"/>
          <w:sz w:val="28"/>
          <w:szCs w:val="28"/>
          <w:lang w:val="en-US" w:eastAsia="zh-CN"/>
        </w:rPr>
        <w:t>7、档案资料归集。完整收集保存实施方案、招生简章、学员档案、签到考勤、课程资料、影像资料、考核材料、回访记录、台账凭证等全套项目档案，按采购人要求整理归档，接受检查督导。</w:t>
      </w:r>
    </w:p>
    <w:p w14:paraId="7F279056">
      <w:pPr>
        <w:keepNext/>
        <w:keepLines w:val="0"/>
        <w:pageBreakBefore w:val="0"/>
        <w:widowControl w:val="0"/>
        <w:kinsoku/>
        <w:wordWrap w:val="0"/>
        <w:overflowPunct/>
        <w:topLinePunct/>
        <w:autoSpaceDE/>
        <w:autoSpaceDN/>
        <w:bidi w:val="0"/>
        <w:adjustRightInd w:val="0"/>
        <w:snapToGrid w:val="0"/>
        <w:spacing w:line="519" w:lineRule="exact"/>
        <w:ind w:firstLine="562" w:firstLineChars="200"/>
        <w:textAlignment w:val="auto"/>
        <w:rPr>
          <w:rFonts w:hint="eastAsia" w:ascii="楷体" w:hAnsi="楷体" w:eastAsia="楷体" w:cs="楷体"/>
          <w:b/>
          <w:bCs/>
          <w:sz w:val="28"/>
          <w:szCs w:val="28"/>
        </w:rPr>
      </w:pPr>
      <w:r>
        <w:rPr>
          <w:rFonts w:hint="eastAsia" w:ascii="楷体" w:hAnsi="楷体" w:eastAsia="楷体" w:cs="楷体"/>
          <w:b/>
          <w:bCs/>
          <w:sz w:val="28"/>
          <w:szCs w:val="28"/>
        </w:rPr>
        <w:t>四、拟投入本项目的费用测算</w:t>
      </w:r>
    </w:p>
    <w:p w14:paraId="60EC499C">
      <w:pPr>
        <w:keepNext/>
        <w:keepLines w:val="0"/>
        <w:pageBreakBefore w:val="0"/>
        <w:widowControl w:val="0"/>
        <w:kinsoku/>
        <w:wordWrap w:val="0"/>
        <w:overflowPunct/>
        <w:topLinePunct/>
        <w:autoSpaceDE/>
        <w:autoSpaceDN/>
        <w:bidi w:val="0"/>
        <w:adjustRightInd w:val="0"/>
        <w:snapToGrid w:val="0"/>
        <w:spacing w:line="519" w:lineRule="exact"/>
        <w:ind w:firstLine="560" w:firstLineChars="200"/>
        <w:textAlignment w:val="auto"/>
        <w:rPr>
          <w:rFonts w:hint="eastAsia" w:ascii="楷体" w:hAnsi="楷体" w:eastAsia="楷体" w:cs="楷体"/>
          <w:sz w:val="28"/>
          <w:szCs w:val="28"/>
        </w:rPr>
      </w:pPr>
      <w:r>
        <w:rPr>
          <w:rFonts w:hint="eastAsia" w:ascii="楷体" w:hAnsi="楷体" w:eastAsia="楷体" w:cs="楷体"/>
          <w:sz w:val="28"/>
          <w:szCs w:val="28"/>
          <w:lang w:val="en-US" w:eastAsia="zh-CN"/>
        </w:rPr>
        <w:t>本项目采购预算按实际参训人数×1500元/人核算，预算包含本项目全部服务内容产生的所有费用，包含但不限于师资课时劳务费、场地租赁费、学员食宿费、交通费、设备耗材费、材料费、教材资料费、宣传费、考核鉴定费、管理费、水电费、展览装裱费、考察费、应急处置、档案整理等完成本项目全部工作的一切相关费用。</w:t>
      </w:r>
    </w:p>
    <w:p w14:paraId="0DCAFFA1">
      <w:pPr>
        <w:keepNext/>
        <w:keepLines w:val="0"/>
        <w:pageBreakBefore w:val="0"/>
        <w:widowControl w:val="0"/>
        <w:kinsoku/>
        <w:wordWrap w:val="0"/>
        <w:overflowPunct/>
        <w:topLinePunct/>
        <w:autoSpaceDE/>
        <w:autoSpaceDN/>
        <w:bidi w:val="0"/>
        <w:adjustRightInd w:val="0"/>
        <w:snapToGrid w:val="0"/>
        <w:spacing w:line="519" w:lineRule="exact"/>
        <w:ind w:firstLine="562" w:firstLineChars="200"/>
        <w:textAlignment w:val="auto"/>
        <w:rPr>
          <w:rFonts w:hint="eastAsia" w:ascii="楷体" w:hAnsi="楷体" w:eastAsia="楷体" w:cs="楷体"/>
          <w:b/>
          <w:bCs/>
          <w:sz w:val="28"/>
          <w:szCs w:val="28"/>
        </w:rPr>
      </w:pPr>
      <w:r>
        <w:rPr>
          <w:rFonts w:hint="eastAsia" w:ascii="楷体" w:hAnsi="楷体" w:eastAsia="楷体" w:cs="楷体"/>
          <w:b/>
          <w:bCs/>
          <w:sz w:val="28"/>
          <w:szCs w:val="28"/>
        </w:rPr>
        <w:t>五、服务质量、标准、期限、效率等要求</w:t>
      </w:r>
    </w:p>
    <w:p w14:paraId="4561A5CC">
      <w:pPr>
        <w:keepNext/>
        <w:keepLines w:val="0"/>
        <w:pageBreakBefore w:val="0"/>
        <w:widowControl w:val="0"/>
        <w:kinsoku/>
        <w:wordWrap w:val="0"/>
        <w:overflowPunct/>
        <w:topLinePunct/>
        <w:autoSpaceDE/>
        <w:autoSpaceDN/>
        <w:bidi w:val="0"/>
        <w:adjustRightInd w:val="0"/>
        <w:snapToGrid w:val="0"/>
        <w:spacing w:line="519" w:lineRule="exact"/>
        <w:ind w:firstLine="560" w:firstLineChars="200"/>
        <w:textAlignment w:val="auto"/>
        <w:rPr>
          <w:rFonts w:hint="eastAsia" w:ascii="楷体" w:hAnsi="楷体" w:eastAsia="楷体" w:cs="楷体"/>
          <w:sz w:val="28"/>
          <w:szCs w:val="28"/>
        </w:rPr>
      </w:pPr>
      <w:r>
        <w:rPr>
          <w:rFonts w:hint="eastAsia" w:ascii="楷体" w:hAnsi="楷体" w:eastAsia="楷体" w:cs="楷体"/>
          <w:sz w:val="28"/>
          <w:szCs w:val="28"/>
          <w:lang w:val="en-US" w:eastAsia="zh-CN"/>
        </w:rPr>
        <w:t>(一)供应商须结合本项目采购需求及上级残联实施方案编制完整、科学可行的项目实施详细方案，方案内容完整、逻辑清晰，贴合临渭区残疾人实际情况。(二)建立本项目专项服务工作小组，明确项目负责人、各岗位工作人员，提供人员名单，明确岗位职责分工，保障人员稳定。(三)编制完备的突发事件安全应急预案，明确安全保障措施、应急处置流程，出具书面安全责任承诺。(四)项目服务期间，供应商派驻工作人员、参训学员发生人身伤害、财产损失等全部风险责任，均由供应商自行承担，采购人不承担相关责任。(五)严格落实专款专用相关要求，建立项目台账，严禁挤占、挪用项目经费，杜绝虚报套取资金行为。</w:t>
      </w:r>
    </w:p>
    <w:p w14:paraId="7B377F44">
      <w:pPr>
        <w:keepNext/>
        <w:keepLines w:val="0"/>
        <w:pageBreakBefore w:val="0"/>
        <w:widowControl w:val="0"/>
        <w:kinsoku/>
        <w:wordWrap w:val="0"/>
        <w:overflowPunct/>
        <w:topLinePunct/>
        <w:autoSpaceDE/>
        <w:autoSpaceDN/>
        <w:bidi w:val="0"/>
        <w:adjustRightInd w:val="0"/>
        <w:snapToGrid w:val="0"/>
        <w:spacing w:line="519" w:lineRule="exact"/>
        <w:ind w:firstLine="562" w:firstLineChars="200"/>
        <w:textAlignment w:val="auto"/>
        <w:rPr>
          <w:rFonts w:hint="eastAsia" w:ascii="楷体" w:hAnsi="楷体" w:eastAsia="楷体" w:cs="楷体"/>
          <w:b/>
          <w:bCs/>
          <w:sz w:val="28"/>
          <w:szCs w:val="28"/>
        </w:rPr>
      </w:pPr>
      <w:r>
        <w:rPr>
          <w:rFonts w:hint="eastAsia" w:ascii="楷体" w:hAnsi="楷体" w:eastAsia="楷体" w:cs="楷体"/>
          <w:b/>
          <w:bCs/>
          <w:sz w:val="28"/>
          <w:szCs w:val="28"/>
        </w:rPr>
        <w:t>六、付款方式</w:t>
      </w:r>
    </w:p>
    <w:p w14:paraId="46563C96">
      <w:pPr>
        <w:keepNext/>
        <w:keepLines w:val="0"/>
        <w:pageBreakBefore w:val="0"/>
        <w:widowControl w:val="0"/>
        <w:kinsoku/>
        <w:wordWrap w:val="0"/>
        <w:overflowPunct/>
        <w:topLinePunct/>
        <w:autoSpaceDE/>
        <w:autoSpaceDN/>
        <w:bidi w:val="0"/>
        <w:adjustRightInd w:val="0"/>
        <w:snapToGrid w:val="0"/>
        <w:spacing w:line="519" w:lineRule="exact"/>
        <w:ind w:firstLine="560" w:firstLineChars="200"/>
        <w:textAlignment w:val="auto"/>
        <w:rPr>
          <w:rFonts w:hint="eastAsia" w:ascii="楷体" w:hAnsi="楷体" w:eastAsia="楷体" w:cs="楷体"/>
          <w:sz w:val="28"/>
          <w:szCs w:val="28"/>
        </w:rPr>
      </w:pPr>
      <w:r>
        <w:rPr>
          <w:rFonts w:hint="eastAsia" w:ascii="楷体" w:hAnsi="楷体" w:eastAsia="楷体" w:cs="楷体"/>
          <w:sz w:val="28"/>
          <w:szCs w:val="28"/>
          <w:lang w:val="en-US" w:eastAsia="zh-CN"/>
        </w:rPr>
        <w:t>合同签订生效后，采购人向供应商支付合同金额的40%作为预付款，项目全部实施完成后，供应商向采购人提交书面验收报告及全套项目佐证材料，采购人在30个工作日内组织完成项目绩效评估与验收，验收合格后，供应商向采购人开具全额合法有效发票，采购人拨付剩余合同款项。</w:t>
      </w:r>
    </w:p>
    <w:p w14:paraId="66A0444C">
      <w:pPr>
        <w:keepNext/>
        <w:keepLines w:val="0"/>
        <w:pageBreakBefore w:val="0"/>
        <w:widowControl w:val="0"/>
        <w:kinsoku/>
        <w:wordWrap w:val="0"/>
        <w:overflowPunct/>
        <w:topLinePunct/>
        <w:autoSpaceDE/>
        <w:autoSpaceDN/>
        <w:bidi w:val="0"/>
        <w:adjustRightInd w:val="0"/>
        <w:snapToGrid w:val="0"/>
        <w:spacing w:line="519" w:lineRule="exact"/>
        <w:ind w:firstLine="562" w:firstLineChars="200"/>
        <w:textAlignment w:val="auto"/>
        <w:rPr>
          <w:rFonts w:hint="eastAsia" w:ascii="楷体" w:hAnsi="楷体" w:eastAsia="楷体" w:cs="楷体"/>
          <w:b/>
          <w:bCs/>
          <w:sz w:val="28"/>
          <w:szCs w:val="28"/>
        </w:rPr>
      </w:pPr>
      <w:r>
        <w:rPr>
          <w:rFonts w:hint="eastAsia" w:ascii="楷体" w:hAnsi="楷体" w:eastAsia="楷体" w:cs="楷体"/>
          <w:b/>
          <w:bCs/>
          <w:sz w:val="28"/>
          <w:szCs w:val="28"/>
        </w:rPr>
        <w:t>七、验收标准</w:t>
      </w:r>
    </w:p>
    <w:p w14:paraId="737B5E25">
      <w:pPr>
        <w:keepNext/>
        <w:keepLines w:val="0"/>
        <w:pageBreakBefore w:val="0"/>
        <w:widowControl w:val="0"/>
        <w:kinsoku/>
        <w:wordWrap w:val="0"/>
        <w:overflowPunct/>
        <w:topLinePunct/>
        <w:autoSpaceDE/>
        <w:autoSpaceDN/>
        <w:bidi w:val="0"/>
        <w:adjustRightInd w:val="0"/>
        <w:snapToGrid w:val="0"/>
        <w:spacing w:line="519" w:lineRule="exact"/>
        <w:ind w:firstLine="560" w:firstLineChars="200"/>
        <w:textAlignment w:val="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1、质量标准：培训教学质量达到人社部门、残联系统对应培训工种职业标准；参训残疾人合格率≥80%；完成实名制系统录入、学员回访、档案归档、结项申报全部工作，符合渭临残综〔2026〕22号实施方案及市残联相关细则要求。</w:t>
      </w:r>
    </w:p>
    <w:p w14:paraId="22C30ECB">
      <w:pPr>
        <w:keepNext/>
        <w:keepLines w:val="0"/>
        <w:pageBreakBefore w:val="0"/>
        <w:widowControl w:val="0"/>
        <w:kinsoku/>
        <w:wordWrap w:val="0"/>
        <w:overflowPunct/>
        <w:topLinePunct/>
        <w:autoSpaceDE/>
        <w:autoSpaceDN/>
        <w:bidi w:val="0"/>
        <w:adjustRightInd w:val="0"/>
        <w:snapToGrid w:val="0"/>
        <w:spacing w:line="519" w:lineRule="exact"/>
        <w:ind w:firstLine="560" w:firstLineChars="200"/>
        <w:textAlignment w:val="auto"/>
        <w:rPr>
          <w:rFonts w:hint="eastAsia" w:ascii="楷体" w:hAnsi="楷体" w:eastAsia="楷体" w:cs="楷体"/>
          <w:sz w:val="28"/>
          <w:szCs w:val="28"/>
        </w:rPr>
      </w:pPr>
      <w:r>
        <w:rPr>
          <w:rFonts w:hint="eastAsia" w:ascii="楷体" w:hAnsi="楷体" w:eastAsia="楷体" w:cs="楷体"/>
          <w:sz w:val="28"/>
          <w:szCs w:val="28"/>
          <w:lang w:val="en-US" w:eastAsia="zh-CN"/>
        </w:rPr>
        <w:t>2、综合验收标准：以磋商文件、响应文件、澄清补正文件、现场检查情况、绩效目标完成情况、档案资料完整性作为综合验收依据，全部指标达到要求方可通过验收。</w:t>
      </w:r>
      <w:bookmarkStart w:id="0" w:name="_GoBack"/>
      <w:bookmarkEnd w:id="0"/>
    </w:p>
    <w:sectPr>
      <w:footerReference r:id="rId5" w:type="default"/>
      <w:pgSz w:w="11900" w:h="16830"/>
      <w:pgMar w:top="1417" w:right="1304" w:bottom="1417" w:left="1304" w:header="935" w:footer="992" w:gutter="0"/>
      <w:pgNumType w:fmt="numberInDash"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23B0AA">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BF77BF">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4BF77BF">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0DA6815"/>
    <w:rsid w:val="021F315D"/>
    <w:rsid w:val="0F166148"/>
    <w:rsid w:val="2293089F"/>
    <w:rsid w:val="253E475B"/>
    <w:rsid w:val="26E95CE9"/>
    <w:rsid w:val="2EF45D1A"/>
    <w:rsid w:val="30226EB1"/>
    <w:rsid w:val="3EF40857"/>
    <w:rsid w:val="425D01C4"/>
    <w:rsid w:val="4935642B"/>
    <w:rsid w:val="49C83ABC"/>
    <w:rsid w:val="4B4A7D1A"/>
    <w:rsid w:val="57432B3B"/>
    <w:rsid w:val="58682337"/>
    <w:rsid w:val="68456B60"/>
    <w:rsid w:val="694E17D6"/>
    <w:rsid w:val="6D2B360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5">
    <w:name w:val="Body Text"/>
    <w:basedOn w:val="1"/>
    <w:semiHidden/>
    <w:qFormat/>
    <w:uiPriority w:val="0"/>
    <w:rPr>
      <w:rFonts w:ascii="仿宋" w:hAnsi="仿宋" w:eastAsia="仿宋" w:cs="仿宋"/>
      <w:sz w:val="31"/>
      <w:szCs w:val="31"/>
      <w:lang w:val="en-US" w:eastAsia="en-US" w:bidi="ar-SA"/>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10">
    <w:name w:val="Strong"/>
    <w:basedOn w:val="9"/>
    <w:qFormat/>
    <w:uiPriority w:val="0"/>
    <w:rPr>
      <w:b/>
    </w:rPr>
  </w:style>
  <w:style w:type="table" w:customStyle="1" w:styleId="11">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5</Pages>
  <Words>2867</Words>
  <Characters>2967</Characters>
  <TotalTime>19</TotalTime>
  <ScaleCrop>false</ScaleCrop>
  <LinksUpToDate>false</LinksUpToDate>
  <CharactersWithSpaces>2968</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2025-06-05T11:43:00Z</dcterms:created>
  <dc:creator>Administrator</dc:creator>
  <cp:lastModifiedBy>WPS</cp:lastModifiedBy>
  <cp:lastPrinted>2026-09-04T08:23:00Z</cp:lastPrinted>
  <dcterms:modified xsi:type="dcterms:W3CDTF">2026-09-07T13:00:58Z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wqlLaW5nc29mdCBQREYgdG8gV1BTIDExMEI</vt:lpwstr>
  </property>
  <property fmtid="{D5CDD505-2E9C-101B-9397-08002B2CF9AE}" pid="3" name="Created">
    <vt:filetime>2025-06-05T11:43:10Z</vt:filetime>
  </property>
  <property fmtid="{D5CDD505-2E9C-101B-9397-08002B2CF9AE}" pid="4" name="UsrData">
    <vt:lpwstr>6841124caa48c8001f14247fwl</vt:lpwstr>
  </property>
  <property fmtid="{D5CDD505-2E9C-101B-9397-08002B2CF9AE}" pid="5" name="KSOTemplateDocerSaveRecord">
    <vt:lpwstr>eyJoZGlkIjoiNjAwMjg3NDY2YjViYWM0ODVhMjJkNDNlZDM3Y2Y0Y2QiLCJ1c2VySWQiOiI0MzQ3MTk0MTEifQ==</vt:lpwstr>
  </property>
  <property fmtid="{D5CDD505-2E9C-101B-9397-08002B2CF9AE}" pid="6" name="KSOProductBuildVer">
    <vt:lpwstr>2052-12.1.0.28505</vt:lpwstr>
  </property>
  <property fmtid="{D5CDD505-2E9C-101B-9397-08002B2CF9AE}" pid="7" name="ICV">
    <vt:lpwstr>D69CFC7FBA71457290E7B2C3FA9DF95C_13</vt:lpwstr>
  </property>
</Properties>
</file>