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版本号：HZ-J2026021C20260601001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西乡县柳树河山洪沟治理工程监理服务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HZ-J2026021C</w:t>
      </w:r>
      <w:r>
        <w:br/>
      </w:r>
      <w:r>
        <w:br/>
      </w:r>
      <w:r>
        <w:br/>
      </w:r>
    </w:p>
    <w:p>
      <w:pPr>
        <w:pStyle w:val="null3"/>
        <w:jc w:val="center"/>
        <w:outlineLvl w:val="2"/>
      </w:pPr>
      <w:r>
        <w:rPr>
          <w:rFonts w:ascii="仿宋_GB2312" w:hAnsi="仿宋_GB2312" w:cs="仿宋_GB2312" w:eastAsia="仿宋_GB2312"/>
          <w:sz w:val="28"/>
          <w:b/>
        </w:rPr>
        <w:t>西乡县河道管理站</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西乡县河道管理站</w:t>
      </w:r>
      <w:r>
        <w:rPr>
          <w:rFonts w:ascii="仿宋_GB2312" w:hAnsi="仿宋_GB2312" w:cs="仿宋_GB2312" w:eastAsia="仿宋_GB2312"/>
        </w:rPr>
        <w:t>委托，拟对</w:t>
      </w:r>
      <w:r>
        <w:rPr>
          <w:rFonts w:ascii="仿宋_GB2312" w:hAnsi="仿宋_GB2312" w:cs="仿宋_GB2312" w:eastAsia="仿宋_GB2312"/>
        </w:rPr>
        <w:t>西乡县柳树河山洪沟治理工程监理服务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西乡县柳树河山洪沟治理工程监理服务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地点：柳树镇高家店村、柳树社区、白杨村；工程建设规模：新建护岸工程总长度1821.54m。其中:高家店村段316m;白杨村段998.54m;柳树社区段507m，附属工程:雨水情监测设备1套。（招标工程量最终以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采购包1（西乡县柳树河山洪沟治理工程监理服务）：属于专门面向中小企业采购。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pPr>
      <w:r>
        <w:rPr>
          <w:rFonts w:ascii="仿宋_GB2312" w:hAnsi="仿宋_GB2312" w:cs="仿宋_GB2312" w:eastAsia="仿宋_GB2312"/>
        </w:rPr>
        <w:t>5、企业资质：供应商须具备行政主管部门颁发的水利工程施工监理乙级（含乙级）以上资质；</w:t>
      </w:r>
    </w:p>
    <w:p>
      <w:pPr>
        <w:pStyle w:val="null3"/>
      </w:pPr>
      <w:r>
        <w:rPr>
          <w:rFonts w:ascii="仿宋_GB2312" w:hAnsi="仿宋_GB2312" w:cs="仿宋_GB2312" w:eastAsia="仿宋_GB2312"/>
        </w:rPr>
        <w:t>6、项目总监：供应商拟派项目总监理工程师须持有行政主管部门颁发的水利工程专业注册监理工程师资格证，且在本单位注册、并未担任其他在建工程项目的总监理工程师。（提供承诺书）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西乡县河道管理站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0916-6227065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张高杰、王佳丽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采购代理服务费依据合同约定支付，（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西乡县河道管理站</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西乡县河道管理站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西乡县河道管理站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地点：柳树镇高家店村、柳树社区、白杨村；工程建设规模：新建护岸工程总长度1821.54m。其中:高家店村段316m;白杨村段998.54m;柳树社区段507m，附属工程:雨水情监测设备1套。（招标工程量最终以工程量清单及图纸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123,000.00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西乡县柳树河山洪沟治理工程监理服务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标的名称：西乡县柳树河山洪沟治理工程监理服务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（一）建设地点：柳树镇高家店村、柳树社区、白杨村；</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（二）工程规模：新建护岸工程总长度</w:t>
                  </w:r>
                  <w:r>
                    <w:rPr>
                      <w:rFonts w:ascii="仿宋_GB2312" w:hAnsi="仿宋_GB2312" w:cs="仿宋_GB2312" w:eastAsia="仿宋_GB2312"/>
                      <w:sz w:val="19"/>
                    </w:rPr>
                    <w:t>1821.54m。其中:高家店村段316m;白杨村段998.54m;柳树社区段507m，附属工程:雨水情监测设备1套。（招标工程量最终以工程量清单及图纸为准）。</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西乡县柳树河山洪沟治理工程施工一标段建设范围；高家店村段</w:t>
                  </w:r>
                  <w:r>
                    <w:rPr>
                      <w:rFonts w:ascii="仿宋_GB2312" w:hAnsi="仿宋_GB2312" w:cs="仿宋_GB2312" w:eastAsia="仿宋_GB2312"/>
                      <w:sz w:val="19"/>
                    </w:rPr>
                    <w:t>:高左0+000--0+100长度100m、高右0+467--0+683长度216m;白杨村段:白右0+700--0+998.54长度298.54m;</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西乡县柳树河山洪沟治理工程施工二标段建设范围：柳树社区</w:t>
                  </w:r>
                  <w:r>
                    <w:rPr>
                      <w:rFonts w:ascii="仿宋_GB2312" w:hAnsi="仿宋_GB2312" w:cs="仿宋_GB2312" w:eastAsia="仿宋_GB2312"/>
                      <w:sz w:val="19"/>
                    </w:rPr>
                    <w:t>1段:柳左0+000--0+200长度200m;柳树社区2段:柳左0+000--0+195长度195m、柳右0+000--0+112长度112m;雨水情监测设备1套;</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西乡县柳树河山洪沟治理工程施工三标段建设范围：白杨村段白右</w:t>
                  </w:r>
                  <w:r>
                    <w:rPr>
                      <w:rFonts w:ascii="仿宋_GB2312" w:hAnsi="仿宋_GB2312" w:cs="仿宋_GB2312" w:eastAsia="仿宋_GB2312"/>
                      <w:sz w:val="19"/>
                    </w:rPr>
                    <w:t>0+000--0+700长度700m。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（三）监理服务期：本项目监理服务包含施工准备阶段、施工阶段、竣工验收阶段、资料归档备案阶段及缺陷责任期全过程。服务期自</w:t>
                  </w:r>
                  <w:r>
                    <w:rPr>
                      <w:rFonts w:ascii="仿宋_GB2312" w:hAnsi="仿宋_GB2312" w:cs="仿宋_GB2312" w:eastAsia="仿宋_GB2312"/>
                      <w:sz w:val="21"/>
                    </w:rPr>
                    <w:t>采购人</w:t>
                  </w:r>
                  <w:r>
                    <w:rPr>
                      <w:rFonts w:ascii="仿宋_GB2312" w:hAnsi="仿宋_GB2312" w:cs="仿宋_GB2312" w:eastAsia="仿宋_GB2312"/>
                      <w:sz w:val="21"/>
                    </w:rPr>
                    <w:t>发出开工通知之日起计算，至本项目全部工程竣工验收备案完成、缺陷责任期届满且所有现场及资料收尾工作全部办结为止。</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（四）监理依据及适用规范标准：</w:t>
                  </w:r>
                </w:p>
                <w:p>
                  <w:pPr>
                    <w:pStyle w:val="null3"/>
                  </w:pPr>
                  <w:r>
                    <w:rPr>
                      <w:rFonts w:ascii="仿宋_GB2312" w:hAnsi="仿宋_GB2312" w:cs="仿宋_GB2312" w:eastAsia="仿宋_GB2312"/>
                      <w:sz w:val="21"/>
                    </w:rPr>
                    <w:t>1. 国家和地方法律、法规、规章；</w:t>
                  </w:r>
                </w:p>
                <w:p>
                  <w:pPr>
                    <w:pStyle w:val="null3"/>
                  </w:pPr>
                  <w:r>
                    <w:rPr>
                      <w:rFonts w:ascii="仿宋_GB2312" w:hAnsi="仿宋_GB2312" w:cs="仿宋_GB2312" w:eastAsia="仿宋_GB2312"/>
                      <w:sz w:val="21"/>
                    </w:rPr>
                    <w:t>2. 国家、水利行业及地方现行有效标准、规范、规程；</w:t>
                  </w:r>
                </w:p>
                <w:p>
                  <w:pPr>
                    <w:pStyle w:val="null3"/>
                  </w:pPr>
                  <w:r>
                    <w:rPr>
                      <w:rFonts w:ascii="仿宋_GB2312" w:hAnsi="仿宋_GB2312" w:cs="仿宋_GB2312" w:eastAsia="仿宋_GB2312"/>
                      <w:sz w:val="21"/>
                    </w:rPr>
                    <w:t>3. 本项目监理合同、施工合同及相关补充协议；</w:t>
                  </w:r>
                </w:p>
                <w:p>
                  <w:pPr>
                    <w:pStyle w:val="null3"/>
                  </w:pPr>
                  <w:r>
                    <w:rPr>
                      <w:rFonts w:ascii="仿宋_GB2312" w:hAnsi="仿宋_GB2312" w:cs="仿宋_GB2312" w:eastAsia="仿宋_GB2312"/>
                      <w:sz w:val="21"/>
                    </w:rPr>
                    <w:t>4. 工程立项批复、初步设计等前期文件，施工图纸、设计文件及设计变更；</w:t>
                  </w:r>
                </w:p>
                <w:p>
                  <w:pPr>
                    <w:pStyle w:val="null3"/>
                  </w:pPr>
                  <w:r>
                    <w:rPr>
                      <w:rFonts w:ascii="仿宋_GB2312" w:hAnsi="仿宋_GB2312" w:cs="仿宋_GB2312" w:eastAsia="仿宋_GB2312"/>
                      <w:sz w:val="21"/>
                    </w:rPr>
                    <w:t>5. 主要执行规范：《水利工程施工监理规范》(SL 288-2014)、《山洪沟防洪治理工程技术规范》(SL/T 809-2021)；</w:t>
                  </w:r>
                </w:p>
                <w:p>
                  <w:pPr>
                    <w:pStyle w:val="null3"/>
                  </w:pPr>
                  <w:r>
                    <w:rPr>
                      <w:rFonts w:ascii="仿宋_GB2312" w:hAnsi="仿宋_GB2312" w:cs="仿宋_GB2312" w:eastAsia="仿宋_GB2312"/>
                      <w:sz w:val="21"/>
                    </w:rPr>
                    <w:t>6. 经发包人及监理机构审批的监理规划、监理实施细则；</w:t>
                  </w:r>
                </w:p>
                <w:p>
                  <w:pPr>
                    <w:pStyle w:val="null3"/>
                  </w:pPr>
                  <w:r>
                    <w:rPr>
                      <w:rFonts w:ascii="仿宋_GB2312" w:hAnsi="仿宋_GB2312" w:cs="仿宋_GB2312" w:eastAsia="仿宋_GB2312"/>
                      <w:sz w:val="21"/>
                    </w:rPr>
                    <w:t>7. 工程实施阶段新施行的标准规范、发包人工作指令、函件及会议纪要。</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监理服务包含施工准备阶段、施工阶段、竣工验收阶段、资料归档备案阶段及缺陷责任期全过程。服务期自招标人发出开工通知之日起计算，至本项目全部工程竣工验收备案完成、缺陷责任期届满且所有现场及资料收尾工作全部办结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严格按照国家、水利行业现行规范标准及采购合同约定，通过资料审核、现场核查方式完成验收交付。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进度款，工程竣工验收后，达到付款条件起30个工作日内，支付合同总金额的5.0%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进度款，工程缺陷责任期满后，达到付款条件起30个工作日内，支付合同总金额的5.0%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供应商未按合同约定履约、服务不达标或存在违规违约行为的，需承担全部违约责任；双方争议优先协商解决，协商不成的，向项目所在地人民法院提起诉讼。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供应商须具备行政主管部门颁发的水利工程施工监理乙级（含乙级）以上资质；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供应商拟派项目总监理工程师须持有行政主管部门颁发的水利工程专业注册监理工程师资格证，且在本单位注册、并未担任其他在建工程项目的总监理工程师。（提供承诺书）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（企业业绩）业绩一览表.docx 响应文件封面 供应商应提交的相关资格证明材料.docx 残疾人福利性单位声明函 标的清单 项目总监简历表.docx 服务内容及服务要求应答表.docx 拟派项目团队人员配置表.docx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（企业业绩）业绩一览表.docx 响应文件封面 供应商应提交的相关资格证明材料.docx 残疾人福利性单位声明函 标的清单 项目总监简历表.docx 服务内容及服务要求应答表.docx 拟派项目团队人员配置表.docx 响应函 服务方案.docx （总监理工程师）业绩一览表.docx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一、评审内容：针对本项目内容提出适用于本项目的监理大纲方案，包括但不限于①监理工作范围及内容；②监理工作目标及依据；③监理工作程序及工作制度方法。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重难点分析及解决对策</w:t>
            </w:r>
          </w:p>
        </w:tc>
        <w:tc>
          <w:tcPr>
            <w:tcW w:type="dxa" w:w="2492"/>
          </w:tcPr>
          <w:p>
            <w:pPr>
              <w:pStyle w:val="null3"/>
            </w:pPr>
            <w:r>
              <w:rPr>
                <w:rFonts w:ascii="仿宋_GB2312" w:hAnsi="仿宋_GB2312" w:cs="仿宋_GB2312" w:eastAsia="仿宋_GB2312"/>
              </w:rPr>
              <w:t>一、评审内容：针对本项目内容提出适用于本项目的重难点分析及解决对策，包括但不限于①监理的重点难点分析；②重难点解决措施。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进度控制方案及保障措施</w:t>
            </w:r>
          </w:p>
        </w:tc>
        <w:tc>
          <w:tcPr>
            <w:tcW w:type="dxa" w:w="2492"/>
          </w:tcPr>
          <w:p>
            <w:pPr>
              <w:pStyle w:val="null3"/>
            </w:pPr>
            <w:r>
              <w:rPr>
                <w:rFonts w:ascii="仿宋_GB2312" w:hAnsi="仿宋_GB2312" w:cs="仿宋_GB2312" w:eastAsia="仿宋_GB2312"/>
              </w:rPr>
              <w:t>一、评审内容：针对本项目内容，结合项目汛期施工特点，制定进度计划及控制方案、进度保障措施，包括但不限于①进度计划及控制方案安排；②进度保障措施。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施工安全监督方案和措施</w:t>
            </w:r>
          </w:p>
        </w:tc>
        <w:tc>
          <w:tcPr>
            <w:tcW w:type="dxa" w:w="2492"/>
          </w:tcPr>
          <w:p>
            <w:pPr>
              <w:pStyle w:val="null3"/>
            </w:pPr>
            <w:r>
              <w:rPr>
                <w:rFonts w:ascii="仿宋_GB2312" w:hAnsi="仿宋_GB2312" w:cs="仿宋_GB2312" w:eastAsia="仿宋_GB2312"/>
              </w:rPr>
              <w:t>一、评审内容：针对本项目内容提出适用于本项目的施工安全监督方案和措施，包括但不限于①施工安全监督管理方案；②施工安全监督管理措施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文明施工管理措施</w:t>
            </w:r>
          </w:p>
        </w:tc>
        <w:tc>
          <w:tcPr>
            <w:tcW w:type="dxa" w:w="2492"/>
          </w:tcPr>
          <w:p>
            <w:pPr>
              <w:pStyle w:val="null3"/>
            </w:pPr>
            <w:r>
              <w:rPr>
                <w:rFonts w:ascii="仿宋_GB2312" w:hAnsi="仿宋_GB2312" w:cs="仿宋_GB2312" w:eastAsia="仿宋_GB2312"/>
              </w:rPr>
              <w:t>一、评审内容：针对本项目内容提出适用于本项目的文明施工管理措施，包括但不限于①文明施工管理及环境保护制度；②治污减霾监督管理措施。二、赋分标准：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合同与信息管理措施</w:t>
            </w:r>
          </w:p>
        </w:tc>
        <w:tc>
          <w:tcPr>
            <w:tcW w:type="dxa" w:w="2492"/>
          </w:tcPr>
          <w:p>
            <w:pPr>
              <w:pStyle w:val="null3"/>
            </w:pPr>
            <w:r>
              <w:rPr>
                <w:rFonts w:ascii="仿宋_GB2312" w:hAnsi="仿宋_GB2312" w:cs="仿宋_GB2312" w:eastAsia="仿宋_GB2312"/>
              </w:rPr>
              <w:t>一、评审内容：针对本项目内容提出适用于本项目的合同与信息管理措施，包括但不限于①合同与信息协调管理措施；②监理资料及保修阶段的服务工作。二、赋分标准：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旁站监理和检测试验计划</w:t>
            </w:r>
          </w:p>
        </w:tc>
        <w:tc>
          <w:tcPr>
            <w:tcW w:type="dxa" w:w="2492"/>
          </w:tcPr>
          <w:p>
            <w:pPr>
              <w:pStyle w:val="null3"/>
            </w:pPr>
            <w:r>
              <w:rPr>
                <w:rFonts w:ascii="仿宋_GB2312" w:hAnsi="仿宋_GB2312" w:cs="仿宋_GB2312" w:eastAsia="仿宋_GB2312"/>
              </w:rPr>
              <w:t>一、评审内容：针对本项目内容提出适用于本项目的旁站监理和检测试验计划，包括但不限于①旁站监理和检测试验计划。 二、赋分标准： 1.完整性：对上述各项内容均有描述，得1分；每缺1项扣1分，扣完为止。此项不提供不得分。 2.针对性：上述内容针对性明确得1分；针对性较明确得0.5分；缺乏针对性得0分。此项不提供不得分。 3.可实施性：上述各项内容可实施性合理得1分；可实施性较合理得0.5分；缺乏可实施性得0分。此项不提供不得分。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工程资料管理措施</w:t>
            </w:r>
          </w:p>
        </w:tc>
        <w:tc>
          <w:tcPr>
            <w:tcW w:type="dxa" w:w="2492"/>
          </w:tcPr>
          <w:p>
            <w:pPr>
              <w:pStyle w:val="null3"/>
            </w:pPr>
            <w:r>
              <w:rPr>
                <w:rFonts w:ascii="仿宋_GB2312" w:hAnsi="仿宋_GB2312" w:cs="仿宋_GB2312" w:eastAsia="仿宋_GB2312"/>
              </w:rPr>
              <w:t>一、评审内容：针对本项目内容提出适用于本项目的工程资料管理措施，包括但不限于①工程资料管理措施。 二、赋分标准： 1.完整性：对上述各项内容均有描述，得1分；每缺1项扣1分，扣完为止。此项不提供不得分。 2.针对性：上述内容针对性明确得1分；针对性较明确得0.5分；缺乏针对性得0分。此项不提供不得分。 3.可实施性：上述各项内容可实施性合理得1分；可实施性较合理得0.5分；缺乏可实施性得0分。此项不提供不得分。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安全监理及防汛应急预案</w:t>
            </w:r>
          </w:p>
        </w:tc>
        <w:tc>
          <w:tcPr>
            <w:tcW w:type="dxa" w:w="2492"/>
          </w:tcPr>
          <w:p>
            <w:pPr>
              <w:pStyle w:val="null3"/>
            </w:pPr>
            <w:r>
              <w:rPr>
                <w:rFonts w:ascii="仿宋_GB2312" w:hAnsi="仿宋_GB2312" w:cs="仿宋_GB2312" w:eastAsia="仿宋_GB2312"/>
              </w:rPr>
              <w:t>一、评审内容：针对本项目内容。结合山洪沟汛期、边坡防护特点，制定安全监理及防汛应急预案，包括但不限于①突发性事件应急处置预案；②山洪、暴雨专项防汛应急预案。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拟投入仪器及设备</w:t>
            </w:r>
          </w:p>
        </w:tc>
        <w:tc>
          <w:tcPr>
            <w:tcW w:type="dxa" w:w="2492"/>
          </w:tcPr>
          <w:p>
            <w:pPr>
              <w:pStyle w:val="null3"/>
            </w:pPr>
            <w:r>
              <w:rPr>
                <w:rFonts w:ascii="仿宋_GB2312" w:hAnsi="仿宋_GB2312" w:cs="仿宋_GB2312" w:eastAsia="仿宋_GB2312"/>
              </w:rPr>
              <w:t>一、评审内容：针对本项目内容提出适用于本项目的拟投入仪器及设备，包括但不限于①拟投入仪器及设备； 二、赋分标准： 1.完整性：上述内容仪器、设备数量满足项目需要得2分；仪器、设备基本满足需要得1分；缺乏完整性得0分。此项不提供不得分。 2.针对性：上述内容仪器、设备类型满足需要，配备合理得1分；仪器、设备类型基本满足需要，配备较合理得1分；仪器、设备类型不满足需要，配备不合理得0分。此项不提供不得分。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1.具备（水利工程类）中级以上职称得5分，其他不得分。 注：响应文件内附技术职称。 2.提供2023年6月1日至今类似项目业绩，每提供1份得2分，满分4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（总监理工程师）业绩一览表.docx</w:t>
            </w:r>
          </w:p>
          <w:p>
            <w:pPr>
              <w:pStyle w:val="null3"/>
            </w:pPr>
            <w:r>
              <w:rPr>
                <w:rFonts w:ascii="仿宋_GB2312" w:hAnsi="仿宋_GB2312" w:cs="仿宋_GB2312" w:eastAsia="仿宋_GB2312"/>
              </w:rPr>
              <w:t>项目总监简历表.docx</w:t>
            </w:r>
          </w:p>
        </w:tc>
      </w:tr>
      <w:tr>
        <w:tc>
          <w:tcPr>
            <w:tcW w:type="dxa" w:w="831"/>
            <w:vMerge/>
          </w:tcPr>
          <w:p/>
        </w:tc>
        <w:tc>
          <w:tcPr>
            <w:tcW w:type="dxa" w:w="1661"/>
          </w:tcPr>
          <w:p>
            <w:pPr>
              <w:pStyle w:val="null3"/>
            </w:pPr>
            <w:r>
              <w:rPr>
                <w:rFonts w:ascii="仿宋_GB2312" w:hAnsi="仿宋_GB2312" w:cs="仿宋_GB2312" w:eastAsia="仿宋_GB2312"/>
              </w:rPr>
              <w:t>监理团队人员</w:t>
            </w:r>
          </w:p>
        </w:tc>
        <w:tc>
          <w:tcPr>
            <w:tcW w:type="dxa" w:w="2492"/>
          </w:tcPr>
          <w:p>
            <w:pPr>
              <w:pStyle w:val="null3"/>
            </w:pPr>
            <w:r>
              <w:rPr>
                <w:rFonts w:ascii="仿宋_GB2312" w:hAnsi="仿宋_GB2312" w:cs="仿宋_GB2312" w:eastAsia="仿宋_GB2312"/>
              </w:rPr>
              <w:t>1.配备的监理人员具有水利工程国家注册监理工程师，1人得1分，最高得4分； 注：以上人员须提供相关证明材料，注册证书及社保缴纳证明，未提供不得分。 2.配备的监理人员具有工程类中级及以上职称得1分，最高得4分。 注：以上人员须提供相关证明材料，技术职称证书及社保缴纳证明，未提供不得分。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1份得2分，满分4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详见附件：（总监理工程师）业绩一览表.docx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